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age-6.-roles-responsibilities"/>
    <w:p>
      <w:pPr>
        <w:pStyle w:val="Heading1"/>
      </w:pPr>
      <w:r>
        <w:t xml:space="preserve">PAGE: 6. Roles &amp; Responsibilities</w:t>
      </w:r>
    </w:p>
    <w:p>
      <w:pPr>
        <w:pStyle w:val="FirstParagraph"/>
      </w:pPr>
      <w:r>
        <w:rPr>
          <w:iCs/>
          <w:i/>
        </w:rPr>
        <w:t xml:space="preserve">Who does what across the Risk Data operating model — by role, by activity.</w:t>
      </w:r>
    </w:p>
    <w:p>
      <w:r>
        <w:pict>
          <v:rect style="width:0;height:1.5pt" o:hralign="center" o:hrstd="t" o:hr="t"/>
        </w:pict>
      </w:r>
    </w:p>
    <w:bookmarkStart w:id="20" w:name="read-this-first"/>
    <w:p>
      <w:pPr>
        <w:pStyle w:val="Heading2"/>
      </w:pPr>
      <w:r>
        <w:t xml:space="preserve">Read this first</w:t>
      </w:r>
    </w:p>
    <w:p>
      <w:pPr>
        <w:pStyle w:val="FirstParagraph"/>
      </w:pPr>
      <w:r>
        <w:rPr>
          <w:bCs/>
          <w:b/>
        </w:rPr>
        <w:t xml:space="preserve">What you do depends on your role.</w:t>
      </w:r>
      <w:r>
        <w:t xml:space="preserve"> </w:t>
      </w:r>
      <w:r>
        <w:t xml:space="preserve">This page lists every activity and marks the actor(s) responsible. Use it to find your own responsibilities, or to see who owns a particular activity.</w:t>
      </w:r>
    </w:p>
    <w:p>
      <w:pPr>
        <w:pStyle w:val="BodyText"/>
      </w:pPr>
      <w:r>
        <w:rPr>
          <w:bCs/>
          <w:b/>
        </w:rPr>
        <w:t xml:space="preserve">The analytics stream does not wait for app cleanup.</w:t>
      </w:r>
      <w:r>
        <w:t xml:space="preserve"> </w:t>
      </w:r>
      <w:r>
        <w:t xml:space="preserve">Business needs are surfaced today and the data products to serve them are built today — in parallel with, and often ahead of, application schema cleanup, CDM contribution, and PG domain modelling. The foundational and ongoing work happens alongside, not as a precondition.</w:t>
      </w:r>
    </w:p>
    <w:p>
      <w:pPr>
        <w:pStyle w:val="BodyText"/>
      </w:pPr>
      <w:r>
        <w:t xml:space="preserve">If you’re the Business — don’t wait for everything to be cleaned up before raising a need. Start at activity 1 in the Business category below.</w:t>
      </w:r>
    </w:p>
    <w:p>
      <w:r>
        <w:pict>
          <v:rect style="width:0;height:1.5pt" o:hralign="center" o:hrstd="t" o:hr="t"/>
        </w:pict>
      </w:r>
    </w:p>
    <w:bookmarkEnd w:id="20"/>
    <w:bookmarkStart w:id="21" w:name="actors"/>
    <w:p>
      <w:pPr>
        <w:pStyle w:val="Heading2"/>
      </w:pPr>
      <w:r>
        <w:t xml:space="preserve">Actors</w:t>
      </w:r>
    </w:p>
    <w:tbl>
      <w:tblPr>
        <w:tblStyle w:val="Table"/>
        <w:tblW w:type="pct" w:w="5000"/>
        <w:tblLook w:firstRow="1" w:lastRow="0" w:firstColumn="0" w:lastColumn="0" w:noHBand="0" w:noVBand="0" w:val="0020"/>
        <w:jc w:val="start"/>
      </w:tblPr>
      <w:tblGrid>
        <w:gridCol w:w="2410"/>
        <w:gridCol w:w="5509"/>
      </w:tblGrid>
      <w:tr>
        <w:trPr>
          <w:tblHeader w:val="true"/>
        </w:trPr>
        <w:tc>
          <w:tcPr/>
          <w:p>
            <w:pPr>
              <w:pStyle w:val="Compact"/>
              <w:jc w:val="left"/>
            </w:pPr>
            <w:r>
              <w:t xml:space="preserve">Actor</w:t>
            </w:r>
          </w:p>
        </w:tc>
        <w:tc>
          <w:tcPr/>
          <w:p>
            <w:pPr>
              <w:pStyle w:val="Compact"/>
              <w:jc w:val="left"/>
            </w:pPr>
            <w:r>
              <w:t xml:space="preserve">One-line scope</w:t>
            </w:r>
          </w:p>
        </w:tc>
      </w:tr>
      <w:tr>
        <w:tc>
          <w:tcPr/>
          <w:p>
            <w:pPr>
              <w:pStyle w:val="Compact"/>
              <w:jc w:val="left"/>
            </w:pPr>
            <w:r>
              <w:rPr>
                <w:bCs/>
                <w:b/>
              </w:rPr>
              <w:t xml:space="preserve">Engineering Lead</w:t>
            </w:r>
          </w:p>
        </w:tc>
        <w:tc>
          <w:tcPr/>
          <w:p>
            <w:pPr>
              <w:pStyle w:val="Compact"/>
              <w:jc w:val="left"/>
            </w:pPr>
            <w:r>
              <w:t xml:space="preserve">Ingestion, pipelines, UC tag application, DQ tests, automation. Reports up to Product Group.</w:t>
            </w:r>
          </w:p>
        </w:tc>
      </w:tr>
      <w:tr>
        <w:tc>
          <w:tcPr/>
          <w:p>
            <w:pPr>
              <w:pStyle w:val="Compact"/>
              <w:jc w:val="left"/>
            </w:pPr>
            <w:r>
              <w:rPr>
                <w:bCs/>
                <w:b/>
              </w:rPr>
              <w:t xml:space="preserve">App Owner</w:t>
            </w:r>
          </w:p>
        </w:tc>
        <w:tc>
          <w:tcPr/>
          <w:p>
            <w:pPr>
              <w:pStyle w:val="Compact"/>
              <w:jc w:val="left"/>
            </w:pPr>
            <w:r>
              <w:t xml:space="preserve">Owns and operates a Risk application (XVALA, CMOS, REGDS, etc.); lands data; identifies and classifies dimensions. Reports up to Product Group.</w:t>
            </w:r>
          </w:p>
        </w:tc>
      </w:tr>
      <w:tr>
        <w:tc>
          <w:tcPr/>
          <w:p>
            <w:pPr>
              <w:pStyle w:val="Compact"/>
              <w:jc w:val="left"/>
            </w:pPr>
            <w:r>
              <w:rPr>
                <w:bCs/>
                <w:b/>
              </w:rPr>
              <w:t xml:space="preserve">Tech Product Owner</w:t>
            </w:r>
          </w:p>
        </w:tc>
        <w:tc>
          <w:tcPr/>
          <w:p>
            <w:pPr>
              <w:pStyle w:val="Compact"/>
              <w:jc w:val="left"/>
            </w:pPr>
            <w:r>
              <w:t xml:space="preserve">PG-level business definition; consolidates dimensions across apps; sets canonical naming. Reports up to Product Group.</w:t>
            </w:r>
          </w:p>
        </w:tc>
      </w:tr>
      <w:tr>
        <w:tc>
          <w:tcPr/>
          <w:p>
            <w:pPr>
              <w:pStyle w:val="Compact"/>
              <w:jc w:val="left"/>
            </w:pPr>
            <w:r>
              <w:rPr>
                <w:bCs/>
                <w:b/>
              </w:rPr>
              <w:t xml:space="preserve">Data Product Owner (DD for now)</w:t>
            </w:r>
          </w:p>
        </w:tc>
        <w:tc>
          <w:tcPr/>
          <w:p>
            <w:pPr>
              <w:pStyle w:val="Compact"/>
              <w:jc w:val="left"/>
            </w:pPr>
            <w:r>
              <w:t xml:space="preserve">New role — spans applications. Translates business needs into data products; authors contracts. Currently the Risk Data Director (DD) function.</w:t>
            </w:r>
          </w:p>
        </w:tc>
      </w:tr>
      <w:tr>
        <w:tc>
          <w:tcPr/>
          <w:p>
            <w:pPr>
              <w:pStyle w:val="Compact"/>
              <w:jc w:val="left"/>
            </w:pPr>
            <w:r>
              <w:rPr>
                <w:bCs/>
                <w:b/>
              </w:rPr>
              <w:t xml:space="preserve">Risk Warehouse Data Team</w:t>
            </w:r>
          </w:p>
        </w:tc>
        <w:tc>
          <w:tcPr/>
          <w:p>
            <w:pPr>
              <w:pStyle w:val="Compact"/>
              <w:jc w:val="left"/>
            </w:pPr>
            <w:r>
              <w:t xml:space="preserve">Authors contracts; applies analytics-zone UC tags; maintains standards and templates.</w:t>
            </w:r>
          </w:p>
        </w:tc>
      </w:tr>
      <w:tr>
        <w:tc>
          <w:tcPr/>
          <w:p>
            <w:pPr>
              <w:pStyle w:val="Compact"/>
              <w:jc w:val="left"/>
            </w:pPr>
            <w:r>
              <w:rPr>
                <w:bCs/>
                <w:b/>
              </w:rPr>
              <w:t xml:space="preserve">Business</w:t>
            </w:r>
          </w:p>
        </w:tc>
        <w:tc>
          <w:tcPr/>
          <w:p>
            <w:pPr>
              <w:pStyle w:val="Compact"/>
              <w:jc w:val="left"/>
            </w:pPr>
            <w:r>
              <w:t xml:space="preserve">Surfaces data needs; defines use cases; consumes data products; validates outputs.</w:t>
            </w:r>
          </w:p>
        </w:tc>
      </w:tr>
      <w:tr>
        <w:tc>
          <w:tcPr/>
          <w:p>
            <w:pPr>
              <w:pStyle w:val="Compact"/>
              <w:jc w:val="left"/>
            </w:pPr>
            <w:r>
              <w:rPr>
                <w:bCs/>
                <w:b/>
              </w:rPr>
              <w:t xml:space="preserve">TDVIP Infra</w:t>
            </w:r>
          </w:p>
        </w:tc>
        <w:tc>
          <w:tcPr/>
          <w:p>
            <w:pPr>
              <w:pStyle w:val="Compact"/>
              <w:jc w:val="left"/>
            </w:pPr>
            <w:r>
              <w:t xml:space="preserve">Databricks / Unity Catalog platform — provisions catalogs, schemas, AD groups, access.</w:t>
            </w:r>
          </w:p>
        </w:tc>
      </w:tr>
      <w:tr>
        <w:tc>
          <w:tcPr/>
          <w:p>
            <w:pPr>
              <w:pStyle w:val="Compact"/>
              <w:jc w:val="left"/>
            </w:pPr>
            <w:r>
              <w:rPr>
                <w:bCs/>
                <w:b/>
              </w:rPr>
              <w:t xml:space="preserve">TDVIP Data</w:t>
            </w:r>
          </w:p>
        </w:tc>
        <w:tc>
          <w:tcPr/>
          <w:p>
            <w:pPr>
              <w:pStyle w:val="Compact"/>
              <w:jc w:val="left"/>
            </w:pPr>
            <w:r>
              <w:t xml:space="preserve">Enterprise data governance — provides canonical entity models (CDM); approves classification framework; owns UC tag taxonomy.</w:t>
            </w:r>
          </w:p>
        </w:tc>
      </w:tr>
    </w:tbl>
    <w:p>
      <w:r>
        <w:pict>
          <v:rect style="width:0;height:1.5pt" o:hralign="center" o:hrstd="t" o:hr="t"/>
        </w:pict>
      </w:r>
    </w:p>
    <w:bookmarkEnd w:id="21"/>
    <w:bookmarkStart w:id="22" w:name="activities-matrix"/>
    <w:p>
      <w:pPr>
        <w:pStyle w:val="Heading2"/>
      </w:pPr>
      <w:r>
        <w:t xml:space="preserve">Activities matrix</w:t>
      </w:r>
    </w:p>
    <w:p>
      <w:pPr>
        <w:pStyle w:val="FirstParagraph"/>
      </w:pPr>
      <w:r>
        <w:t xml:space="preserve">The matrix is the primary reference. Activities are grouped by</w:t>
      </w:r>
      <w:r>
        <w:t xml:space="preserve"> </w:t>
      </w:r>
      <w:r>
        <w:rPr>
          <w:bCs/>
          <w:b/>
        </w:rPr>
        <w:t xml:space="preserve">Category</w:t>
      </w:r>
      <w:r>
        <w:t xml:space="preserve"> </w:t>
      </w:r>
      <w:r>
        <w:t xml:space="preserve">(Business · App Owner · Engineering · Data Contract · Product Group · Governance · Change &amp; Consume · Infrastructure).</w:t>
      </w:r>
    </w:p>
    <w:p>
      <w:pPr>
        <w:pStyle w:val="BodyText"/>
      </w:pPr>
      <w:r>
        <w:t xml:space="preserve">★ marks activities that get expanded below.</w:t>
      </w:r>
    </w:p>
    <w:p>
      <w:pPr>
        <w:pStyle w:val="BodyText"/>
      </w:pPr>
      <w:r>
        <w:rPr>
          <w:iCs/>
          <w:i/>
        </w:rPr>
        <w:t xml:space="preserve">Embed:</w:t>
      </w:r>
      <w:r>
        <w:rPr>
          <w:iCs/>
          <w:i/>
        </w:rPr>
        <w:t xml:space="preserve"> </w:t>
      </w:r>
      <w:r>
        <w:rPr>
          <w:rStyle w:val="VerbatimChar"/>
          <w:iCs/>
          <w:i/>
        </w:rPr>
        <w:t xml:space="preserve">activities_matrix_v1.xlsx</w:t>
      </w:r>
    </w:p>
    <w:p>
      <w:r>
        <w:pict>
          <v:rect style="width:0;height:1.5pt" o:hralign="center" o:hrstd="t" o:hr="t"/>
        </w:pict>
      </w:r>
    </w:p>
    <w:bookmarkEnd w:id="22"/>
    <w:bookmarkStart w:id="39" w:name="starred-activity-explanations"/>
    <w:p>
      <w:pPr>
        <w:pStyle w:val="Heading2"/>
      </w:pPr>
      <w:r>
        <w:t xml:space="preserve">Starred activity explanations</w:t>
      </w:r>
    </w:p>
    <w:p>
      <w:pPr>
        <w:pStyle w:val="FirstParagraph"/>
      </w:pPr>
      <w:r>
        <w:t xml:space="preserve">The activities below are flagged with ★ in the matrix because they deserve more than a single row. Each is described here.</w:t>
      </w:r>
    </w:p>
    <w:bookmarkStart w:id="23" w:name="X6a809d2e55c3d05094fd27b66edfabe749627e0"/>
    <w:p>
      <w:pPr>
        <w:pStyle w:val="Heading3"/>
      </w:pPr>
      <w:r>
        <w:t xml:space="preserve">★ Identify business needs and pain points</w:t>
      </w:r>
      <w:r>
        <w:t xml:space="preserve"> </w:t>
      </w:r>
      <w:r>
        <w:rPr>
          <w:iCs/>
          <w:i/>
        </w:rPr>
        <w:t xml:space="preserve">(Business)</w:t>
      </w:r>
    </w:p>
    <w:p>
      <w:pPr>
        <w:pStyle w:val="FirstParagraph"/>
      </w:pPr>
      <w:r>
        <w:t xml:space="preserve">The starting point for the analytics stream. The Business identifies a data need or pain point — typically a question that current reports don’t answer, a dashboard that’s missing, a metric that’s stuck in spreadsheets, or a regulatory or limit-monitoring requirement that needs to be operationalised. Needs can be raised informally first (conversation with Risk Data or PG owner) or directly via Jira intake.</w:t>
      </w:r>
    </w:p>
    <w:bookmarkEnd w:id="23"/>
    <w:bookmarkStart w:id="24" w:name="X0dfbe7cafc3e2322bae6e6904c24844c6843135"/>
    <w:p>
      <w:pPr>
        <w:pStyle w:val="Heading3"/>
      </w:pPr>
      <w:r>
        <w:t xml:space="preserve">★ Raise Jira intake for a new data product</w:t>
      </w:r>
      <w:r>
        <w:t xml:space="preserve"> </w:t>
      </w:r>
      <w:r>
        <w:rPr>
          <w:iCs/>
          <w:i/>
        </w:rPr>
        <w:t xml:space="preserve">(Business)</w:t>
      </w:r>
    </w:p>
    <w:p>
      <w:pPr>
        <w:pStyle w:val="FirstParagraph"/>
      </w:pPr>
      <w:r>
        <w:t xml:space="preserve">When a business need can’t be served by an existing data product, the Business raises a Jira intake. The intake form is intentionally short — 7 fields: requesting team, brief description, target consumer, urgency, known source(s), known PG (optional, auto-routes), business approver. The full intake spec is on the</w:t>
      </w:r>
      <w:r>
        <w:t xml:space="preserve"> </w:t>
      </w:r>
      <w:hyperlink w:anchor="Xa39a3ee5e6b4b0d3255bfef95601890afd80709">
        <w:r>
          <w:rPr>
            <w:rStyle w:val="Hyperlink"/>
          </w:rPr>
          <w:t xml:space="preserve">Standards &amp; Artifacts Library page</w:t>
        </w:r>
      </w:hyperlink>
      <w:r>
        <w:t xml:space="preserve">, Section B.</w:t>
      </w:r>
    </w:p>
    <w:bookmarkEnd w:id="24"/>
    <w:bookmarkStart w:id="25" w:name="Xe2496590025695d88d655c966252f5fbe8317da"/>
    <w:p>
      <w:pPr>
        <w:pStyle w:val="Heading3"/>
      </w:pPr>
      <w:r>
        <w:t xml:space="preserve">★ Validate output against original use case</w:t>
      </w:r>
      <w:r>
        <w:t xml:space="preserve"> </w:t>
      </w:r>
      <w:r>
        <w:rPr>
          <w:iCs/>
          <w:i/>
        </w:rPr>
        <w:t xml:space="preserve">(Business)</w:t>
      </w:r>
    </w:p>
    <w:p>
      <w:pPr>
        <w:pStyle w:val="FirstParagraph"/>
      </w:pPr>
      <w:r>
        <w:t xml:space="preserve">Before a data product is considered complete, the Business validates that it actually serves the use case that drove the intake. This validation closes the loop between the original need (activity 1) and the delivered product. If validation fails, the contract is adjusted and the build cycle iterates.</w:t>
      </w:r>
    </w:p>
    <w:bookmarkEnd w:id="25"/>
    <w:bookmarkStart w:id="26" w:name="X2018a3c4a3eb770b5dbbac976d81fd955a19d0a"/>
    <w:p>
      <w:pPr>
        <w:pStyle w:val="Heading3"/>
      </w:pPr>
      <w:r>
        <w:t xml:space="preserve">★ Identify reports or data sources that satisfy a business need</w:t>
      </w:r>
      <w:r>
        <w:t xml:space="preserve"> </w:t>
      </w:r>
      <w:r>
        <w:rPr>
          <w:iCs/>
          <w:i/>
        </w:rPr>
        <w:t xml:space="preserve">(App Owner)</w:t>
      </w:r>
    </w:p>
    <w:p>
      <w:pPr>
        <w:pStyle w:val="FirstParagraph"/>
      </w:pPr>
      <w:r>
        <w:t xml:space="preserve">When a business need is raised, the App Owner reviews existing reports, source tables, and data flows in their application to identify what already exists that can serve the need. Today, most Risk data is shaped through application-generated reports. The starting question is whether one of those reports — or its underlying data — can be promoted into a contracted data product. Where it can, the App Owner partners with the Data Product Owner (DD) to define the path.</w:t>
      </w:r>
    </w:p>
    <w:bookmarkEnd w:id="26"/>
    <w:bookmarkStart w:id="27" w:name="X41d51e382e9dcf7cdcb6e0480871cb1b3e9e63c"/>
    <w:p>
      <w:pPr>
        <w:pStyle w:val="Heading3"/>
      </w:pPr>
      <w:r>
        <w:t xml:space="preserve">★ Document app schema and data context</w:t>
      </w:r>
      <w:r>
        <w:t xml:space="preserve"> </w:t>
      </w:r>
      <w:r>
        <w:rPr>
          <w:iCs/>
          <w:i/>
        </w:rPr>
        <w:t xml:space="preserve">(App Owner)</w:t>
      </w:r>
    </w:p>
    <w:p>
      <w:pPr>
        <w:pStyle w:val="FirstParagraph"/>
      </w:pPr>
      <w:r>
        <w:t xml:space="preserve">The App Owner documents their application’s schema and data context — what tables exist, what they hold, who uses them today, where the data comes from, and what business rules apply. This is foundational work that supports both the analytics stream (App Owner needs this when partnering with DD on activity above) and the PG-level consolidation (Tech Product Owner uses these app-level documents to build the conformed schema).</w:t>
      </w:r>
    </w:p>
    <w:bookmarkEnd w:id="27"/>
    <w:bookmarkStart w:id="28" w:name="Xcedde92bd2372ae52f44c84a1e19a0b1aac8f2e"/>
    <w:p>
      <w:pPr>
        <w:pStyle w:val="Heading3"/>
      </w:pPr>
      <w:r>
        <w:t xml:space="preserve">★ Identify dimensions referenced in the app</w:t>
      </w:r>
      <w:r>
        <w:t xml:space="preserve"> </w:t>
      </w:r>
      <w:r>
        <w:rPr>
          <w:iCs/>
          <w:i/>
        </w:rPr>
        <w:t xml:space="preserve">(App Owner)</w:t>
      </w:r>
    </w:p>
    <w:p>
      <w:pPr>
        <w:pStyle w:val="FirstParagraph"/>
      </w:pPr>
      <w:r>
        <w:t xml:space="preserve">For each application, the App Owner lists every dimension referenced in the data — counterparty, currency, scenario, time bucket, product, region, and so on. This is a literal listing exercise: every column that joins out to a dimension table, every reference to a master data entity, every grouping attribute used in reports.</w:t>
      </w:r>
    </w:p>
    <w:bookmarkEnd w:id="28"/>
    <w:bookmarkStart w:id="29" w:name="X1af2fbc30b447e8db04613ad7af038a6b4005ad"/>
    <w:p>
      <w:pPr>
        <w:pStyle w:val="Heading3"/>
      </w:pPr>
      <w:r>
        <w:t xml:space="preserve">★ Classify dimensions: shared (CDM) vs local</w:t>
      </w:r>
      <w:r>
        <w:t xml:space="preserve"> </w:t>
      </w:r>
      <w:r>
        <w:rPr>
          <w:iCs/>
          <w:i/>
        </w:rPr>
        <w:t xml:space="preserve">(App Owner)</w:t>
      </w:r>
    </w:p>
    <w:p>
      <w:pPr>
        <w:pStyle w:val="FirstParagraph"/>
      </w:pPr>
      <w:r>
        <w:t xml:space="preserve">For each dimension identified above, the App Owner classifies it as:</w:t>
      </w:r>
    </w:p>
    <w:p>
      <w:pPr>
        <w:numPr>
          <w:ilvl w:val="0"/>
          <w:numId w:val="1001"/>
        </w:numPr>
        <w:pStyle w:val="Compact"/>
      </w:pPr>
      <w:r>
        <w:rPr>
          <w:bCs/>
          <w:b/>
        </w:rPr>
        <w:t xml:space="preserve">(a) Shared dimension from the enterprise CDM</w:t>
      </w:r>
      <w:r>
        <w:t xml:space="preserve"> </w:t>
      </w:r>
      <w:r>
        <w:t xml:space="preserve">— a dimension that already exists in the CDM (Counterparty, Currency, Legal Entity, Trade, etc.). The App Owner records the CDM reference.</w:t>
      </w:r>
    </w:p>
    <w:p>
      <w:pPr>
        <w:numPr>
          <w:ilvl w:val="0"/>
          <w:numId w:val="1001"/>
        </w:numPr>
        <w:pStyle w:val="Compact"/>
      </w:pPr>
      <w:r>
        <w:rPr>
          <w:bCs/>
          <w:b/>
        </w:rPr>
        <w:t xml:space="preserve">(b) Locally-generated dimension</w:t>
      </w:r>
      <w:r>
        <w:t xml:space="preserve"> </w:t>
      </w:r>
      <w:r>
        <w:t xml:space="preserve">— a dimension specific to this application (e.g., a custom scenario taxonomy, a model-specific risk bucket). The App Owner documents the local definition, its scope, and whether it could be a candidate for promotion to the CDM later.</w:t>
      </w:r>
    </w:p>
    <w:p>
      <w:pPr>
        <w:pStyle w:val="FirstParagraph"/>
      </w:pPr>
      <w:r>
        <w:t xml:space="preserve">This classification is what makes PG-level consolidation possible. The Tech Product Owner subsequently takes the app-level classifications and consolidates them into the PG conformed schema — resolving cross-app duplicates and enriching CDM dimensions where Risk-specific attributes are needed.</w:t>
      </w:r>
    </w:p>
    <w:bookmarkEnd w:id="29"/>
    <w:bookmarkStart w:id="30" w:name="Xbfff69c822da3b06c9f0ce79b0412d556058239"/>
    <w:p>
      <w:pPr>
        <w:pStyle w:val="Heading3"/>
      </w:pPr>
      <w:r>
        <w:t xml:space="preserve">★ Promote reports / source data into a data product</w:t>
      </w:r>
      <w:r>
        <w:t xml:space="preserve"> </w:t>
      </w:r>
      <w:r>
        <w:rPr>
          <w:iCs/>
          <w:i/>
        </w:rPr>
        <w:t xml:space="preserve">(Data Contract)</w:t>
      </w:r>
    </w:p>
    <w:p>
      <w:pPr>
        <w:pStyle w:val="FirstParagraph"/>
      </w:pPr>
      <w:r>
        <w:t xml:space="preserve">The Data Product Owner (DD) takes a report or source data set that an App Owner has identified and promotes it into a contracted data product. Promotion means: the data is moved into the</w:t>
      </w:r>
      <w:r>
        <w:t xml:space="preserve"> </w:t>
      </w:r>
      <w:r>
        <w:rPr>
          <w:rStyle w:val="VerbatimChar"/>
        </w:rPr>
        <w:t xml:space="preserve">riskwh</w:t>
      </w:r>
      <w:r>
        <w:t xml:space="preserve"> </w:t>
      </w:r>
      <w:r>
        <w:t xml:space="preserve">analytics layer, given a contract, named per the convention, tagged in UC, registered in Collibra, and exposed for consumption. The report continues to exist (apps keep their reports); the data product is the governed analytics version.</w:t>
      </w:r>
    </w:p>
    <w:bookmarkEnd w:id="30"/>
    <w:bookmarkStart w:id="31" w:name="author-the-data-contract-data-contract"/>
    <w:p>
      <w:pPr>
        <w:pStyle w:val="Heading3"/>
      </w:pPr>
      <w:r>
        <w:t xml:space="preserve">★ Author the data contract</w:t>
      </w:r>
      <w:r>
        <w:t xml:space="preserve"> </w:t>
      </w:r>
      <w:r>
        <w:rPr>
          <w:iCs/>
          <w:i/>
        </w:rPr>
        <w:t xml:space="preserve">(Data Contract)</w:t>
      </w:r>
    </w:p>
    <w:p>
      <w:pPr>
        <w:pStyle w:val="FirstParagraph"/>
      </w:pPr>
      <w:r>
        <w:t xml:space="preserve">The Data Product Owner (DD), with the Risk Warehouse Data Team, authors the data contract for the product. The contract is a YAML file in Git that captures the full product definition — product identity, grain, dimensions, measures, quality constraints, SLA, change policy, lineage, and change history. The contract has 29 attributes; the full attribute spec is on the</w:t>
      </w:r>
      <w:r>
        <w:t xml:space="preserve"> </w:t>
      </w:r>
      <w:hyperlink w:anchor="Xa39a3ee5e6b4b0d3255bfef95601890afd80709">
        <w:r>
          <w:rPr>
            <w:rStyle w:val="Hyperlink"/>
          </w:rPr>
          <w:t xml:space="preserve">Standards &amp; Artifacts Library page</w:t>
        </w:r>
      </w:hyperlink>
      <w:r>
        <w:t xml:space="preserve">, Section C.</w:t>
      </w:r>
    </w:p>
    <w:bookmarkEnd w:id="31"/>
    <w:bookmarkStart w:id="32" w:name="X4f71d8bf8655e8c7caf688478efbb962f05dded"/>
    <w:p>
      <w:pPr>
        <w:pStyle w:val="Heading3"/>
      </w:pPr>
      <w:r>
        <w:t xml:space="preserve">★ Define grain, allowed/blocked dimensions</w:t>
      </w:r>
      <w:r>
        <w:t xml:space="preserve"> </w:t>
      </w:r>
      <w:r>
        <w:rPr>
          <w:iCs/>
          <w:i/>
        </w:rPr>
        <w:t xml:space="preserve">(Data Contract)</w:t>
      </w:r>
    </w:p>
    <w:p>
      <w:pPr>
        <w:pStyle w:val="FirstParagraph"/>
      </w:pPr>
      <w:r>
        <w:t xml:space="preserve">Grain is the level of detail one row represents (counterparty + netting set + time bucket + scenario + valuation date, for example). Allowed dimensions are those a consumer can safely slice by; blocked dimensions are those that would produce wrong answers if used. Getting grain right is the most consequential decision in the contract — it determines what aggregations are valid.</w:t>
      </w:r>
    </w:p>
    <w:bookmarkEnd w:id="32"/>
    <w:bookmarkStart w:id="33" w:name="Xabfb773db9fbc5ce28e7454dd28586790c632cd"/>
    <w:p>
      <w:pPr>
        <w:pStyle w:val="Heading3"/>
      </w:pPr>
      <w:r>
        <w:t xml:space="preserve">★ Automation of data contract authoring and tagging</w:t>
      </w:r>
      <w:r>
        <w:t xml:space="preserve"> </w:t>
      </w:r>
      <w:r>
        <w:rPr>
          <w:iCs/>
          <w:i/>
        </w:rPr>
        <w:t xml:space="preserve">(Data Contract)</w:t>
      </w:r>
    </w:p>
    <w:p>
      <w:pPr>
        <w:pStyle w:val="FirstParagraph"/>
      </w:pPr>
      <w:r>
        <w:t xml:space="preserve">Initially, contracts are authored manually as YAML files in Git and UC tags are applied via</w:t>
      </w:r>
      <w:r>
        <w:t xml:space="preserve"> </w:t>
      </w:r>
      <w:r>
        <w:rPr>
          <w:rStyle w:val="VerbatimChar"/>
        </w:rPr>
        <w:t xml:space="preserve">ALTER TABLE SET TAGS</w:t>
      </w:r>
      <w:r>
        <w:t xml:space="preserve"> </w:t>
      </w:r>
      <w:r>
        <w:t xml:space="preserve">statements. As the function scales, the contract authoring and tagging process should be automated to reduce manual effort and improve consistency. Options include:</w:t>
      </w:r>
    </w:p>
    <w:p>
      <w:pPr>
        <w:numPr>
          <w:ilvl w:val="0"/>
          <w:numId w:val="1002"/>
        </w:numPr>
        <w:pStyle w:val="Compact"/>
      </w:pPr>
      <w:r>
        <w:t xml:space="preserve">A custom UI for contract authoring that pre-populates from the source schema</w:t>
      </w:r>
    </w:p>
    <w:p>
      <w:pPr>
        <w:numPr>
          <w:ilvl w:val="0"/>
          <w:numId w:val="1002"/>
        </w:numPr>
        <w:pStyle w:val="Compact"/>
      </w:pPr>
      <w:r>
        <w:t xml:space="preserve">Using Collibra’s UI to read metadata from Unity Catalog and populate a data product template</w:t>
      </w:r>
    </w:p>
    <w:p>
      <w:pPr>
        <w:numPr>
          <w:ilvl w:val="0"/>
          <w:numId w:val="1002"/>
        </w:numPr>
        <w:pStyle w:val="Compact"/>
      </w:pPr>
      <w:r>
        <w:t xml:space="preserve">A CI/CD pipeline that validates contracts on commit and applies UC tags from the YAML</w:t>
      </w:r>
    </w:p>
    <w:p>
      <w:pPr>
        <w:numPr>
          <w:ilvl w:val="0"/>
          <w:numId w:val="1002"/>
        </w:numPr>
        <w:pStyle w:val="Compact"/>
      </w:pPr>
      <w:r>
        <w:t xml:space="preserve">A linter that validates contract YAML against the rules in the</w:t>
      </w:r>
      <w:r>
        <w:t xml:space="preserve"> </w:t>
      </w:r>
      <w:hyperlink w:anchor="Xa39a3ee5e6b4b0d3255bfef95601890afd80709">
        <w:r>
          <w:rPr>
            <w:rStyle w:val="Hyperlink"/>
          </w:rPr>
          <w:t xml:space="preserve">Naming Convention Standard</w:t>
        </w:r>
      </w:hyperlink>
      <w:r>
        <w:t xml:space="preserve"> </w:t>
      </w:r>
      <w:r>
        <w:t xml:space="preserve">before commit</w:t>
      </w:r>
    </w:p>
    <w:p>
      <w:pPr>
        <w:pStyle w:val="FirstParagraph"/>
      </w:pPr>
      <w:r>
        <w:t xml:space="preserve">The specific approach is to be defined as Engineering builds out platform capabilities. Owned by Engineering Lead; specified in partnership with the Data Product Owner (DD).</w:t>
      </w:r>
    </w:p>
    <w:bookmarkEnd w:id="33"/>
    <w:bookmarkStart w:id="34" w:name="X63e339b0972f3fe273d64a62da03949b5ca8062"/>
    <w:p>
      <w:pPr>
        <w:pStyle w:val="Heading3"/>
      </w:pPr>
      <w:r>
        <w:t xml:space="preserve">★ Consolidate dimensions across apps in the PG</w:t>
      </w:r>
      <w:r>
        <w:t xml:space="preserve"> </w:t>
      </w:r>
      <w:r>
        <w:rPr>
          <w:iCs/>
          <w:i/>
        </w:rPr>
        <w:t xml:space="preserve">(Product Group)</w:t>
      </w:r>
    </w:p>
    <w:p>
      <w:pPr>
        <w:pStyle w:val="FirstParagraph"/>
      </w:pPr>
      <w:r>
        <w:t xml:space="preserve">The Tech Product Owner takes the dimension classifications produced by each App Owner in the PG (see App Owner’s classify-dimensions activity above) and consolidates them into a single PG-level view. This step resolves duplicates — e.g., where XVALA and CMOS both have a</w:t>
      </w:r>
      <w:r>
        <w:t xml:space="preserve"> </w:t>
      </w:r>
      <w:r>
        <w:t xml:space="preserve">“</w:t>
      </w:r>
      <w:r>
        <w:t xml:space="preserve">counterparty</w:t>
      </w:r>
      <w:r>
        <w:t xml:space="preserve">”</w:t>
      </w:r>
      <w:r>
        <w:t xml:space="preserve"> </w:t>
      </w:r>
      <w:r>
        <w:t xml:space="preserve">dimension with slightly different definitions, the Tech Product Owner reconciles into one canonical definition. The result becomes the PG domain model.</w:t>
      </w:r>
    </w:p>
    <w:bookmarkEnd w:id="34"/>
    <w:bookmarkStart w:id="35" w:name="define-pg-conformed-schema-product-group"/>
    <w:p>
      <w:pPr>
        <w:pStyle w:val="Heading3"/>
      </w:pPr>
      <w:r>
        <w:t xml:space="preserve">★ Define PG conformed schema</w:t>
      </w:r>
      <w:r>
        <w:t xml:space="preserve"> </w:t>
      </w:r>
      <w:r>
        <w:rPr>
          <w:iCs/>
          <w:i/>
        </w:rPr>
        <w:t xml:space="preserve">(Product Group)</w:t>
      </w:r>
    </w:p>
    <w:p>
      <w:pPr>
        <w:pStyle w:val="FirstParagraph"/>
      </w:pPr>
      <w:r>
        <w:t xml:space="preserve">The PG conformed schema (</w:t>
      </w:r>
      <w:r>
        <w:rPr>
          <w:rStyle w:val="VerbatimChar"/>
        </w:rPr>
        <w:t xml:space="preserve">creditrisk.conformed</w:t>
      </w:r>
      <w:r>
        <w:t xml:space="preserve">,</w:t>
      </w:r>
      <w:r>
        <w:t xml:space="preserve"> </w:t>
      </w:r>
      <w:r>
        <w:rPr>
          <w:rStyle w:val="VerbatimChar"/>
        </w:rPr>
        <w:t xml:space="preserve">marketrisk.conformed</w:t>
      </w:r>
      <w:r>
        <w:t xml:space="preserve">, etc.) is the layer where dimensions are resolved across apps and where CDM dimensions are enriched with Risk-specific attributes. The Tech Product Owner defines what dimensions live in this schema, what they contain, and how they relate to app-level data. This is the long-lived, app-agnostic view of the PG’s data. See the</w:t>
      </w:r>
      <w:r>
        <w:t xml:space="preserve"> </w:t>
      </w:r>
      <w:hyperlink w:anchor="Xa39a3ee5e6b4b0d3255bfef95601890afd80709">
        <w:r>
          <w:rPr>
            <w:rStyle w:val="Hyperlink"/>
          </w:rPr>
          <w:t xml:space="preserve">Schema &amp; Catalog Design Standard</w:t>
        </w:r>
      </w:hyperlink>
      <w:r>
        <w:t xml:space="preserve">, Section E.</w:t>
      </w:r>
    </w:p>
    <w:bookmarkEnd w:id="35"/>
    <w:bookmarkStart w:id="36" w:name="define-pg-domain-model-product-group"/>
    <w:p>
      <w:pPr>
        <w:pStyle w:val="Heading3"/>
      </w:pPr>
      <w:r>
        <w:t xml:space="preserve">★ Define PG domain model</w:t>
      </w:r>
      <w:r>
        <w:t xml:space="preserve"> </w:t>
      </w:r>
      <w:r>
        <w:rPr>
          <w:iCs/>
          <w:i/>
        </w:rPr>
        <w:t xml:space="preserve">(Product Group)</w:t>
      </w:r>
    </w:p>
    <w:p>
      <w:pPr>
        <w:pStyle w:val="FirstParagraph"/>
      </w:pPr>
      <w:r>
        <w:t xml:space="preserve">The Tech Product Owner defines the PG-level domain model — entities, relationships, business rules, naming. The domain model is conceptual; the PG conformed schema is its physical realisation in Databricks. The model is the long-lived asset; specific applications come and go but the model persists.</w:t>
      </w:r>
    </w:p>
    <w:bookmarkEnd w:id="36"/>
    <w:bookmarkStart w:id="37" w:name="X409b286dc8a054aa7533fb12cfb8f953703ec37"/>
    <w:p>
      <w:pPr>
        <w:pStyle w:val="Heading3"/>
      </w:pPr>
      <w:r>
        <w:t xml:space="preserve">★ Set canonical naming authority at</w:t>
      </w:r>
      <w:r>
        <w:t xml:space="preserve"> </w:t>
      </w:r>
      <w:r>
        <w:rPr>
          <w:rStyle w:val="VerbatimChar"/>
        </w:rPr>
        <w:t xml:space="preserve">&lt;pg&gt;.conformed</w:t>
      </w:r>
      <w:r>
        <w:t xml:space="preserve"> </w:t>
      </w:r>
      <w:r>
        <w:rPr>
          <w:iCs/>
          <w:i/>
        </w:rPr>
        <w:t xml:space="preserve">(Product Group)</w:t>
      </w:r>
    </w:p>
    <w:p>
      <w:pPr>
        <w:pStyle w:val="FirstParagraph"/>
      </w:pPr>
      <w:r>
        <w:t xml:space="preserve">The Tech Product Owner is the naming authority at</w:t>
      </w:r>
      <w:r>
        <w:t xml:space="preserve"> </w:t>
      </w:r>
      <w:r>
        <w:rPr>
          <w:rStyle w:val="VerbatimChar"/>
        </w:rPr>
        <w:t xml:space="preserve">&lt;pg&gt;.conformed</w:t>
      </w:r>
      <w:r>
        <w:t xml:space="preserve">. New names entering the analytics layer pass through PG-level review. The full convention — business name → physical name → short name → app aliases — is on the</w:t>
      </w:r>
      <w:r>
        <w:t xml:space="preserve"> </w:t>
      </w:r>
      <w:hyperlink w:anchor="Xa39a3ee5e6b4b0d3255bfef95601890afd80709">
        <w:r>
          <w:rPr>
            <w:rStyle w:val="Hyperlink"/>
          </w:rPr>
          <w:t xml:space="preserve">Naming Convention Standard</w:t>
        </w:r>
      </w:hyperlink>
      <w:r>
        <w:t xml:space="preserve">, Section F. The Tech Product Owner is the final arbiter when the derivation algorithm produces an ambiguous result.</w:t>
      </w:r>
    </w:p>
    <w:bookmarkEnd w:id="37"/>
    <w:bookmarkStart w:id="38" w:name="Xc6a3015530caf957db1cd7080bb34315428954d"/>
    <w:p>
      <w:pPr>
        <w:pStyle w:val="Heading3"/>
      </w:pPr>
      <w:r>
        <w:t xml:space="preserve">★ Provide enterprise canonical entity models (CDM)</w:t>
      </w:r>
      <w:r>
        <w:t xml:space="preserve"> </w:t>
      </w:r>
      <w:r>
        <w:rPr>
          <w:iCs/>
          <w:i/>
        </w:rPr>
        <w:t xml:space="preserve">(Governance)</w:t>
      </w:r>
    </w:p>
    <w:p>
      <w:pPr>
        <w:pStyle w:val="FirstParagraph"/>
      </w:pPr>
      <w:r>
        <w:t xml:space="preserve">TDVIP Data owns the enterprise CDM — canonical models for Counterparty, Trade, Account, Security, Party, and other shared entities. Risk PGs reference these in their conformed schemas (the</w:t>
      </w:r>
      <w:r>
        <w:t xml:space="preserve"> </w:t>
      </w:r>
      <w:r>
        <w:t xml:space="preserve">“</w:t>
      </w:r>
      <w:r>
        <w:t xml:space="preserve">enriched</w:t>
      </w:r>
      <w:r>
        <w:t xml:space="preserve">”</w:t>
      </w:r>
      <w:r>
        <w:t xml:space="preserve"> </w:t>
      </w:r>
      <w:r>
        <w:t xml:space="preserve">dimension pattern). Where a Risk PG needs an attribute that isn’t in the CDM, the PG adds it locally (the enrichment); where a Risk-only dimension is needed (e.g., scenario taxonomy), the PG defines it without CDM dependency.</w:t>
      </w:r>
    </w:p>
    <w:p>
      <w:r>
        <w:pict>
          <v:rect style="width:0;height:1.5pt" o:hralign="center" o:hrstd="t" o:hr="t"/>
        </w:pict>
      </w:r>
    </w:p>
    <w:bookmarkEnd w:id="38"/>
    <w:bookmarkEnd w:id="39"/>
    <w:bookmarkStart w:id="40" w:name="how-this-page-is-maintained"/>
    <w:p>
      <w:pPr>
        <w:pStyle w:val="Heading2"/>
      </w:pPr>
      <w:r>
        <w:t xml:space="preserve">How this page is maintained</w:t>
      </w:r>
    </w:p>
    <w:p>
      <w:pPr>
        <w:pStyle w:val="FirstParagraph"/>
      </w:pPr>
      <w:r>
        <w:t xml:space="preserve">This page is owned by the Risk Data Team. Updated:</w:t>
      </w:r>
    </w:p>
    <w:p>
      <w:pPr>
        <w:numPr>
          <w:ilvl w:val="0"/>
          <w:numId w:val="1003"/>
        </w:numPr>
        <w:pStyle w:val="Compact"/>
      </w:pPr>
      <w:r>
        <w:t xml:space="preserve">When new activities are introduced (e.g., when automation moves from</w:t>
      </w:r>
      <w:r>
        <w:t xml:space="preserve"> </w:t>
      </w:r>
      <w:r>
        <w:t xml:space="preserve">“</w:t>
      </w:r>
      <w:r>
        <w:t xml:space="preserve">planned</w:t>
      </w:r>
      <w:r>
        <w:t xml:space="preserve">”</w:t>
      </w:r>
      <w:r>
        <w:t xml:space="preserve"> </w:t>
      </w:r>
      <w:r>
        <w:t xml:space="preserve">to</w:t>
      </w:r>
      <w:r>
        <w:t xml:space="preserve"> </w:t>
      </w:r>
      <w:r>
        <w:t xml:space="preserve">“</w:t>
      </w:r>
      <w:r>
        <w:t xml:space="preserve">implemented</w:t>
      </w:r>
      <w:r>
        <w:t xml:space="preserve">”</w:t>
      </w:r>
      <w:r>
        <w:t xml:space="preserve"> </w:t>
      </w:r>
      <w:r>
        <w:t xml:space="preserve">and adds new specifics)</w:t>
      </w:r>
    </w:p>
    <w:p>
      <w:pPr>
        <w:numPr>
          <w:ilvl w:val="0"/>
          <w:numId w:val="1003"/>
        </w:numPr>
        <w:pStyle w:val="Compact"/>
      </w:pPr>
      <w:r>
        <w:t xml:space="preserve">When role scope changes (e.g., when DD becomes a team and Data Product Owner activities can be delegated)</w:t>
      </w:r>
    </w:p>
    <w:p>
      <w:pPr>
        <w:numPr>
          <w:ilvl w:val="0"/>
          <w:numId w:val="1003"/>
        </w:numPr>
        <w:pStyle w:val="Compact"/>
      </w:pPr>
      <w:r>
        <w:t xml:space="preserve">Quarterly review with PG Leaders and App Owners to confirm the picture still matches reality</w:t>
      </w:r>
    </w:p>
    <w:p>
      <w:pPr>
        <w:pStyle w:val="FirstParagraph"/>
      </w:pPr>
      <w:r>
        <w:t xml:space="preserve">Change requests via comments on this page or directly to the Risk Data Team.</w:t>
      </w:r>
    </w:p>
    <w:p>
      <w:r>
        <w:pict>
          <v:rect style="width:0;height:1.5pt" o:hralign="center" o:hrstd="t" o:hr="t"/>
        </w:pict>
      </w:r>
    </w:p>
    <w:bookmarkEnd w:id="40"/>
    <w:bookmarkStart w:id="41" w:name="related-artefacts"/>
    <w:p>
      <w:pPr>
        <w:pStyle w:val="Heading2"/>
      </w:pPr>
      <w:r>
        <w:t xml:space="preserve">Related artefacts</w:t>
      </w:r>
    </w:p>
    <w:tbl>
      <w:tblPr>
        <w:tblStyle w:val="Table"/>
        <w:tblW w:type="pct" w:w="5000"/>
        <w:tblLook w:firstRow="1" w:lastRow="0" w:firstColumn="0" w:lastColumn="0" w:noHBand="0" w:noVBand="0" w:val="0020"/>
        <w:jc w:val="start"/>
      </w:tblPr>
      <w:tblGrid>
        <w:gridCol w:w="4658"/>
        <w:gridCol w:w="3261"/>
      </w:tblGrid>
      <w:tr>
        <w:trPr>
          <w:tblHeader w:val="true"/>
        </w:trPr>
        <w:tc>
          <w:tcPr/>
          <w:p>
            <w:pPr>
              <w:pStyle w:val="Compact"/>
              <w:jc w:val="left"/>
            </w:pPr>
            <w:r>
              <w:t xml:space="preserve">Artefact</w:t>
            </w:r>
          </w:p>
        </w:tc>
        <w:tc>
          <w:tcPr/>
          <w:p>
            <w:pPr>
              <w:pStyle w:val="Compact"/>
              <w:jc w:val="left"/>
            </w:pPr>
            <w:r>
              <w:t xml:space="preserve">Where</w:t>
            </w:r>
          </w:p>
        </w:tc>
      </w:tr>
      <w:tr>
        <w:tc>
          <w:tcPr/>
          <w:p>
            <w:pPr>
              <w:pStyle w:val="Compact"/>
              <w:jc w:val="left"/>
            </w:pPr>
            <w:r>
              <w:t xml:space="preserve">Activities Matrix (Excel)</w:t>
            </w:r>
          </w:p>
        </w:tc>
        <w:tc>
          <w:tcPr/>
          <w:p>
            <w:pPr>
              <w:pStyle w:val="Compact"/>
              <w:jc w:val="left"/>
            </w:pPr>
            <w:r>
              <w:t xml:space="preserve">Attached to this page</w:t>
            </w:r>
          </w:p>
        </w:tc>
      </w:tr>
      <w:tr>
        <w:tc>
          <w:tcPr/>
          <w:p>
            <w:pPr>
              <w:pStyle w:val="Compact"/>
              <w:jc w:val="left"/>
            </w:pPr>
            <w:r>
              <w:t xml:space="preserve">Jira Intake Template</w:t>
            </w:r>
          </w:p>
        </w:tc>
        <w:tc>
          <w:tcPr/>
          <w:p>
            <w:pPr>
              <w:pStyle w:val="Compact"/>
              <w:jc w:val="left"/>
            </w:pPr>
            <w:hyperlink w:anchor="Xa39a3ee5e6b4b0d3255bfef95601890afd80709">
              <w:r>
                <w:rPr>
                  <w:rStyle w:val="Hyperlink"/>
                </w:rPr>
                <w:t xml:space="preserve">Standards &amp; Artifacts Library — Section B</w:t>
              </w:r>
            </w:hyperlink>
          </w:p>
        </w:tc>
      </w:tr>
      <w:tr>
        <w:tc>
          <w:tcPr/>
          <w:p>
            <w:pPr>
              <w:pStyle w:val="Compact"/>
              <w:jc w:val="left"/>
            </w:pPr>
            <w:r>
              <w:t xml:space="preserve">Data Contract Attribute Spec</w:t>
            </w:r>
          </w:p>
        </w:tc>
        <w:tc>
          <w:tcPr/>
          <w:p>
            <w:pPr>
              <w:pStyle w:val="Compact"/>
              <w:jc w:val="left"/>
            </w:pPr>
            <w:hyperlink w:anchor="Xa39a3ee5e6b4b0d3255bfef95601890afd80709">
              <w:r>
                <w:rPr>
                  <w:rStyle w:val="Hyperlink"/>
                </w:rPr>
                <w:t xml:space="preserve">Standards &amp; Artifacts Library — Section C</w:t>
              </w:r>
            </w:hyperlink>
          </w:p>
        </w:tc>
      </w:tr>
      <w:tr>
        <w:tc>
          <w:tcPr/>
          <w:p>
            <w:pPr>
              <w:pStyle w:val="Compact"/>
              <w:jc w:val="left"/>
            </w:pPr>
            <w:r>
              <w:t xml:space="preserve">Data Contract Template (YAML)</w:t>
            </w:r>
          </w:p>
        </w:tc>
        <w:tc>
          <w:tcPr/>
          <w:p>
            <w:pPr>
              <w:pStyle w:val="Compact"/>
              <w:jc w:val="left"/>
            </w:pPr>
            <w:r>
              <w:t xml:space="preserve">Linked from Section C</w:t>
            </w:r>
          </w:p>
        </w:tc>
      </w:tr>
      <w:tr>
        <w:tc>
          <w:tcPr/>
          <w:p>
            <w:pPr>
              <w:pStyle w:val="Compact"/>
              <w:jc w:val="left"/>
            </w:pPr>
            <w:r>
              <w:t xml:space="preserve">UC Tags Unified Table</w:t>
            </w:r>
          </w:p>
        </w:tc>
        <w:tc>
          <w:tcPr/>
          <w:p>
            <w:pPr>
              <w:pStyle w:val="Compact"/>
              <w:jc w:val="left"/>
            </w:pPr>
            <w:hyperlink w:anchor="Xa39a3ee5e6b4b0d3255bfef95601890afd80709">
              <w:r>
                <w:rPr>
                  <w:rStyle w:val="Hyperlink"/>
                </w:rPr>
                <w:t xml:space="preserve">Standards &amp; Artifacts Library — Section D</w:t>
              </w:r>
            </w:hyperlink>
          </w:p>
        </w:tc>
      </w:tr>
      <w:tr>
        <w:tc>
          <w:tcPr/>
          <w:p>
            <w:pPr>
              <w:pStyle w:val="Compact"/>
              <w:jc w:val="left"/>
            </w:pPr>
            <w:r>
              <w:t xml:space="preserve">Schema &amp; Catalog Design Standard</w:t>
            </w:r>
          </w:p>
        </w:tc>
        <w:tc>
          <w:tcPr/>
          <w:p>
            <w:pPr>
              <w:pStyle w:val="Compact"/>
              <w:jc w:val="left"/>
            </w:pPr>
            <w:hyperlink w:anchor="Xa39a3ee5e6b4b0d3255bfef95601890afd80709">
              <w:r>
                <w:rPr>
                  <w:rStyle w:val="Hyperlink"/>
                </w:rPr>
                <w:t xml:space="preserve">Standards &amp; Artifacts Library — Section E</w:t>
              </w:r>
            </w:hyperlink>
          </w:p>
        </w:tc>
      </w:tr>
      <w:tr>
        <w:tc>
          <w:tcPr/>
          <w:p>
            <w:pPr>
              <w:pStyle w:val="Compact"/>
              <w:jc w:val="left"/>
            </w:pPr>
            <w:r>
              <w:t xml:space="preserve">Naming Convention Standard</w:t>
            </w:r>
          </w:p>
        </w:tc>
        <w:tc>
          <w:tcPr/>
          <w:p>
            <w:pPr>
              <w:pStyle w:val="Compact"/>
              <w:jc w:val="left"/>
            </w:pPr>
            <w:hyperlink w:anchor="Xa39a3ee5e6b4b0d3255bfef95601890afd80709">
              <w:r>
                <w:rPr>
                  <w:rStyle w:val="Hyperlink"/>
                </w:rPr>
                <w:t xml:space="preserve">Standards &amp; Artifacts Library — Section F</w:t>
              </w:r>
            </w:hyperlink>
          </w:p>
        </w:tc>
      </w:tr>
      <w:tr>
        <w:tc>
          <w:tcPr/>
          <w:p>
            <w:pPr>
              <w:pStyle w:val="Compact"/>
              <w:jc w:val="left"/>
            </w:pPr>
            <w:r>
              <w:t xml:space="preserve">Abbreviations Dictionary</w:t>
            </w:r>
          </w:p>
        </w:tc>
        <w:tc>
          <w:tcPr/>
          <w:p>
            <w:pPr>
              <w:pStyle w:val="Compact"/>
              <w:jc w:val="left"/>
            </w:pPr>
            <w:hyperlink w:anchor="Xa39a3ee5e6b4b0d3255bfef95601890afd80709">
              <w:r>
                <w:rPr>
                  <w:rStyle w:val="Hyperlink"/>
                </w:rPr>
                <w:t xml:space="preserve">Standards &amp; Artifacts Library — Section G</w:t>
              </w:r>
            </w:hyperlink>
          </w:p>
        </w:tc>
      </w:tr>
      <w:tr>
        <w:tc>
          <w:tcPr/>
          <w:p>
            <w:pPr>
              <w:pStyle w:val="Compact"/>
              <w:jc w:val="left"/>
            </w:pPr>
            <w:r>
              <w:t xml:space="preserve">Consumer Registry Schema</w:t>
            </w:r>
          </w:p>
        </w:tc>
        <w:tc>
          <w:tcPr/>
          <w:p>
            <w:pPr>
              <w:pStyle w:val="Compact"/>
              <w:jc w:val="left"/>
            </w:pPr>
            <w:hyperlink w:anchor="Xa39a3ee5e6b4b0d3255bfef95601890afd80709">
              <w:r>
                <w:rPr>
                  <w:rStyle w:val="Hyperlink"/>
                </w:rPr>
                <w:t xml:space="preserve">Standards &amp; Artifacts Library — Section I</w:t>
              </w:r>
            </w:hyperlink>
          </w:p>
        </w:tc>
      </w:tr>
      <w:tr>
        <w:tc>
          <w:tcPr/>
          <w:p>
            <w:pPr>
              <w:pStyle w:val="Compact"/>
              <w:jc w:val="left"/>
            </w:pPr>
            <w:r>
              <w:t xml:space="preserve">Change Management Surfaces</w:t>
            </w:r>
          </w:p>
        </w:tc>
        <w:tc>
          <w:tcPr/>
          <w:p>
            <w:pPr>
              <w:pStyle w:val="Compact"/>
              <w:jc w:val="left"/>
            </w:pPr>
            <w:hyperlink w:anchor="Xa39a3ee5e6b4b0d3255bfef95601890afd80709">
              <w:r>
                <w:rPr>
                  <w:rStyle w:val="Hyperlink"/>
                </w:rPr>
                <w:t xml:space="preserve">Standards &amp; Artifacts Library — Section J</w:t>
              </w:r>
            </w:hyperlink>
          </w:p>
        </w:tc>
      </w:tr>
    </w:tbl>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2026-05-13T14:27:55Z</dcterms:created>
  <dcterms:modified xsi:type="dcterms:W3CDTF">2026-05-13T14:27:55Z</dcterms:modified>
</cp:coreProperties>
</file>

<file path=docProps/custom.xml><?xml version="1.0" encoding="utf-8"?>
<Properties xmlns="http://schemas.openxmlformats.org/officeDocument/2006/custom-properties" xmlns:vt="http://schemas.openxmlformats.org/officeDocument/2006/docPropsVTypes"/>
</file>