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page-2.-standards-artifacts-library"/>
    <w:p>
      <w:pPr>
        <w:pStyle w:val="Heading1"/>
      </w:pPr>
      <w:r>
        <w:t xml:space="preserve">PAGE: 2. Standards &amp; Artifacts Library</w:t>
      </w:r>
    </w:p>
    <w:p>
      <w:pPr>
        <w:pStyle w:val="FirstParagraph"/>
      </w:pPr>
      <w:r>
        <w:rPr>
          <w:iCs/>
          <w:i/>
        </w:rPr>
        <w:t xml:space="preserve">Standards, templates, and operational artefacts used to onboard, govern, and consume data products in the Risk Warehouse.</w:t>
      </w:r>
    </w:p>
    <w:p>
      <w:pPr>
        <w:pStyle w:val="BodyText"/>
      </w:pPr>
      <w:r>
        <w:rPr>
          <w:iCs/>
          <w:i/>
        </w:rPr>
        <w:t xml:space="preserve">The architectural reference (where things live, who owns what) is on Architecture &amp; Design. This page focuses on the operational artefacts.</w:t>
      </w:r>
    </w:p>
    <w:bookmarkStart w:id="20" w:name="how-the-artefacts-connect"/>
    <w:p>
      <w:pPr>
        <w:pStyle w:val="Heading2"/>
      </w:pPr>
      <w:r>
        <w:t xml:space="preserve">How the artefacts connect</w:t>
      </w:r>
    </w:p>
    <w:p>
      <w:pPr>
        <w:pStyle w:val="FirstParagraph"/>
      </w:pPr>
      <w:r>
        <w:t xml:space="preserve">Business raises a Jira intake → routes to PG owner → PG owner converses with apps and other PGs → Risk Data authors the contract → contract publishes to Unity Catalog and Collibra → product becomes consumable.</w:t>
      </w:r>
    </w:p>
    <w:p>
      <w:pPr>
        <w:pStyle w:val="BodyText"/>
      </w:pPr>
      <w:r>
        <w:rPr>
          <w:iCs/>
          <w:i/>
        </w:rPr>
        <w:t xml:space="preserve">Image: Intake-to-Contract Flow — paste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intake_to_contract_flow_v1.pptx</w:t>
      </w:r>
    </w:p>
    <w:bookmarkEnd w:id="20"/>
    <w:bookmarkStart w:id="21" w:name="artefacts-catalog"/>
    <w:p>
      <w:pPr>
        <w:pStyle w:val="Heading2"/>
      </w:pPr>
      <w:r>
        <w:t xml:space="preserve">Artefacts catalog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9"/>
        <w:gridCol w:w="1298"/>
        <w:gridCol w:w="1558"/>
        <w:gridCol w:w="2726"/>
        <w:gridCol w:w="1038"/>
        <w:gridCol w:w="9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/ authored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Intake-to-Contract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flow from business need to consumable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intake_to_contract_flow_v1.pptx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Intake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7-field intake form spec for new data product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spec; form lives in Jira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jira_intake_template_spec.md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Contract Attribute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attributes per contract, mapped to UC tags · COMMENTs · CONSTRAINTs · Collibra ·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(2 tabs: reference + worked example with 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data_contract_attribute_spec.xlsx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Catalog Tags — Unified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UC tags in one place, showing who authors each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uc_tags_unified_table.xlsx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&amp; Catalog Design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and schema layout for Risk in 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below — Section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 Convention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name → physical name → short name → 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Leaders (authority) · Risk Data (technical)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below — Section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Abbreviations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short-form abbreviations for physical and short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Leaders (additions) · Risk Data (technical)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abbreviations_dictionary.xlsx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Layer Definition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 / Databricks Metric Views YAML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/ YAML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semantic_layer_template.md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Registry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for</w:t>
            </w:r>
            <w:r>
              <w:t xml:space="preserve"> </w:t>
            </w:r>
            <w:r>
              <w:rPr>
                <w:rStyle w:val="VerbatimChar"/>
              </w:rPr>
              <w:t xml:space="preserve">risk_governance.consumer_registry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below — Section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Management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contract, Confluence, and UC tags carry change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below — Section 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mbedded-standards"/>
    <w:p>
      <w:pPr>
        <w:pStyle w:val="Heading2"/>
      </w:pPr>
      <w:r>
        <w:t xml:space="preserve">Embedded standards</w:t>
      </w:r>
    </w:p>
    <w:p>
      <w:pPr>
        <w:pStyle w:val="FirstParagraph"/>
      </w:pPr>
      <w:r>
        <w:t xml:space="preserve">The sections below are reference standards rather than separate templates or files. They are kept on this page for ease of reference.</w:t>
      </w:r>
    </w:p>
    <w:p>
      <w:r>
        <w:pict>
          <v:rect style="width:0;height:1.5pt" o:hralign="center" o:hrstd="t" o:hr="t"/>
        </w:pict>
      </w:r>
    </w:p>
    <w:bookmarkEnd w:id="22"/>
    <w:bookmarkStart w:id="28" w:name="e.-schema-and-catalog-design-standard"/>
    <w:p>
      <w:pPr>
        <w:pStyle w:val="Heading2"/>
      </w:pPr>
      <w:r>
        <w:t xml:space="preserve">E. Schema and Catalog Design Standard</w:t>
      </w:r>
    </w:p>
    <w:p>
      <w:pPr>
        <w:pStyle w:val="FirstParagraph"/>
      </w:pPr>
      <w:r>
        <w:t xml:space="preserve">The canonical layout of catalogs and schemas in Databricks for Risk.</w:t>
      </w:r>
    </w:p>
    <w:bookmarkStart w:id="23" w:name="catalogs"/>
    <w:p>
      <w:pPr>
        <w:pStyle w:val="Heading3"/>
      </w:pPr>
      <w:r>
        <w:t xml:space="preserve">Catalogs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320"/>
        <w:gridCol w:w="3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catalog per Product Group. Holds app schemas and the PG conformed schema.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to the PG; not the consumer 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Warehouse. Data products, star schemas, 360 patterns, semantic layer, sandbox.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point of consumption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metadata. Contract registry, consumer registry, tag reference, lineage extensions.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for App teams, PG Leaders, Central</w:t>
            </w:r>
          </w:p>
        </w:tc>
      </w:tr>
    </w:tbl>
    <w:bookmarkEnd w:id="23"/>
    <w:bookmarkStart w:id="24" w:name="schemas-inside-each-pg-catalog"/>
    <w:p>
      <w:pPr>
        <w:pStyle w:val="Heading3"/>
      </w:pPr>
      <w:r>
        <w:t xml:space="preserve">Schemas inside each PG catalog</w:t>
      </w:r>
    </w:p>
    <w:p>
      <w:pPr>
        <w:pStyle w:val="SourceCode"/>
      </w:pPr>
      <w:r>
        <w:rPr>
          <w:rStyle w:val="VerbatimChar"/>
        </w:rPr>
        <w:t xml:space="preserve">&lt;pg&gt;.&lt;app_name&gt;           -- primary app schema (e.g., creditrisk.xvala)</w:t>
      </w:r>
      <w:r>
        <w:br/>
      </w:r>
      <w:r>
        <w:rPr>
          <w:rStyle w:val="VerbatimChar"/>
        </w:rPr>
        <w:t xml:space="preserve">&lt;pg&gt;.&lt;app_name&gt;_archive   -- archival</w:t>
      </w:r>
      <w:r>
        <w:br/>
      </w:r>
      <w:r>
        <w:rPr>
          <w:rStyle w:val="VerbatimChar"/>
        </w:rPr>
        <w:t xml:space="preserve">&lt;pg&gt;.&lt;app_name&gt;_quarantine -- DQ-failed records</w:t>
      </w:r>
      <w:r>
        <w:br/>
      </w:r>
      <w:r>
        <w:rPr>
          <w:rStyle w:val="VerbatimChar"/>
        </w:rPr>
        <w:t xml:space="preserve">&lt;pg&gt;.conformed            -- PG conformed schema (resolved dims, enriched CDM entities, cross-app products within the PG)</w:t>
      </w:r>
      <w:r>
        <w:br/>
      </w:r>
      <w:r>
        <w:rPr>
          <w:rStyle w:val="VerbatimChar"/>
        </w:rPr>
        <w:t xml:space="preserve">&lt;pg&gt;.sandbox              -- exploration</w:t>
      </w:r>
    </w:p>
    <w:bookmarkEnd w:id="24"/>
    <w:bookmarkStart w:id="25" w:name="schemas-inside-riskwh"/>
    <w:p>
      <w:pPr>
        <w:pStyle w:val="Heading3"/>
      </w:pPr>
      <w:r>
        <w:t xml:space="preserve">Schemas inside</w:t>
      </w:r>
      <w:r>
        <w:t xml:space="preserve"> </w:t>
      </w:r>
      <w:r>
        <w:rPr>
          <w:rStyle w:val="VerbatimChar"/>
        </w:rPr>
        <w:t xml:space="preserve">riskwh</w:t>
      </w:r>
    </w:p>
    <w:p>
      <w:pPr>
        <w:pStyle w:val="SourceCode"/>
      </w:pPr>
      <w:r>
        <w:rPr>
          <w:rStyle w:val="VerbatimChar"/>
        </w:rPr>
        <w:t xml:space="preserve">riskwh.silver       -- staging for analytics-layer build (pre-product)</w:t>
      </w:r>
      <w:r>
        <w:br/>
      </w:r>
      <w:r>
        <w:rPr>
          <w:rStyle w:val="VerbatimChar"/>
        </w:rPr>
        <w:t xml:space="preserve">riskwh.gold         -- curated data products (physical, contracted)</w:t>
      </w:r>
      <w:r>
        <w:br/>
      </w:r>
      <w:r>
        <w:rPr>
          <w:rStyle w:val="VerbatimChar"/>
        </w:rPr>
        <w:t xml:space="preserve">riskwh.sandbox      -- exploration; not contracted; not consumed by ops</w:t>
      </w:r>
      <w:r>
        <w:br/>
      </w:r>
      <w:r>
        <w:rPr>
          <w:rStyle w:val="VerbatimChar"/>
        </w:rPr>
        <w:t xml:space="preserve">riskwh.semantic     -- semantic layer definitions (dbt / Metric Views)</w:t>
      </w:r>
    </w:p>
    <w:bookmarkEnd w:id="25"/>
    <w:bookmarkStart w:id="26" w:name="table-naming-inside-the-analytics-layer"/>
    <w:p>
      <w:pPr>
        <w:pStyle w:val="Heading3"/>
      </w:pPr>
      <w:r>
        <w:t xml:space="preserve">Table naming inside the analytics layer</w:t>
      </w:r>
    </w:p>
    <w:p>
      <w:pPr>
        <w:pStyle w:val="SourceCode"/>
      </w:pPr>
      <w:r>
        <w:rPr>
          <w:rStyle w:val="VerbatimChar"/>
        </w:rPr>
        <w:t xml:space="preserve">fact_&lt;entity&gt;_&lt;measure&gt;           -- atomic primary fact, e.g., fact_exposure</w:t>
      </w:r>
      <w:r>
        <w:br/>
      </w:r>
      <w:r>
        <w:rPr>
          <w:rStyle w:val="VerbatimChar"/>
        </w:rPr>
        <w:t xml:space="preserve">dim_&lt;entity&gt;                      -- dimension, e.g., dim_counterparty</w:t>
      </w:r>
      <w:r>
        <w:br/>
      </w:r>
      <w:r>
        <w:rPr>
          <w:rStyle w:val="VerbatimChar"/>
        </w:rPr>
        <w:t xml:space="preserve">&lt;entity&gt;_&lt;purpose&gt;_summary        -- curated summary, e.g., cp_risk_summary</w:t>
      </w:r>
      <w:r>
        <w:br/>
      </w:r>
      <w:r>
        <w:rPr>
          <w:rStyle w:val="VerbatimChar"/>
        </w:rPr>
        <w:t xml:space="preserve">&lt;entity&gt;_&lt;purpose&gt;_360            -- 360-style products, e.g., counterparty_risk_360</w:t>
      </w:r>
      <w:r>
        <w:br/>
      </w:r>
      <w:r>
        <w:rPr>
          <w:rStyle w:val="VerbatimChar"/>
        </w:rPr>
        <w:t xml:space="preserve">report_&lt;consumer&gt;_&lt;purpose&gt;       -- reporting, e.g., report_basel_sa_ccr</w:t>
      </w:r>
    </w:p>
    <w:bookmarkEnd w:id="26"/>
    <w:bookmarkStart w:id="27" w:name="consumer-access-policy"/>
    <w:p>
      <w:pPr>
        <w:pStyle w:val="Heading3"/>
      </w:pPr>
      <w:r>
        <w:t xml:space="preserve">Consumer access policy</w:t>
      </w:r>
    </w:p>
    <w:p>
      <w:pPr>
        <w:pStyle w:val="FirstParagraph"/>
      </w:pPr>
      <w:r>
        <w:t xml:space="preserve">Consumers (BI tools, dashboards, ad-hoc queries) connect to</w:t>
      </w:r>
      <w:r>
        <w:t xml:space="preserve"> </w:t>
      </w:r>
      <w:r>
        <w:rPr>
          <w:rStyle w:val="VerbatimChar"/>
        </w:rPr>
        <w:t xml:space="preserve">riskwh</w:t>
      </w:r>
      <w:r>
        <w:t xml:space="preserve"> </w:t>
      </w:r>
      <w:r>
        <w:t xml:space="preserve">only. Direct consumer connections to app-zone catalogs (</w:t>
      </w:r>
      <w:r>
        <w:rPr>
          <w:rStyle w:val="VerbatimChar"/>
        </w:rPr>
        <w:t xml:space="preserve">creditrisk.&lt;app&gt;</w:t>
      </w:r>
      <w:r>
        <w:t xml:space="preserve">, etc.) are not supported.</w:t>
      </w:r>
    </w:p>
    <w:p>
      <w:pPr>
        <w:pStyle w:val="BodyText"/>
      </w:pPr>
      <w:r>
        <w:t xml:space="preserve">When a consumer is found connecting to an app schema:</w:t>
      </w:r>
    </w:p>
    <w:p>
      <w:pPr>
        <w:numPr>
          <w:ilvl w:val="0"/>
          <w:numId w:val="1001"/>
        </w:numPr>
        <w:pStyle w:val="Compact"/>
      </w:pPr>
      <w:r>
        <w:t xml:space="preserve">Acknowledge the work</w:t>
      </w:r>
    </w:p>
    <w:p>
      <w:pPr>
        <w:numPr>
          <w:ilvl w:val="0"/>
          <w:numId w:val="1001"/>
        </w:numPr>
        <w:pStyle w:val="Compact"/>
      </w:pPr>
      <w:r>
        <w:t xml:space="preserve">Identify what to promote into the analytics layer (raise via Jira intake — Section B)</w:t>
      </w:r>
    </w:p>
    <w:p>
      <w:pPr>
        <w:numPr>
          <w:ilvl w:val="0"/>
          <w:numId w:val="1001"/>
        </w:numPr>
        <w:pStyle w:val="Compact"/>
      </w:pPr>
      <w:r>
        <w:t xml:space="preserve">Re-point the consumer to the analytics product once it exists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f.-naming-convention-standard"/>
    <w:p>
      <w:pPr>
        <w:pStyle w:val="Heading2"/>
      </w:pPr>
      <w:r>
        <w:t xml:space="preserve">F. Naming Convention Standard</w:t>
      </w:r>
    </w:p>
    <w:p>
      <w:pPr>
        <w:pStyle w:val="FirstParagraph"/>
      </w:pPr>
      <w:r>
        <w:rPr>
          <w:iCs/>
          <w:i/>
        </w:rPr>
        <w:t xml:space="preserve">Authority: PG Leaders define names at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&lt;pg&gt;.conformed</w:t>
      </w:r>
      <w:r>
        <w:rPr>
          <w:iCs/>
          <w:i/>
        </w:rPr>
        <w:t xml:space="preserve"> </w:t>
      </w:r>
      <w:r>
        <w:rPr>
          <w:iCs/>
          <w:i/>
        </w:rPr>
        <w:t xml:space="preserve">schema. Risk Data implements technically. Names carry up to the Risk Warehouse and down to apps via aliases.</w:t>
      </w:r>
    </w:p>
    <w:p>
      <w:pPr>
        <w:pStyle w:val="BodyText"/>
      </w:pPr>
      <w:r>
        <w:rPr>
          <w:iCs/>
          <w:i/>
        </w:rPr>
        <w:t xml:space="preserve">Companion artefacts: Naming Convention Flow diagram (linked in Section A of the catalog) · Abbreviations Dictionary (Section G).</w:t>
      </w:r>
    </w:p>
    <w:bookmarkStart w:id="29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Every column in every analytics-layer table has four name forms: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795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Plain-English label (e.g.,</w:t>
            </w:r>
            <w:r>
              <w:t xml:space="preserve"> </w:t>
            </w:r>
            <w:r>
              <w:rPr>
                <w:iCs/>
                <w:i/>
              </w:rPr>
              <w:t xml:space="preserve">Counterparty Internal Rating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column tag</w:t>
            </w:r>
            <w:r>
              <w:t xml:space="preserve"> </w:t>
            </w:r>
            <w:r>
              <w:rPr>
                <w:rStyle w:val="VerbatimChar"/>
              </w:rPr>
              <w:t xml:space="preserve">business_name</w:t>
            </w:r>
            <w:r>
              <w:t xml:space="preserve"> </w:t>
            </w:r>
            <w:r>
              <w:t xml:space="preserve">· Collibra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column name in SQL (e.g.,</w:t>
            </w:r>
            <w:r>
              <w:t xml:space="preserve"> </w:t>
            </w:r>
            <w:r>
              <w:rPr>
                <w:rStyle w:val="VerbatimChar"/>
              </w:rPr>
              <w:t xml:space="preserve">counterparty_internal_rating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table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abbreviated form for length-constrained consumers (e.g.,</w:t>
            </w:r>
            <w:r>
              <w:t xml:space="preserve"> </w:t>
            </w:r>
            <w:r>
              <w:rPr>
                <w:rStyle w:val="VerbatimChar"/>
              </w:rPr>
              <w:t xml:space="preserve">cp_int_rating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column tag</w:t>
            </w:r>
            <w:r>
              <w:t xml:space="preserve"> </w:t>
            </w:r>
            <w:r>
              <w:rPr>
                <w:rStyle w:val="VerbatimChar"/>
              </w:rPr>
              <w:t xml:space="preserve">short_name</w:t>
            </w:r>
            <w:r>
              <w:t xml:space="preserve"> </w:t>
            </w:r>
            <w:r>
              <w:t xml:space="preserve">— only if 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column names from source apps (e.g., XVALA’s</w:t>
            </w:r>
            <w:r>
              <w:t xml:space="preserve"> </w:t>
            </w:r>
            <w:r>
              <w:rPr>
                <w:rStyle w:val="VerbatimChar"/>
              </w:rPr>
              <w:t xml:space="preserve">cpIntRtg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column tag</w:t>
            </w:r>
            <w:r>
              <w:t xml:space="preserve"> </w:t>
            </w:r>
            <w:r>
              <w:rPr>
                <w:rStyle w:val="VerbatimChar"/>
              </w:rPr>
              <w:t xml:space="preserve">aliases</w:t>
            </w:r>
            <w:r>
              <w:t xml:space="preserve"> </w:t>
            </w:r>
            <w:r>
              <w:t xml:space="preserve">— multi-value, one entry per source app</w:t>
            </w:r>
          </w:p>
        </w:tc>
      </w:tr>
    </w:tbl>
    <w:p>
      <w:pPr>
        <w:pStyle w:val="BodyText"/>
      </w:pPr>
      <w:r>
        <w:t xml:space="preserve">All four names point to the same logical column. The mapping is recorded once at the conformance step.</w:t>
      </w:r>
    </w:p>
    <w:bookmarkEnd w:id="29"/>
    <w:bookmarkStart w:id="30" w:name="authority-and-carry-over"/>
    <w:p>
      <w:pPr>
        <w:pStyle w:val="Heading3"/>
      </w:pPr>
      <w:r>
        <w:t xml:space="preserve">Authority and carry-over</w:t>
      </w:r>
    </w:p>
    <w:p>
      <w:pPr>
        <w:pStyle w:val="FirstParagraph"/>
      </w:pPr>
      <w:r>
        <w:t xml:space="preserve">Names are defined and owned by the</w:t>
      </w:r>
      <w:r>
        <w:t xml:space="preserve"> </w:t>
      </w:r>
      <w:r>
        <w:rPr>
          <w:bCs/>
          <w:b/>
        </w:rPr>
        <w:t xml:space="preserve">PG Leader</w:t>
      </w:r>
      <w:r>
        <w:t xml:space="preserve"> </w:t>
      </w:r>
      <w:r>
        <w:t xml:space="preserve">at the PG conformed schema (</w:t>
      </w:r>
      <w:r>
        <w:rPr>
          <w:rStyle w:val="VerbatimChar"/>
        </w:rPr>
        <w:t xml:space="preserve">creditrisk.conformed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marketrisk.conformed</w:t>
      </w:r>
      <w:r>
        <w:t xml:space="preserve">, etc.). New names entering the analytics layer pass through PG-level review.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 Warehouse</w:t>
      </w:r>
      <w:r>
        <w:t xml:space="preserve"> </w:t>
      </w:r>
      <w:r>
        <w:t xml:space="preserve">(</w:t>
      </w:r>
      <w:r>
        <w:rPr>
          <w:rStyle w:val="VerbatimChar"/>
        </w:rPr>
        <w:t xml:space="preserve">riskwh.*</w:t>
      </w:r>
      <w:r>
        <w:t xml:space="preserve">) uses the same canonical physical names defined at the PG layer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 schemas</w:t>
      </w:r>
      <w:r>
        <w:t xml:space="preserve"> </w:t>
      </w:r>
      <w:r>
        <w:t xml:space="preserve">keep their original names; the conformance step records app names as aliases against the canonical column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Legacy app names are not forced to rename.</w:t>
      </w:r>
      <w:r>
        <w:t xml:space="preserve"> </w:t>
      </w:r>
      <w:r>
        <w:t xml:space="preserve">Translation happens at the conformance step</w:t>
      </w:r>
    </w:p>
    <w:bookmarkEnd w:id="30"/>
    <w:bookmarkStart w:id="31" w:name="rules-for-physical-names"/>
    <w:p>
      <w:pPr>
        <w:pStyle w:val="Heading3"/>
      </w:pPr>
      <w:r>
        <w:t xml:space="preserve">Rules for physical names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Lowercase only.</w:t>
      </w:r>
      <w:r>
        <w:t xml:space="preserve"> </w:t>
      </w:r>
      <w:r>
        <w:rPr>
          <w:rStyle w:val="VerbatimChar"/>
        </w:rPr>
        <w:t xml:space="preserve">counterparty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Counterparty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COUNTERPARTY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snake_case for compound names.</w:t>
      </w:r>
      <w:r>
        <w:t xml:space="preserve"> </w:t>
      </w:r>
      <w:r>
        <w:t xml:space="preserve">Words separated by underscores:</w:t>
      </w:r>
      <w:r>
        <w:t xml:space="preserve"> </w:t>
      </w:r>
      <w:r>
        <w:rPr>
          <w:rStyle w:val="VerbatimChar"/>
        </w:rPr>
        <w:t xml:space="preserve">counterparty_internal_rating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special characters.</w:t>
      </w:r>
      <w:r>
        <w:t xml:space="preserve"> </w:t>
      </w:r>
      <w:r>
        <w:t xml:space="preserve">Letters, digits, underscores only. No spaces, dots, dashes, slashes.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Standard suffixes</w:t>
      </w:r>
      <w:r>
        <w:t xml:space="preserve"> </w:t>
      </w:r>
      <w:r>
        <w:t xml:space="preserve">carry semantic meaning (see table below).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SQL reserved words</w:t>
      </w:r>
      <w:r>
        <w:t xml:space="preserve"> </w:t>
      </w:r>
      <w:r>
        <w:t xml:space="preserve">as bare column names: avoid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valuation_date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record_type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Maximum 30 characters</w:t>
      </w:r>
      <w:r>
        <w:t xml:space="preserve"> </w:t>
      </w:r>
      <w:r>
        <w:t xml:space="preserve">for cross-system portability. Above 30, derive a short form via the abbreviations dictionary.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Short forms (when needed) use the abbreviations dictionary.</w:t>
      </w:r>
      <w:r>
        <w:t xml:space="preserve"> </w:t>
      </w:r>
      <w:r>
        <w:t xml:space="preserve">No inventing new abbreviations ad hoc.</w:t>
      </w:r>
    </w:p>
    <w:bookmarkEnd w:id="31"/>
    <w:bookmarkStart w:id="32" w:name="standard-suffixes"/>
    <w:p>
      <w:pPr>
        <w:pStyle w:val="Heading3"/>
      </w:pPr>
      <w:r>
        <w:t xml:space="preserve">Standard suffixes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(no time component)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valuation_date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effective_date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or 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_amount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Monetary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notional_amount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mtm_amt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indicator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breach_flag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_code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risk_class_cd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_count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_cnt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breach_cnt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coverage_ratio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_name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name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legal_entity_nm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_desc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_descr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product_desc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event_descr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agreement_type</w:t>
            </w:r>
          </w:p>
        </w:tc>
      </w:tr>
    </w:tbl>
    <w:bookmarkEnd w:id="32"/>
    <w:bookmarkStart w:id="33" w:name="when-to-derive-a-short-name"/>
    <w:p>
      <w:pPr>
        <w:pStyle w:val="Heading3"/>
      </w:pPr>
      <w:r>
        <w:t xml:space="preserve">When to derive a short name</w:t>
      </w:r>
    </w:p>
    <w:p>
      <w:pPr>
        <w:pStyle w:val="FirstParagraph"/>
      </w:pPr>
      <w:r>
        <w:t xml:space="preserve">The physical name is the default. A short name is derived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a specific downstream consumer requires length-constrained columns:</w:t>
      </w:r>
    </w:p>
    <w:p>
      <w:pPr>
        <w:numPr>
          <w:ilvl w:val="0"/>
          <w:numId w:val="1004"/>
        </w:numPr>
        <w:pStyle w:val="Compact"/>
      </w:pPr>
      <w:r>
        <w:t xml:space="preserve">Regulatory feeds with fixed column-header length limits</w:t>
      </w:r>
    </w:p>
    <w:p>
      <w:pPr>
        <w:numPr>
          <w:ilvl w:val="0"/>
          <w:numId w:val="1004"/>
        </w:numPr>
        <w:pStyle w:val="Compact"/>
      </w:pPr>
      <w:r>
        <w:t xml:space="preserve">BI tool column headers with display-width constraints</w:t>
      </w:r>
    </w:p>
    <w:p>
      <w:pPr>
        <w:numPr>
          <w:ilvl w:val="0"/>
          <w:numId w:val="1004"/>
        </w:numPr>
        <w:pStyle w:val="Compact"/>
      </w:pPr>
      <w:r>
        <w:t xml:space="preserve">Legacy system integrations with character-length limits</w:t>
      </w:r>
    </w:p>
    <w:p>
      <w:pPr>
        <w:numPr>
          <w:ilvl w:val="0"/>
          <w:numId w:val="1004"/>
        </w:numPr>
        <w:pStyle w:val="Compact"/>
      </w:pPr>
      <w:r>
        <w:t xml:space="preserve">File format constraints (some flat-file specs)</w:t>
      </w:r>
    </w:p>
    <w:p>
      <w:pPr>
        <w:pStyle w:val="FirstParagraph"/>
      </w:pPr>
      <w:r>
        <w:t xml:space="preserve">If no such consumer exists for the column, no short name is needed.</w:t>
      </w:r>
    </w:p>
    <w:bookmarkEnd w:id="33"/>
    <w:bookmarkStart w:id="34" w:name="derivation-algorithms"/>
    <w:p>
      <w:pPr>
        <w:pStyle w:val="Heading3"/>
      </w:pPr>
      <w:r>
        <w:t xml:space="preserve">Derivation algorithms</w:t>
      </w:r>
    </w:p>
    <w:p>
      <w:pPr>
        <w:pStyle w:val="FirstParagraph"/>
      </w:pPr>
      <w:r>
        <w:rPr>
          <w:bCs/>
          <w:b/>
        </w:rPr>
        <w:t xml:space="preserve">Business name → Physical name (canonical)</w:t>
      </w:r>
    </w:p>
    <w:p>
      <w:pPr>
        <w:numPr>
          <w:ilvl w:val="0"/>
          <w:numId w:val="1005"/>
        </w:numPr>
        <w:pStyle w:val="Compact"/>
      </w:pPr>
      <w:r>
        <w:t xml:space="preserve">Trim and lowercase the business name</w:t>
      </w:r>
    </w:p>
    <w:p>
      <w:pPr>
        <w:numPr>
          <w:ilvl w:val="0"/>
          <w:numId w:val="1005"/>
        </w:numPr>
        <w:pStyle w:val="Compact"/>
      </w:pPr>
      <w:r>
        <w:t xml:space="preserve">Replace spaces with underscores</w:t>
      </w:r>
    </w:p>
    <w:p>
      <w:pPr>
        <w:numPr>
          <w:ilvl w:val="0"/>
          <w:numId w:val="1005"/>
        </w:numPr>
        <w:pStyle w:val="Compact"/>
      </w:pPr>
      <w:r>
        <w:t xml:space="preserve">Strip any remaining special characters</w:t>
      </w:r>
    </w:p>
    <w:p>
      <w:pPr>
        <w:numPr>
          <w:ilvl w:val="0"/>
          <w:numId w:val="1005"/>
        </w:numPr>
        <w:pStyle w:val="Compact"/>
      </w:pPr>
      <w:r>
        <w:t xml:space="preserve">Check length ≤ 30 characters</w:t>
      </w:r>
    </w:p>
    <w:p>
      <w:pPr>
        <w:numPr>
          <w:ilvl w:val="0"/>
          <w:numId w:val="1005"/>
        </w:numPr>
        <w:pStyle w:val="Compact"/>
      </w:pPr>
      <w:r>
        <w:t xml:space="preserve">Apply correct suffix from the standard suffix table</w:t>
      </w:r>
    </w:p>
    <w:p>
      <w:pPr>
        <w:numPr>
          <w:ilvl w:val="0"/>
          <w:numId w:val="1005"/>
        </w:numPr>
        <w:pStyle w:val="Compact"/>
      </w:pPr>
      <w:r>
        <w:t xml:space="preserve">Validate uniqueness within the schema</w:t>
      </w:r>
    </w:p>
    <w:p>
      <w:pPr>
        <w:pStyle w:val="FirstParagraph"/>
      </w:pPr>
      <w:r>
        <w:rPr>
          <w:bCs/>
          <w:b/>
        </w:rPr>
        <w:t xml:space="preserve">Physical name → Short name (only if needed)</w:t>
      </w:r>
    </w:p>
    <w:p>
      <w:pPr>
        <w:numPr>
          <w:ilvl w:val="0"/>
          <w:numId w:val="1006"/>
        </w:numPr>
        <w:pStyle w:val="Compact"/>
      </w:pPr>
      <w:r>
        <w:t xml:space="preserve">Tokenise the physical name on underscores</w:t>
      </w:r>
    </w:p>
    <w:p>
      <w:pPr>
        <w:numPr>
          <w:ilvl w:val="0"/>
          <w:numId w:val="1006"/>
        </w:numPr>
        <w:pStyle w:val="Compact"/>
      </w:pPr>
      <w:r>
        <w:t xml:space="preserve">For each token, look up the abbreviation in the Abbreviations Dictionary (Section G)</w:t>
      </w:r>
    </w:p>
    <w:p>
      <w:pPr>
        <w:numPr>
          <w:ilvl w:val="0"/>
          <w:numId w:val="1006"/>
        </w:numPr>
        <w:pStyle w:val="Compact"/>
      </w:pPr>
      <w:r>
        <w:t xml:space="preserve">If no abbreviation exists, the token is kept as-is</w:t>
      </w:r>
    </w:p>
    <w:p>
      <w:pPr>
        <w:numPr>
          <w:ilvl w:val="0"/>
          <w:numId w:val="1006"/>
        </w:numPr>
        <w:pStyle w:val="Compact"/>
      </w:pPr>
      <w:r>
        <w:t xml:space="preserve">Rejoin tokens with underscores</w:t>
      </w:r>
    </w:p>
    <w:p>
      <w:pPr>
        <w:numPr>
          <w:ilvl w:val="0"/>
          <w:numId w:val="1006"/>
        </w:numPr>
        <w:pStyle w:val="Compact"/>
      </w:pPr>
      <w:r>
        <w:t xml:space="preserve">Validate the short name is ≤ 12-15 characters (typical consumer limit)</w:t>
      </w:r>
    </w:p>
    <w:p>
      <w:pPr>
        <w:pStyle w:val="FirstParagraph"/>
      </w:pPr>
      <w:r>
        <w:t xml:space="preserve">The PG Leader is the final arbiter when the algorithm produces an ambiguous result.</w:t>
      </w:r>
    </w:p>
    <w:bookmarkEnd w:id="34"/>
    <w:bookmarkStart w:id="35" w:name="worked-examples"/>
    <w:p>
      <w:pPr>
        <w:pStyle w:val="Heading3"/>
      </w:pPr>
      <w:r>
        <w:t xml:space="preserve">Worked examples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848"/>
        <w:gridCol w:w="3168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Business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name (if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Counterparty Internal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counterparty_internal_rating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cp_int_rating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 Future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potential_future_exposure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Netting Set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netting_set_id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suffix preserved in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valuation_date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val_dt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_dt</w:t>
            </w:r>
            <w:r>
              <w:t xml:space="preserve"> </w:t>
            </w:r>
            <w:r>
              <w:t xml:space="preserve">standard abbreviation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to 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mark_to_market_amount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mtm_amt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 to Market</w:t>
            </w:r>
            <w:r>
              <w:t xml:space="preserve">”</w:t>
            </w:r>
            <w:r>
              <w:t xml:space="preserve"> </w:t>
            </w:r>
            <w:r>
              <w:t xml:space="preserve">is itself an established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Spread Sensitivity at 01 bps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credit_spread_sensitivity_01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Counterparty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forms valid;</w:t>
            </w:r>
            <w:r>
              <w:t xml:space="preserve"> </w:t>
            </w:r>
            <w:r>
              <w:rPr>
                <w:rStyle w:val="VerbatimChar"/>
              </w:rPr>
              <w:t xml:space="preserve">_name</w:t>
            </w:r>
            <w:r>
              <w:t xml:space="preserve">/</w:t>
            </w:r>
            <w:r>
              <w:rPr>
                <w:rStyle w:val="VerbatimChar"/>
              </w:rPr>
              <w:t xml:space="preserve">_nm</w:t>
            </w:r>
            <w:r>
              <w:t xml:space="preserve"> </w:t>
            </w:r>
            <w:r>
              <w:t xml:space="preserve">is the standard suffix pair</w:t>
            </w:r>
          </w:p>
        </w:tc>
      </w:tr>
    </w:tbl>
    <w:p>
      <w:pPr>
        <w:pStyle w:val="BodyText"/>
      </w:pPr>
      <w:r>
        <w:t xml:space="preserve">See the Abbreviations Dictionary (Section G) Tab 2 for 15 worked examples including aliases.</w:t>
      </w:r>
    </w:p>
    <w:bookmarkEnd w:id="35"/>
    <w:bookmarkStart w:id="36" w:name="app-aliases-preserving-the-mapping-back"/>
    <w:p>
      <w:pPr>
        <w:pStyle w:val="Heading3"/>
      </w:pPr>
      <w:r>
        <w:t xml:space="preserve">App aliases — preserving the mapping back</w:t>
      </w:r>
    </w:p>
    <w:p>
      <w:pPr>
        <w:pStyle w:val="FirstParagraph"/>
      </w:pPr>
      <w:r>
        <w:t xml:space="preserve">When data enters the PG conformed schema from a source app, the original app column name is recorded as an alias against the canonical column.</w:t>
      </w:r>
    </w:p>
    <w:p>
      <w:pPr>
        <w:pStyle w:val="BodyText"/>
      </w:pPr>
      <w:r>
        <w:t xml:space="preserve">Aliases are stored in the UC column tag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 </w:t>
      </w:r>
      <w:r>
        <w:t xml:space="preserve">as a multi-value tag, with each entry in the form</w:t>
      </w:r>
      <w:r>
        <w:t xml:space="preserve"> </w:t>
      </w:r>
      <w:r>
        <w:rPr>
          <w:rStyle w:val="VerbatimChar"/>
        </w:rPr>
        <w:t xml:space="preserve">app_name:original_column_name</w:t>
      </w:r>
      <w:r>
        <w:t xml:space="preserve">. Multiple aliases are supported (a canonical column may have aliases from several source apps).</w:t>
      </w:r>
    </w:p>
    <w:p>
      <w:pPr>
        <w:pStyle w:val="BodyText"/>
      </w:pPr>
      <w:r>
        <w:rPr>
          <w:bCs/>
          <w:b/>
        </w:rPr>
        <w:t xml:space="preserve">Worked example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counterparty_internal_rating</w:t>
      </w:r>
      <w:r>
        <w:rPr>
          <w:bCs/>
          <w:b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XVALA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cpIntRtg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xvala:cpIntRtg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internal_rating_cd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cmos:internal_rating_cd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ctp_irating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regds:ctp_irating</w:t>
            </w:r>
          </w:p>
        </w:tc>
      </w:tr>
    </w:tbl>
    <w:p>
      <w:pPr>
        <w:pStyle w:val="BodyText"/>
      </w:pPr>
      <w:r>
        <w:t xml:space="preserve">All three are stored as multi-value entries in the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 </w:t>
      </w:r>
      <w:r>
        <w:t xml:space="preserve">tag on</w:t>
      </w:r>
      <w:r>
        <w:t xml:space="preserve"> </w:t>
      </w:r>
      <w:r>
        <w:rPr>
          <w:rStyle w:val="VerbatimChar"/>
        </w:rPr>
        <w:t xml:space="preserve">creditrisk.conformed.dim_counterparty.counterparty_internal_rating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Reverse lookup</w:t>
      </w:r>
      <w:r>
        <w:t xml:space="preserve"> </w:t>
      </w:r>
      <w:r>
        <w:t xml:space="preserve">— to answer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 canonical column does XVALA’s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cpIntRtg</w:t>
      </w:r>
      <w:r>
        <w:rPr>
          <w:iCs/>
          <w:i/>
        </w:rPr>
        <w:t xml:space="preserve"> </w:t>
      </w:r>
      <w:r>
        <w:rPr>
          <w:iCs/>
          <w:i/>
        </w:rPr>
        <w:t xml:space="preserve">map to?</w:t>
      </w:r>
      <w:r>
        <w:rPr>
          <w:iCs/>
          <w:i/>
        </w:rPr>
        <w:t xml:space="preserve">”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table_catalog,</w:t>
      </w:r>
      <w:r>
        <w:br/>
      </w:r>
      <w:r>
        <w:rPr>
          <w:rStyle w:val="NormalTok"/>
        </w:rPr>
        <w:t xml:space="preserve">  table_schema,</w:t>
      </w:r>
      <w:r>
        <w:br/>
      </w:r>
      <w:r>
        <w:rPr>
          <w:rStyle w:val="NormalTok"/>
        </w:rPr>
        <w:t xml:space="preserve">  table_name,</w:t>
      </w:r>
      <w:r>
        <w:br/>
      </w:r>
      <w:r>
        <w:rPr>
          <w:rStyle w:val="NormalTok"/>
        </w:rPr>
        <w:t xml:space="preserve">  column_name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.information_schema.column_tags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tag_name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'aliases'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tag_value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'%xvala:cpIntRtg%'</w:t>
      </w:r>
      <w:r>
        <w:rPr>
          <w:rStyle w:val="NormalTok"/>
        </w:rPr>
        <w:t xml:space="preserve">;</w:t>
      </w:r>
    </w:p>
    <w:bookmarkEnd w:id="36"/>
    <w:bookmarkStart w:id="37" w:name="rationalising-legacy-names"/>
    <w:p>
      <w:pPr>
        <w:pStyle w:val="Heading3"/>
      </w:pPr>
      <w:r>
        <w:t xml:space="preserve">Rationalising legacy names</w:t>
      </w:r>
    </w:p>
    <w:p>
      <w:pPr>
        <w:pStyle w:val="FirstParagraph"/>
      </w:pPr>
      <w:r>
        <w:t xml:space="preserve">When an app’s existing columns don’t match the standard, three options: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21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Translate at conformance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cases — apps keep their names; canonical names start at the PG conformed schema; aliases preserve the mapping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unchanged; conformance layer carries the 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Rename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the app team is independently refactoring or when a regulatory driver requires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migration; coordinate with App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cases where naming doesn’t matter (deprecated schemas, sandbox-only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explicitly; not the long-term answer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default is translate-at-conformance.</w:t>
      </w:r>
      <w:r>
        <w:t xml:space="preserve"> </w:t>
      </w:r>
      <w:r>
        <w:t xml:space="preserve">Apps are not pressured to rename. The PG conformed schema is where standards take effect.</w:t>
      </w:r>
    </w:p>
    <w:bookmarkEnd w:id="37"/>
    <w:bookmarkStart w:id="38" w:name="where-uc-tags-carry-the-naming-metadata"/>
    <w:p>
      <w:pPr>
        <w:pStyle w:val="Heading3"/>
      </w:pPr>
      <w:r>
        <w:t xml:space="preserve">Where UC tags carry the naming metadata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2217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plain-English business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 Internal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derived short form (only if derived)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cp_int_rating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Multi-value:</w:t>
            </w:r>
            <w:r>
              <w:t xml:space="preserve"> </w:t>
            </w:r>
            <w:r>
              <w:rPr>
                <w:rStyle w:val="VerbatimChar"/>
              </w:rPr>
              <w:t xml:space="preserve">app:colname</w:t>
            </w:r>
            <w:r>
              <w:t xml:space="preserve"> </w:t>
            </w:r>
            <w:r>
              <w:t xml:space="preserve">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xvala:cpIntRtg,cmos:internal_rating_cd,regds:ctp_irating</w:t>
            </w:r>
          </w:p>
        </w:tc>
      </w:tr>
    </w:tbl>
    <w:p>
      <w:pPr>
        <w:pStyle w:val="BodyText"/>
      </w:pPr>
      <w:r>
        <w:t xml:space="preserve">These tags are applied at the</w:t>
      </w:r>
      <w:r>
        <w:t xml:space="preserve"> </w:t>
      </w:r>
      <w:r>
        <w:rPr>
          <w:bCs/>
          <w:b/>
        </w:rPr>
        <w:t xml:space="preserve">column level</w:t>
      </w:r>
      <w:r>
        <w:t xml:space="preserve"> </w:t>
      </w:r>
      <w:r>
        <w:t xml:space="preserve">(not the table level) and are populated from the contract YAML. See the Data Contract Attribute Spec (Section C) for the full attribute set.</w:t>
      </w:r>
    </w:p>
    <w:bookmarkEnd w:id="38"/>
    <w:bookmarkStart w:id="39" w:name="automation"/>
    <w:p>
      <w:pPr>
        <w:pStyle w:val="Heading3"/>
      </w:pPr>
      <w:r>
        <w:t xml:space="preserve">Automation</w:t>
      </w:r>
    </w:p>
    <w:p>
      <w:pPr>
        <w:pStyle w:val="FirstParagraph"/>
      </w:pPr>
      <w:r>
        <w:t xml:space="preserve">The naming convention is enforced through three mechanisms: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Pre-contract validation.</w:t>
      </w:r>
      <w:r>
        <w:t xml:space="preserve"> </w:t>
      </w:r>
      <w:r>
        <w:t xml:space="preserve">A linter validates contract YAML against the rules above before the contract is committed to Git.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UC tag application.</w:t>
      </w:r>
      <w:r>
        <w:t xml:space="preserve"> </w:t>
      </w:r>
      <w:r>
        <w:t xml:space="preserve">The contract YAML drives the</w:t>
      </w:r>
      <w:r>
        <w:t xml:space="preserve"> </w:t>
      </w:r>
      <w:r>
        <w:rPr>
          <w:rStyle w:val="VerbatimChar"/>
        </w:rPr>
        <w:t xml:space="preserve">ALTER TABLE SET 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ALTER COLUMN SET TAGS</w:t>
      </w:r>
      <w:r>
        <w:t xml:space="preserve"> </w:t>
      </w:r>
      <w:r>
        <w:t xml:space="preserve">statements.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Reverse-lookup utility.</w:t>
      </w:r>
      <w:r>
        <w:t xml:space="preserve"> </w:t>
      </w:r>
      <w:r>
        <w:t xml:space="preserve">A Python helper in the Risk Warehouse Git repo provides</w:t>
      </w:r>
      <w:r>
        <w:t xml:space="preserve"> </w:t>
      </w:r>
      <w:r>
        <w:rPr>
          <w:rStyle w:val="VerbatimChar"/>
        </w:rPr>
        <w:t xml:space="preserve">find_canonical_column(app, original_name)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find_aliases(canonical_name)</w:t>
      </w:r>
      <w:r>
        <w:t xml:space="preserve"> </w:t>
      </w:r>
      <w:r>
        <w:t xml:space="preserve">functions for engineering use.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i.-consumer-registry-schema"/>
    <w:p>
      <w:pPr>
        <w:pStyle w:val="Heading2"/>
      </w:pPr>
      <w:r>
        <w:t xml:space="preserve">I. Consumer Registry Schema</w:t>
      </w:r>
    </w:p>
    <w:p>
      <w:pPr>
        <w:pStyle w:val="FirstParagraph"/>
      </w:pPr>
      <w:r>
        <w:t xml:space="preserve">The consumer registry captures persistent consumers (dashboards, models, regulatory feeds) of Risk Warehouse data products. Lives as a physical table in</w:t>
      </w:r>
      <w:r>
        <w:t xml:space="preserve"> </w:t>
      </w:r>
      <w:r>
        <w:rPr>
          <w:rStyle w:val="VerbatimChar"/>
        </w:rPr>
        <w:t xml:space="preserve">risk_governance</w:t>
      </w:r>
      <w:r>
        <w:t xml:space="preserve"> </w:t>
      </w:r>
      <w:r>
        <w:t xml:space="preserve">and is synchronised to Collibra.</w:t>
      </w:r>
    </w:p>
    <w:bookmarkStart w:id="41" w:name="table-risk_governance.consumer_registry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risk_governance.consumer_registry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ccr_executive_dashboard_v3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consumer_owner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team or person responsible for the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consumer_platform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runs:</w:t>
            </w:r>
            <w:r>
              <w:t xml:space="preserve"> </w:t>
            </w:r>
            <w:r>
              <w:rPr>
                <w:rStyle w:val="VerbatimChar"/>
              </w:rPr>
              <w:t xml:space="preserve">microstrategy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power_bi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informatica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producer_product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Fully-qualified data product (e.g.,</w:t>
            </w:r>
            <w:r>
              <w:t xml:space="preserve"> </w:t>
            </w:r>
            <w:r>
              <w:rPr>
                <w:rStyle w:val="VerbatimChar"/>
              </w:rPr>
              <w:t xml:space="preserve">riskwh.gold.fact_exposure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producer_version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version consumed (e.g.,</w:t>
            </w:r>
            <w:r>
              <w:t xml:space="preserve"> </w:t>
            </w:r>
            <w:r>
              <w:rPr>
                <w:rStyle w:val="VerbatimChar"/>
              </w:rPr>
              <w:t xml:space="preserve">1.2.0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registration was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last_validated_date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registration was last confirmed still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deprecating the producer would break a business-critical workflow</w:t>
            </w:r>
          </w:p>
        </w:tc>
      </w:tr>
    </w:tbl>
    <w:bookmarkEnd w:id="41"/>
    <w:bookmarkStart w:id="42" w:name="who-writes-to-it"/>
    <w:p>
      <w:pPr>
        <w:pStyle w:val="Heading3"/>
      </w:pPr>
      <w:r>
        <w:t xml:space="preserve">Who writes to 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7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a new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consumer’s owner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/ re-validate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by consumer owner; quarterly review by Risk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owner on retirement of the consumer</w:t>
            </w:r>
          </w:p>
        </w:tc>
      </w:tr>
    </w:tbl>
    <w:bookmarkEnd w:id="42"/>
    <w:bookmarkStart w:id="43" w:name="reverse-lookup-who-consumes-a-product"/>
    <w:p>
      <w:pPr>
        <w:pStyle w:val="Heading3"/>
      </w:pPr>
      <w:r>
        <w:t xml:space="preserve">Reverse lookup — who consumes a product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consumer_id, consumer_owner, business_critical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risk_governance.consumer_registry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producer_product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'riskwh.gold.fact_exposure'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last_validated_date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DAYS;</w:t>
      </w:r>
    </w:p>
    <w:bookmarkEnd w:id="43"/>
    <w:bookmarkStart w:id="44" w:name="relationship-to-other-tracking-patterns"/>
    <w:p>
      <w:pPr>
        <w:pStyle w:val="Heading3"/>
      </w:pPr>
      <w:r>
        <w:t xml:space="preserve">Relationship to other tracking patterns</w:t>
      </w:r>
    </w:p>
    <w:p>
      <w:pPr>
        <w:pStyle w:val="FirstParagraph"/>
      </w:pPr>
      <w:r>
        <w:t xml:space="preserve">The consumer registry is one of four consumer-tracking mechanisms. See the Intake-to-Contract Flow diagram (Section A) for the full picture: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captures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Collibra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Individuals formalise as known consumers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Query-log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audit logs capture actual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registry (this)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consumers (dashboards, models, feeds) declare their producer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AD-group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tool AD group membership + registered dashboard = implicit subscription chain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j.-change-management-surfaces"/>
    <w:p>
      <w:pPr>
        <w:pStyle w:val="Heading2"/>
      </w:pPr>
      <w:r>
        <w:t xml:space="preserve">J. Change Management Surfaces</w:t>
      </w:r>
    </w:p>
    <w:p>
      <w:pPr>
        <w:pStyle w:val="FirstParagraph"/>
      </w:pPr>
      <w:r>
        <w:t xml:space="preserve">Change information for a data product lives in three surfaces. Each plays a distinct role.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 YAML</w:t>
            </w:r>
            <w:r>
              <w:t xml:space="preserve"> </w:t>
            </w:r>
            <w:r>
              <w:t xml:space="preserve">(Git)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source of truth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change_policy</w:t>
            </w:r>
            <w:r>
              <w:t xml:space="preserve">, full</w:t>
            </w:r>
            <w:r>
              <w:t xml:space="preserve"> </w:t>
            </w:r>
            <w:r>
              <w:rPr>
                <w:rStyle w:val="VerbatimChar"/>
              </w:rPr>
              <w:t xml:space="preserve">change_history</w:t>
            </w:r>
            <w:r>
              <w:t xml:space="preserve"> </w:t>
            </w:r>
            <w:r>
              <w:t xml:space="preserve">block (every version, every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Confluence product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Human-facing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change history rendered for non-engineers; product summary; consumer list; links to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Unity Catalog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signal — quick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change_policy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last_change_date</w:t>
            </w:r>
          </w:p>
        </w:tc>
      </w:tr>
    </w:tbl>
    <w:p>
      <w:pPr>
        <w:pStyle w:val="BodyText"/>
      </w:pPr>
      <w:r>
        <w:t xml:space="preserve">The contract YAML is authored first. The Confluence page and UC tags are populated from it.</w:t>
      </w:r>
    </w:p>
    <w:bookmarkStart w:id="46" w:name="tags-on-the-table"/>
    <w:p>
      <w:pPr>
        <w:pStyle w:val="Heading3"/>
      </w:pPr>
      <w:r>
        <w:t xml:space="preserve">Tags on the table</w:t>
      </w:r>
    </w:p>
    <w:p>
      <w:pPr>
        <w:pStyle w:val="FirstParagraph"/>
      </w:pPr>
      <w:r>
        <w:t xml:space="preserve">Four tags carry change information in UC. Each is queryable from</w:t>
      </w:r>
      <w:r>
        <w:t xml:space="preserve"> </w:t>
      </w:r>
      <w:r>
        <w:rPr>
          <w:rStyle w:val="VerbatimChar"/>
        </w:rPr>
        <w:t xml:space="preserve">system.information_schema.column_tags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table_tags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1"/>
        <w:gridCol w:w="3099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https://td.atlassian.net/wiki/.../data-product-ccr-exposure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at creation; rarely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breaking_60d_additive_14d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Once; only changes if policy is overridden per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last_change_date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release</w:t>
            </w:r>
          </w:p>
        </w:tc>
      </w:tr>
    </w:tbl>
    <w:bookmarkEnd w:id="46"/>
    <w:bookmarkStart w:id="47" w:name="the-change_history-block-in-the-contract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change_history</w:t>
      </w:r>
      <w:r>
        <w:t xml:space="preserve"> </w:t>
      </w:r>
      <w:r>
        <w:t xml:space="preserve">block in the contract</w:t>
      </w:r>
    </w:p>
    <w:p>
      <w:pPr>
        <w:pStyle w:val="FirstParagraph"/>
      </w:pPr>
      <w:r>
        <w:t xml:space="preserve">Every contract YAML carries a</w:t>
      </w:r>
      <w:r>
        <w:t xml:space="preserve"> </w:t>
      </w:r>
      <w:r>
        <w:rPr>
          <w:rStyle w:val="VerbatimChar"/>
        </w:rPr>
        <w:t xml:space="preserve">change_history</w:t>
      </w:r>
      <w:r>
        <w:t xml:space="preserve"> </w:t>
      </w:r>
      <w:r>
        <w:t xml:space="preserve">block. Each entry captures: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version</w:t>
      </w:r>
      <w:r>
        <w:t xml:space="preserve"> </w:t>
      </w:r>
      <w:r>
        <w:t xml:space="preserve">(semver)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date</w:t>
      </w:r>
      <w:r>
        <w:t xml:space="preserve"> </w:t>
      </w:r>
      <w:r>
        <w:t xml:space="preserve">(when the change went live)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type</w:t>
      </w:r>
      <w:r>
        <w:t xml:space="preserve"> </w:t>
      </w:r>
      <w:r>
        <w:t xml:space="preserve">(breaking / additive / editorial / initial)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notice_given</w:t>
      </w:r>
      <w:r>
        <w:t xml:space="preserve"> </w:t>
      </w:r>
      <w:r>
        <w:t xml:space="preserve">(date the change was announced — for breaking &amp; additive)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summary</w:t>
      </w:r>
      <w:r>
        <w:t xml:space="preserve"> </w:t>
      </w:r>
      <w:r>
        <w:t xml:space="preserve">(plain-language description)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impact</w:t>
      </w:r>
      <w:r>
        <w:t xml:space="preserve"> </w:t>
      </w:r>
      <w:r>
        <w:t xml:space="preserve">(what consumers need to do)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approved_by</w:t>
      </w:r>
      <w:r>
        <w:t xml:space="preserve"> </w:t>
      </w:r>
      <w:r>
        <w:t xml:space="preserve">(PG and Risk Data signoffs)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notification_sent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notification_channel</w:t>
      </w:r>
      <w:r>
        <w:t xml:space="preserve"> </w:t>
      </w:r>
      <w:r>
        <w:t xml:space="preserve">(audit of who was told and when)</w:t>
      </w:r>
    </w:p>
    <w:p>
      <w:pPr>
        <w:pStyle w:val="FirstParagraph"/>
      </w:pPr>
      <w:r>
        <w:t xml:space="preserve">Entries are prepended — most recent first. The list grows over the product’s lifetime.</w:t>
      </w:r>
    </w:p>
    <w:p>
      <w:pPr>
        <w:pStyle w:val="BodyText"/>
      </w:pPr>
      <w:r>
        <w:t xml:space="preserve">See the Data Contract Template for the full structure.</w:t>
      </w:r>
    </w:p>
    <w:bookmarkEnd w:id="47"/>
    <w:bookmarkStart w:id="48" w:name="the-confluence-product-page"/>
    <w:p>
      <w:pPr>
        <w:pStyle w:val="Heading3"/>
      </w:pPr>
      <w:r>
        <w:t xml:space="preserve">The Confluence product page</w:t>
      </w:r>
    </w:p>
    <w:p>
      <w:pPr>
        <w:pStyle w:val="FirstParagraph"/>
      </w:pPr>
      <w:r>
        <w:t xml:space="preserve">One page per data product. Lives in the Risk Data Confluence space. Page name follows the convention</w:t>
      </w:r>
      <w:r>
        <w:t xml:space="preserve"> </w:t>
      </w:r>
      <w:r>
        <w:rPr>
          <w:rStyle w:val="VerbatimChar"/>
        </w:rPr>
        <w:t xml:space="preserve">Data Product — &lt;name&gt;</w:t>
      </w:r>
      <w:r>
        <w:t xml:space="preserve">.</w:t>
      </w:r>
    </w:p>
    <w:p>
      <w:pPr>
        <w:pStyle w:val="BodyText"/>
      </w:pPr>
      <w:r>
        <w:t xml:space="preserve">Each page contains: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Summary</w:t>
      </w:r>
      <w:r>
        <w:t xml:space="preserve"> </w:t>
      </w:r>
      <w:r>
        <w:t xml:space="preserve">— one paragraph describing the product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Current state</w:t>
      </w:r>
      <w:r>
        <w:t xml:space="preserve"> </w:t>
      </w:r>
      <w:r>
        <w:t xml:space="preserve">— version, owner, refresh, classification (mirrors the UC tags)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Change History</w:t>
      </w:r>
      <w:r>
        <w:t xml:space="preserve"> </w:t>
      </w:r>
      <w:r>
        <w:t xml:space="preserve">— one section per version, anchored for direct linking (e.g.,</w:t>
      </w:r>
      <w:r>
        <w:t xml:space="preserve"> </w:t>
      </w:r>
      <w:r>
        <w:rPr>
          <w:rStyle w:val="VerbatimChar"/>
        </w:rPr>
        <w:t xml:space="preserve">...#v1.2.0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Links out</w:t>
      </w:r>
      <w:r>
        <w:t xml:space="preserve"> </w:t>
      </w:r>
      <w:r>
        <w:t xml:space="preserve">— contract YAML in Git, Collibra entry, consuming dashboards</w:t>
      </w:r>
    </w:p>
    <w:p>
      <w:pPr>
        <w:pStyle w:val="FirstParagraph"/>
      </w:pPr>
      <w:r>
        <w:t xml:space="preserve">The UC tag</w:t>
      </w:r>
      <w:r>
        <w:t xml:space="preserve"> </w:t>
      </w:r>
      <w:r>
        <w:rPr>
          <w:rStyle w:val="VerbatimChar"/>
        </w:rPr>
        <w:t xml:space="preserve">contract_ref</w:t>
      </w:r>
      <w:r>
        <w:t xml:space="preserve"> </w:t>
      </w:r>
      <w:r>
        <w:t xml:space="preserve">points to the page. When</w:t>
      </w:r>
      <w:r>
        <w:t xml:space="preserve"> </w:t>
      </w:r>
      <w:r>
        <w:rPr>
          <w:rStyle w:val="VerbatimChar"/>
        </w:rPr>
        <w:t xml:space="preserve">contract_ref</w:t>
      </w:r>
      <w:r>
        <w:t xml:space="preserve"> </w:t>
      </w:r>
      <w:r>
        <w:t xml:space="preserve">is set to a specific anchor (e.g.,</w:t>
      </w:r>
      <w:r>
        <w:t xml:space="preserve"> </w:t>
      </w:r>
      <w:r>
        <w:rPr>
          <w:rStyle w:val="VerbatimChar"/>
        </w:rPr>
        <w:t xml:space="preserve">...#v1.2.0</w:t>
      </w:r>
      <w:r>
        <w:t xml:space="preserve">), a reader is taken directly to the most recent change.</w:t>
      </w:r>
    </w:p>
    <w:bookmarkEnd w:id="48"/>
    <w:bookmarkStart w:id="49" w:name="workflow-per-release"/>
    <w:p>
      <w:pPr>
        <w:pStyle w:val="Heading3"/>
      </w:pPr>
      <w:r>
        <w:t xml:space="preserve">Workflow per release</w:t>
      </w:r>
    </w:p>
    <w:p>
      <w:pPr>
        <w:numPr>
          <w:ilvl w:val="0"/>
          <w:numId w:val="1010"/>
        </w:numPr>
        <w:pStyle w:val="Compact"/>
      </w:pPr>
      <w:r>
        <w:t xml:space="preserve">New entry prepended to</w:t>
      </w:r>
      <w:r>
        <w:t xml:space="preserve"> </w:t>
      </w:r>
      <w:r>
        <w:rPr>
          <w:rStyle w:val="VerbatimChar"/>
        </w:rPr>
        <w:t xml:space="preserve">change_history</w:t>
      </w:r>
      <w:r>
        <w:t xml:space="preserve"> </w:t>
      </w:r>
      <w:r>
        <w:t xml:space="preserve">in the contract YAML; commit to Git</w:t>
      </w:r>
    </w:p>
    <w:p>
      <w:pPr>
        <w:numPr>
          <w:ilvl w:val="0"/>
          <w:numId w:val="1010"/>
        </w:numPr>
        <w:pStyle w:val="Compact"/>
      </w:pPr>
      <w:r>
        <w:t xml:space="preserve">Confluence product page updated (manually for now; auto-generated later as the function scales)</w:t>
      </w:r>
    </w:p>
    <w:p>
      <w:pPr>
        <w:numPr>
          <w:ilvl w:val="0"/>
          <w:numId w:val="1010"/>
        </w:numPr>
        <w:pStyle w:val="Compact"/>
      </w:pPr>
      <w:r>
        <w:t xml:space="preserve">UC tags re-applied:</w:t>
      </w:r>
      <w:r>
        <w:t xml:space="preserve"> </w:t>
      </w:r>
      <w:r>
        <w:rPr>
          <w:rStyle w:val="VerbatimChar"/>
        </w:rPr>
        <w:t xml:space="preserve">contract_version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last_change_date</w:t>
      </w:r>
      <w:r>
        <w:t xml:space="preserve"> </w:t>
      </w:r>
      <w:r>
        <w:t xml:space="preserve">updated;</w:t>
      </w:r>
      <w:r>
        <w:t xml:space="preserve"> </w:t>
      </w:r>
      <w:r>
        <w:rPr>
          <w:rStyle w:val="VerbatimChar"/>
        </w:rPr>
        <w:t xml:space="preserve">contract_ref</w:t>
      </w:r>
      <w:r>
        <w:t xml:space="preserve"> </w:t>
      </w:r>
      <w:r>
        <w:t xml:space="preserve">updated if pointing to a specific version anchor</w:t>
      </w:r>
    </w:p>
    <w:p>
      <w:pPr>
        <w:numPr>
          <w:ilvl w:val="0"/>
          <w:numId w:val="1010"/>
        </w:numPr>
        <w:pStyle w:val="Compact"/>
      </w:pPr>
      <w:r>
        <w:t xml:space="preserve">Notification sent to the consumer email group (</w:t>
      </w:r>
      <w:r>
        <w:rPr>
          <w:rStyle w:val="VerbatimChar"/>
        </w:rPr>
        <w:t xml:space="preserve">business_email_group</w:t>
      </w:r>
      <w:r>
        <w:t xml:space="preserve">)</w:t>
      </w:r>
    </w:p>
    <w:p>
      <w:pPr>
        <w:pStyle w:val="FirstParagraph"/>
      </w:pPr>
      <w:r>
        <w:t xml:space="preserve">The contract drives everything. UC and Confluence are derived.</w:t>
      </w:r>
      <w:r>
        <w:t xml:space="preserve"> </w:t>
      </w:r>
      <w:r>
        <w:rPr>
          <w:rStyle w:val="VerbatimChar"/>
        </w:rPr>
        <w:t xml:space="preserve">last_change_date</w:t>
      </w:r>
      <w:r>
        <w:t xml:space="preserve"> </w:t>
      </w:r>
      <w:r>
        <w:t xml:space="preserve">is the queryable convenience that answers the most common consumer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fresh?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2026-05-12T16:41:15Z</dcterms:created>
  <dcterms:modified xsi:type="dcterms:W3CDTF">2026-05-12T16:41:15Z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