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0"/>
          <w:szCs w:val="40"/>
        </w:rPr>
        <w:t xml:space="preserve">Foundational — Collateral Exposure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Collateral Management  ·  Foundational product  ·  Status: Active  ·  Contract v1.4.0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8" w:sz="4"/>
              <w:left w:val="single" w:color="1F4E78" w:sz="24"/>
              <w:bottom w:val="single" w:color="1F4E78" w:sz="4"/>
              <w:right w:val="single" w:color="1F4E78" w:sz="4"/>
            </w:tcBorders>
            <w:shd w:fill="D9E8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78"/>
                <w:sz w:val="22"/>
                <w:szCs w:val="22"/>
              </w:rPr>
              <w:t xml:space="preserve">Daily collateral exposure by counterparty and netting set, sourced from CMOS. Used for collateral optimization, margin call analysis, and downstream risk reporting.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Product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collateral_exposure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Collateral Management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Archetype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Foundational (sourced from one application)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Producing application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CMOS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Grain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One row per counterparty per CSA per currency per business date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Refresh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 by 06:00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Confidential — no PII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Where to find the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is available in Databricks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8"/>
                <w:sz w:val="16"/>
                <w:szCs w:val="16"/>
              </w:rPr>
              <w:t xml:space="preserve">risk_warehouse.products.collateral_exposure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Implemented as a view over CMOS's curated collateral exposure table. The view applies the contract schema; CMOS owns the underlying computation.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Subscribe via the link at the bottom of this page to register your team as a consumer.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Columns and their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counterparty_id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Conformed counterparty identifier (resolved across CMOS/VS/RCS)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csa_id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Support Annex identifier from TAMS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business_date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date the exposure represents (T)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native_currency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ISO 4217 currency code of the underlying position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native_exposure_amount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Exposure in native currency (additive within CSA)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usd_exposure_amount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Exposure converted to USD using MIDAS FX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cmos_asset_type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Asset classification per CMOS internal taxonomy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pledged_amount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Collateral posted, in native currency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Allowed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counterparty_id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csa_id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business_date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native_currency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cmos_asset_type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Blocked dimensions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will produce wrong answers at this grain: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trade_id (not present — aggregated at CSA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book_id (not meaningful at this grain)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7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 to aggregate by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native_exposure_amount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counterparty, csa, currency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 currency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usd_exposure_amount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Additive (within MIDAS basis)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counterparty, csa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 via MIDAS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pledged_amount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counterparty, csa, currency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 currency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Reference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depends on the following reference data. Each entry declares the source AND whether it is conformed against the risk core layer. Non-conformed dependencies indicate areas where joins to other products may produce inconsistent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Conformed?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FX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MIDAS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CMOS converts native to USD using MIDAS end-of-day FX rates. Not aligned with core.fx_rate (which is not yet populated). Risk products using LAMP-based FX (e.g. lcr_buffer) will not reconcile when joined on USD amounts.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Asset classification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cmos_native_taxonomy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CMOS uses its own asset code system. Not aligned with core.asset_type. Cross-product joins on asset class produce inconsistent groupings.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Counterparty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core.counterparty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Conformed counterparty IDs resolved across CMOS, VS, and RCS in core.counterparty.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CSA reference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TAMS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CSA agreements sourced from TAMS, the authoritative source bank-wide.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Business calendar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cmos_calendar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CMOS-specific calendar; differs slightly from risk_calendar on a few holidays. Difference documented in known_issues.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30" w:sz="4"/>
              <w:left w:val="single" w:color="E0A030" w:sz="24"/>
              <w:bottom w:val="single" w:color="E0A030" w:sz="4"/>
              <w:right w:val="single" w:color="E0A030" w:sz="4"/>
            </w:tcBorders>
            <w:shd w:fill="FFF4C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64D03"/>
                <w:sz w:val="22"/>
                <w:szCs w:val="22"/>
              </w:rPr>
              <w:t xml:space="preserve">This product carries TWO non-conformed reference dependencies (FX and asset taxonomy). Cross-product joins on USD amounts or asset classifications require explicit reconciliation. See the Composability section below.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Composability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 this product joins with others. Known safe joins and known reconciliation requirements are declared below.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Safely joinable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counterparty_master — join on counterparty_id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csa — join on csa_id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core.counterparty — join on counterparty_id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Reconciliation required with</w:t>
      </w:r>
    </w:p>
    <w:p>
      <w:pPr>
        <w:spacing w:after="40" w:before="100"/>
      </w:pPr>
      <w:r>
        <w:rPr>
          <w:b/>
          <w:bCs/>
          <w:color w:val="C00000"/>
          <w:sz w:val="22"/>
          <w:szCs w:val="22"/>
        </w:rPr>
        <w:t xml:space="preserve">lcr_buffer (Liquidity, foundational)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FX source differs (this product uses MIDAS via CMOS; lcr_buffer uses LAMP via ALFA). Asset taxonomy differs (cmos_native vs alfa_native). Direct joins on usd_exposure_amount will not reconcile to combined balance-sheet totals. Direct joins on asset classification will produce miscategorized groupings.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Recommendation: For combined collateral + liquidity analysis, use the derived product collateralized_funding_view, which reconciles FX and asset taxonomy at join time.</w:t>
      </w:r>
    </w:p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Currency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Native currency carried?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native_currency and native_exposure_amount columns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Pre-converted to reporting currency?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usd_exposure_amount column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Reporting currency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FX source used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MIDAS (CMOS native)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FX rate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date (T, end-of-day)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30" w:sz="4"/>
              <w:left w:val="single" w:color="E0A030" w:sz="24"/>
              <w:bottom w:val="single" w:color="E0A030" w:sz="4"/>
              <w:right w:val="single" w:color="E0A030" w:sz="4"/>
            </w:tcBorders>
            <w:shd w:fill="FFF4C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64D03"/>
                <w:sz w:val="22"/>
                <w:szCs w:val="22"/>
              </w:rPr>
              <w:t xml:space="preserve">The usd_exposure_amount column uses MIDAS FX. For cross-product analysis with liquidity data (which uses LAMP), prefer native_exposure_amount with consumer-side conversion via core.fx_rate, or use the derived collateralized_funding_view product.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Known issues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FX source not aligned with risk-wide canonical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uses MIDAS for FX conversion. Risk does not yet have a canonical FX source defined in core.fx_rate. When core.fx_rate is established, this product will need to either align or document why it retains MIDAS.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Tracked 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RISKDATA-4521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2026 Q4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Asset taxonomy not aligned with conformed risk taxonomy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cmos_asset_type column uses CMOS's internal code system. A conformed core.asset_type is being developed. Once available, a conformed_asset_type column will be added (additive change, 14-day notice).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Tracked 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RISKDATA-4623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2026 Q3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Calendar differs from risk_calendar on minor holidays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CMOS calendar differs from risk_calendar on regional holidays (e.g. Boxing Day in some jurisdictions). Affects ~3-5 business days per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Tracked 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RISKDATA-4408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2027 Q1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Ownership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 Group — Credit Risk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CMOS team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Steward email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risk-data-collateral@td.com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Producer domain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Credit Risk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Operational commitments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 by 06:00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Freshness alert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07:00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Breaking change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Additive change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Deprecation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Notification channel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risk-data-collateral@td.com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Quality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Enforced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amounts_non_negative — native_exposure_amount and pledged_amount must be ≥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currency_in_iso — native_currency must be a valid ISO 4217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counterparty_must_exist — counterparty_id must reference core.counterparty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Scheduled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row count within ±5% of prior business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every counterparty in the product must exist in core.counterparty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sum of native_exposure_amount reconciles to CMOS source within 0.01%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Lineage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Sourced from CMOS via: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credit_risk.cmos.collateral_exposure_curated (CMOS-owned curated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Joined to core.counterparty for conformed counterparty resolution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Unity Catalog tracks the physical table lineage automatically.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Contract source (YAML in Git): contracts/collateral_management/collateral_exposure.yaml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Collibra entry: CRR-COL-002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Requirements document (intake)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request tracking (Jira project RISKDATA)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2026-05-14T12:38:00.528Z</dcterms:created>
  <dcterms:modified xsi:type="dcterms:W3CDTF">2026-05-14T12:38:00.547Z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