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4E78"/>
          <w:sz w:val="40"/>
          <w:szCs w:val="40"/>
        </w:rPr>
        <w:t xml:space="preserve">Derived — Collateralized Funding View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Liquidity &amp; Funding Risk  ·  Derived product  ·  Status: Active  ·  Contract v1.0.0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4E78" w:sz="4"/>
              <w:left w:val="single" w:color="1F4E78" w:sz="24"/>
              <w:bottom w:val="single" w:color="1F4E78" w:sz="4"/>
              <w:right w:val="single" w:color="1F4E78" w:sz="4"/>
            </w:tcBorders>
            <w:shd w:fill="D9E8F5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F4E78"/>
                <w:sz w:val="22"/>
                <w:szCs w:val="22"/>
              </w:rPr>
              <w:t xml:space="preserve">Daily view of liquidity buffer adjusted for collateral encumbrance. Joins LCR Buffer with Collateral Exposure, reconciling FX source and asset taxonomy differences between the upstream foundational products.</w:t>
            </w:r>
          </w:p>
        </w:tc>
      </w:tr>
    </w:tbl>
    <w:p>
      <w:pPr>
        <w:spacing w:after="200"/>
      </w:pPr>
      <w:r>
        <w:t xml:space="preserve"> 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Product ID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collateralized_funding_view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Capability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Liquidity &amp; Funding Risk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Archetype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Derived (built from multiple foundational products)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Built from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collateral_exposure (CMOS) + lcr_buffer (ALFA)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Grain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One row per business date per currency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Refresh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Daily by 07:00 EST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Sensitivity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Confidential — no PII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Active</w:t>
            </w:r>
          </w:p>
        </w:tc>
      </w:tr>
    </w:tbl>
    <w:p>
      <w:pPr>
        <w:spacing w:after="160"/>
      </w:pPr>
      <w:r>
        <w:t xml:space="preserve"> 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Where to find the data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product is available in Databricks 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8"/>
                <w:sz w:val="16"/>
                <w:szCs w:val="16"/>
              </w:rPr>
              <w:t xml:space="preserve">risk_warehouse.products.collateralized_funding_view</w:t>
            </w:r>
          </w:p>
        </w:tc>
      </w:tr>
    </w:tbl>
    <w:p>
      <w:pPr>
        <w:spacing w:after="80" w:before="120"/>
      </w:pPr>
      <w:r>
        <w:rPr>
          <w:rFonts w:ascii="Arial" w:cs="Arial" w:eastAsia="Arial" w:hAnsi="Arial"/>
          <w:sz w:val="22"/>
          <w:szCs w:val="22"/>
        </w:rPr>
        <w:t xml:space="preserve">Implemented as a materialized table — Databricks refreshes it automatically when the upstream products change. Consumers query it like any regular table.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Columns and their meaning: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business_date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Business date the view represents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currency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ISO 4217 currency code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hqla_amount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DECIMAL(18,2)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HQLA in native currency from LCR Buffer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pledged_collateral_amount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DECIMAL(18,2)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Collateral posted in native currency from Collateral Exposure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unencumbered_liquidity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DECIMAL(18,2)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hqla_amount minus pledged_collateral_amount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coverage_ratio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DECIMAL(5,4)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Unencumbered liquidity divided by HQLA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usd_unencumbered_liquidity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DECIMAL(18,2)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USD-converted using conformed FX (core.fx_rate)</w:t>
            </w:r>
          </w:p>
        </w:tc>
      </w:tr>
    </w:tbl>
    <w:p>
      <w:pPr>
        <w:spacing w:after="160"/>
      </w:pPr>
      <w:r>
        <w:t xml:space="preserve"> </w:t>
      </w:r>
    </w:p>
    <w:p>
      <w:pPr>
        <w:pStyle w:val="Heading3"/>
        <w:spacing w:after="100" w:before="200"/>
      </w:pPr>
      <w:r>
        <w:rPr>
          <w:b/>
          <w:bCs/>
          <w:color w:val="1F4E78"/>
          <w:sz w:val="22"/>
          <w:szCs w:val="22"/>
        </w:rPr>
        <w:t xml:space="preserve">Allowed dimensions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business_date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currency</w:t>
      </w:r>
    </w:p>
    <w:p>
      <w:pPr>
        <w:pStyle w:val="Heading3"/>
        <w:spacing w:after="100" w:before="200"/>
      </w:pPr>
      <w:r>
        <w:rPr>
          <w:b/>
          <w:bCs/>
          <w:color w:val="1F4E78"/>
          <w:sz w:val="22"/>
          <w:szCs w:val="22"/>
        </w:rPr>
        <w:t xml:space="preserve">Blocked dimensions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These dimensions exist in upstream products but should NOT be used at this grain: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counterparty (LCR side does not carry counterparty)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book (not meaningful at this grain)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00"/>
        <w:gridCol w:w="2700"/>
        <w:gridCol w:w="166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Measure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Aggregation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Safe to aggregate by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hqla_amount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Additive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currency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Native currency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pledged_collateral_amount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Additive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currency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Native currency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unencumbered_liquidity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Additive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currency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Native currency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coverage_ratio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Non-additive ratio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Do not aggregate across currencies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Ratio (0-1)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usd_unencumbered_liquidity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Additive (conformed FX basis)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(safe across currencies)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USD via core.fx_rate</w:t>
            </w:r>
          </w:p>
        </w:tc>
      </w:tr>
    </w:tbl>
    <w:p>
      <w:pPr>
        <w:spacing w:after="160"/>
      </w:pPr>
      <w:r>
        <w:t xml:space="preserve"> 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Reference dependencies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product applies conformed reference data when reconciling upstream divergences. Compare with the upstream foundational products — collateral_exposure and lcr_buffer — which carry non-conformed FX and asset-taxonomy dependencies.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400"/>
        <w:gridCol w:w="33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Conformed?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FX rate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Consolas" w:cs="Consolas" w:eastAsia="Consolas" w:hAnsi="Consolas"/>
                <w:color w:val="1F4E78"/>
                <w:sz w:val="20"/>
                <w:szCs w:val="20"/>
              </w:rPr>
              <w:t xml:space="preserve">core.fx_rate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548235"/>
                <w:sz w:val="20"/>
                <w:szCs w:val="20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18"/>
                <w:szCs w:val="18"/>
              </w:rPr>
              <w:t xml:space="preserve">Applies the conformed risk FX rate to harmonize MIDAS (CMOS) and LAMP (ALFA) bases. usd_unencumbered_liquidity is computed against this single source.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Asset classification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Consolas" w:cs="Consolas" w:eastAsia="Consolas" w:hAnsi="Consolas"/>
                <w:color w:val="1F4E78"/>
                <w:sz w:val="20"/>
                <w:szCs w:val="20"/>
              </w:rPr>
              <w:t xml:space="preserve">core.asset_type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548235"/>
                <w:sz w:val="20"/>
                <w:szCs w:val="20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18"/>
                <w:szCs w:val="18"/>
              </w:rPr>
              <w:t xml:space="preserve">Reconciles cmos_native_taxonomy and alfa_native_taxonomy via the conformed risk asset taxonomy. Cross-reference tables in core_model map producer-native codes.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Business calendar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Consolas" w:cs="Consolas" w:eastAsia="Consolas" w:hAnsi="Consolas"/>
                <w:color w:val="1F4E78"/>
                <w:sz w:val="20"/>
                <w:szCs w:val="20"/>
              </w:rPr>
              <w:t xml:space="preserve">risk_calendar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548235"/>
                <w:sz w:val="20"/>
                <w:szCs w:val="20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18"/>
                <w:szCs w:val="18"/>
              </w:rPr>
              <w:t xml:space="preserve">Uses the conformed risk_calendar.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Country code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Consolas" w:cs="Consolas" w:eastAsia="Consolas" w:hAnsi="Consolas"/>
                <w:color w:val="1F4E78"/>
                <w:sz w:val="20"/>
                <w:szCs w:val="20"/>
              </w:rPr>
              <w:t xml:space="preserve">iso_3166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548235"/>
                <w:sz w:val="20"/>
                <w:szCs w:val="20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18"/>
                <w:szCs w:val="18"/>
              </w:rPr>
              <w:t xml:space="preserve">Standard.</w:t>
            </w:r>
          </w:p>
        </w:tc>
      </w:tr>
    </w:tbl>
    <w:p>
      <w:pPr>
        <w:spacing w:after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48235" w:sz="4"/>
              <w:left w:val="single" w:color="548235" w:sz="24"/>
              <w:bottom w:val="single" w:color="548235" w:sz="4"/>
              <w:right w:val="single" w:color="548235" w:sz="4"/>
            </w:tcBorders>
            <w:shd w:fill="E2F0D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F4E2D"/>
                <w:sz w:val="22"/>
                <w:szCs w:val="22"/>
              </w:rPr>
              <w:t xml:space="preserve">This is the point of reconciliation. Each upstream product (Collateral Exposure, LCR Buffer) declares its own non-conformed FX and asset taxonomy. This derived product applies conformed sources to produce reconciled cross-domain outputs.</w:t>
            </w:r>
          </w:p>
        </w:tc>
      </w:tr>
    </w:tbl>
    <w:p>
      <w:pPr>
        <w:spacing w:after="200"/>
      </w:pPr>
      <w:r>
        <w:t xml:space="preserve"> 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Composability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Because this product reconciles upstream divergences, it can be safely joined with other conformed-reference products.</w:t>
      </w:r>
    </w:p>
    <w:p>
      <w:pPr>
        <w:pStyle w:val="Heading3"/>
        <w:spacing w:after="100" w:before="200"/>
      </w:pPr>
      <w:r>
        <w:rPr>
          <w:b/>
          <w:bCs/>
          <w:color w:val="1F4E78"/>
          <w:sz w:val="22"/>
          <w:szCs w:val="22"/>
        </w:rPr>
        <w:t xml:space="preserve">Safely joinable with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counterparty_master — join on counterparty_id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csa — join on csa_id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core.legal_entity — join on legal_entity_id</w:t>
      </w:r>
    </w:p>
    <w:p>
      <w:pPr>
        <w:pStyle w:val="Heading3"/>
        <w:spacing w:after="100" w:before="200"/>
      </w:pPr>
      <w:r>
        <w:rPr>
          <w:b/>
          <w:bCs/>
          <w:color w:val="1F4E78"/>
          <w:sz w:val="22"/>
          <w:szCs w:val="22"/>
        </w:rPr>
        <w:t xml:space="preserve">Reconciliation required with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None declared.</w:t>
      </w:r>
    </w:p>
    <w:p>
      <w:pPr>
        <w:pStyle w:val="Heading3"/>
        <w:spacing w:after="100" w:before="200"/>
      </w:pPr>
      <w:r>
        <w:rPr>
          <w:b/>
          <w:bCs/>
          <w:color w:val="1F4E78"/>
          <w:sz w:val="22"/>
          <w:szCs w:val="22"/>
        </w:rPr>
        <w:t xml:space="preserve">Reconciliation resolved for upstream pair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product was built to resolve reconciliation between the following foundational products:</w:t>
      </w:r>
    </w:p>
    <w:p>
      <w:pPr>
        <w:spacing w:after="40" w:before="100"/>
      </w:pPr>
      <w:r>
        <w:rPr>
          <w:b/>
          <w:bCs/>
          <w:color w:val="1F4E78"/>
          <w:sz w:val="22"/>
          <w:szCs w:val="22"/>
        </w:rPr>
        <w:t xml:space="preserve">collateral_exposure (CMOS) + lcr_buffer (ALFA)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Issues resolved within this product: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FX source — MIDAS (CMOS) and LAMP (ALFA) reconciled via core.fx_rate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Asset taxonomy — cmos_native and alfa_native reconciled via core.asset_type</w:t>
      </w:r>
    </w:p>
    <w:p>
      <w:pPr>
        <w:spacing w:after="200"/>
      </w:pPr>
      <w:r>
        <w:t xml:space="preserve"> 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Currency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Native currency carried?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Yes — native amounts preserved from upstream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Pre-converted to reporting currency?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Yes — usd_unencumbered_liquidity column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Reporting currency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FX source used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core.fx_rate (conformed)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FX rate date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Business date (T, end-of-day)</w:t>
            </w:r>
          </w:p>
        </w:tc>
      </w:tr>
    </w:tbl>
    <w:p>
      <w:pPr>
        <w:spacing w:after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48235" w:sz="4"/>
              <w:left w:val="single" w:color="548235" w:sz="24"/>
              <w:bottom w:val="single" w:color="548235" w:sz="4"/>
              <w:right w:val="single" w:color="548235" w:sz="4"/>
            </w:tcBorders>
            <w:shd w:fill="E2F0D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F4E2D"/>
                <w:sz w:val="22"/>
                <w:szCs w:val="22"/>
              </w:rPr>
              <w:t xml:space="preserve">The usd_unencumbered_liquidity column is safe for cross-product aggregation because it uses core.fx_rate. This is the column to use for consolidated reporting across collateral and liquidity domains.</w:t>
            </w:r>
          </w:p>
        </w:tc>
      </w:tr>
    </w:tbl>
    <w:p>
      <w:pPr>
        <w:spacing w:after="200"/>
      </w:pPr>
      <w:r>
        <w:t xml:space="preserve"> 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Known issues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No declared issues at this product level.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Note: this product depends on core.fx_rate and core.asset_type. While both are populated, the canonical FX policy is being formalized (see RISKDATA-4521). If the canonical FX source changes, this product will rebuild and notify subscribed consumers per the change_policy.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Ownership &amp; 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Business owner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Product Group — Liquidity &amp; Funding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Technical owner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Risk Data Platform team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Steward email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risk-data-collateralized-funding@td.com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Producer domain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Liquidity (cross-domain)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Operational commitments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Refresh frequency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Daily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SLA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Daily by 07:00 EST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Freshness alert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08:00 EST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Breaking change notice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60 days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Additive change notice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14 days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Deprecation notice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90 days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4E78"/>
                <w:sz w:val="20"/>
                <w:szCs w:val="20"/>
              </w:rPr>
              <w:t xml:space="preserve">Notification channel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risk-data-collateralized-funding@td.com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Quality</w:t>
      </w:r>
    </w:p>
    <w:p>
      <w:pPr>
        <w:pStyle w:val="Heading3"/>
        <w:spacing w:after="100" w:before="200"/>
      </w:pPr>
      <w:r>
        <w:rPr>
          <w:b/>
          <w:bCs/>
          <w:color w:val="1F4E78"/>
          <w:sz w:val="22"/>
          <w:szCs w:val="22"/>
        </w:rPr>
        <w:t xml:space="preserve">Enforced constraints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amounts_non_negative — hqla_amount and pledged_collateral_amount must be ≥ 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pledged_not_exceed_hqla — pledged must not exceed hqla (escalate to liquidity team if false)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coverage_ratio_bounded — coverage_ratio between 0 and 1</w:t>
      </w:r>
    </w:p>
    <w:p>
      <w:pPr>
        <w:pStyle w:val="Heading3"/>
        <w:spacing w:after="100" w:before="200"/>
      </w:pPr>
      <w:r>
        <w:rPr>
          <w:b/>
          <w:bCs/>
          <w:color w:val="1F4E78"/>
          <w:sz w:val="22"/>
          <w:szCs w:val="22"/>
        </w:rPr>
        <w:t xml:space="preserve">Scheduled tests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Daily — row count within ±10% of prior business day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Daily — every currency in LCR Buffer must appear here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Daily — coverage_ratio expected range 0.6–1.0 (alert if outside)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Daily — usd_unencumbered_liquidity reconciles to native amounts via core.fx_rate within 0.01%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Lineage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Built from two foundational products plus conformed reference data: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risk_warehouse.products.lcr_buffer (foundational, ALFA)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risk_warehouse.products.collateral_exposure (foundational, CMOS)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risk_warehouse.core.fx_rate (conformed reference)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risk_warehouse.core.asset_type (conformed reference)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Unity Catalog tracks the physical table lineage automatically.</w:t>
      </w:r>
    </w:p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6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Summary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1.0.0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2026-05-13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Initial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sz w:val="20"/>
                <w:szCs w:val="20"/>
              </w:rPr>
              <w:t xml:space="preserve">Initial contracted release.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8"/>
          <w:sz w:val="26"/>
          <w:szCs w:val="26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Contract source (YAML in Git): contracts/liquidity_funding_risk/collateralized_funding_view.yaml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Collibra entry: LFR-CFV-001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Upstream foundational: Collateral Exposure (CMOS)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Upstream foundational: LCR Buffer (ALFA)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Requirements document (intake)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E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2026-05-14T12:39:24.193Z</dcterms:created>
  <dcterms:modified xsi:type="dcterms:W3CDTF">2026-05-14T12:39:24.193Z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