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8"/>
          <w:sz w:val="40"/>
          <w:szCs w:val="40"/>
        </w:rPr>
        <w:t xml:space="preserve">Foundational — LCR Buffer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Liquidity &amp; Funding Risk  ·  Foundational product  ·  Status: Active  ·  Contract v1.3.0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8" w:sz="4"/>
              <w:left w:val="single" w:color="1F4E78" w:sz="24"/>
              <w:bottom w:val="single" w:color="1F4E78" w:sz="4"/>
              <w:right w:val="single" w:color="1F4E78" w:sz="4"/>
            </w:tcBorders>
            <w:shd w:fill="D9E8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F4E78"/>
                <w:sz w:val="22"/>
                <w:szCs w:val="22"/>
              </w:rPr>
              <w:t xml:space="preserve">Daily High-Quality Liquid Assets (HQLA) inventory used for Liquidity Coverage Ratio calculations, sourced from ALFA. Used for LCR reporting, funding decisions, and regulatory submissions.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Product ID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lcr_buffer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Liquidity &amp; Funding Risk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Archetype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Foundational (sourced from one application)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Producing application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ALFA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Grain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One row per legal entity per currency per HQLA tier per business date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Refresh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Daily by 07:00 EST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Confidential — no PII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16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Where to find the 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product is available in Databricks 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4E78"/>
                <w:sz w:val="16"/>
                <w:szCs w:val="16"/>
              </w:rPr>
              <w:t xml:space="preserve">risk_warehouse.products.lcr_buffer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2"/>
          <w:szCs w:val="22"/>
        </w:rPr>
        <w:t xml:space="preserve">Implemented as a view over ALFA's curated LCR buffer table. The view applies the contract schema; ALFA owns the underlying computation including LCR weighting and tiering.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Subscribe via the link at the bottom of this page to register your team as a consumer.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Columns and their meaning: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legal_entity_id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Legal entity identifier (TD Bank Group entity)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business_date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Business date the buffer represents (T)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native_currency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ISO 4217 currency code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hqla_tier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Level 1, Level 2A, Level 2B per Basel III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native_hqla_amount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HQLA in native currency (additive within tier)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usd_hqla_amount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HQLA converted to USD using LAMP FX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alfa_asset_type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Asset classification per ALFA internal taxonomy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lcr_weight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DECIMAL(5,4)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LCR haircut weight applied (0.00 to 1.00)</w:t>
            </w:r>
          </w:p>
        </w:tc>
      </w:tr>
    </w:tbl>
    <w:p>
      <w:pPr>
        <w:spacing w:after="160"/>
      </w:pPr>
      <w:r>
        <w:t xml:space="preserve"> </w:t>
      </w:r>
    </w:p>
    <w:p>
      <w:pPr>
        <w:pStyle w:val="Heading3"/>
        <w:spacing w:after="100" w:before="200"/>
      </w:pPr>
      <w:r>
        <w:rPr>
          <w:b/>
          <w:bCs/>
          <w:color w:val="1F4E78"/>
          <w:sz w:val="22"/>
          <w:szCs w:val="22"/>
        </w:rPr>
        <w:t xml:space="preserve">Allowed dimensions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legal_entity_id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business_date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native_currency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hqla_tier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alfa_asset_type</w:t>
      </w:r>
    </w:p>
    <w:p>
      <w:pPr>
        <w:pStyle w:val="Heading3"/>
        <w:spacing w:after="100" w:before="200"/>
      </w:pPr>
      <w:r>
        <w:rPr>
          <w:b/>
          <w:bCs/>
          <w:color w:val="1F4E78"/>
          <w:sz w:val="22"/>
          <w:szCs w:val="22"/>
        </w:rPr>
        <w:t xml:space="preserve">Blocked dimensions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will produce wrong answers at this grain: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counterparty_id (not present — LCR is internal balance-sheet-side)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trade_id (not meaningful at this grain)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700"/>
        <w:gridCol w:w="17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Safe to aggregate by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native_hqla_amount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Additive (within tier)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currency, tier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Native currency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usd_hqla_amount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Additive (within LAMP basis)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tier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USD via LAMP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lcr_weight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Non-additive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Do not aggregate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Ratio (0-1)</w:t>
            </w:r>
          </w:p>
        </w:tc>
      </w:tr>
    </w:tbl>
    <w:p>
      <w:pPr>
        <w:spacing w:after="16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Reference dependencies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product depends on the following reference data. Each entry declares the source AND whether it is conformed against the risk core layer. Non-conformed dependencies indicate areas where joins to other products may produce inconsistent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Conformed?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FX rate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F4E78"/>
                <w:sz w:val="20"/>
                <w:szCs w:val="20"/>
              </w:rPr>
              <w:t xml:space="preserve">LAMP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18"/>
                <w:szCs w:val="18"/>
              </w:rPr>
              <w:t xml:space="preserve">ALFA converts native to USD using LAMP FX rates. Not aligned with core.fx_rate (which is not yet populated). Risk products using MIDAS-based FX (e.g. collateral_exposure) will not reconcile when joined on USD amounts.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Asset classification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F4E78"/>
                <w:sz w:val="20"/>
                <w:szCs w:val="20"/>
              </w:rPr>
              <w:t xml:space="preserve">alfa_native_taxonomy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18"/>
                <w:szCs w:val="18"/>
              </w:rPr>
              <w:t xml:space="preserve">ALFA uses its own asset code system. Not aligned with core.asset_type. Cross-product joins on asset class produce inconsistent groupings.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Legal entity hierarchy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F4E78"/>
                <w:sz w:val="20"/>
                <w:szCs w:val="20"/>
              </w:rPr>
              <w:t xml:space="preserve">core.legal_entity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18"/>
                <w:szCs w:val="18"/>
              </w:rPr>
              <w:t xml:space="preserve">Conformed legal entity identifiers from core.legal_entity.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HQLA tier definitions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F4E78"/>
                <w:sz w:val="20"/>
                <w:szCs w:val="20"/>
              </w:rPr>
              <w:t xml:space="preserve">regulatory_basel_iii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18"/>
                <w:szCs w:val="18"/>
              </w:rPr>
              <w:t xml:space="preserve">Tiers (L1, L2A, L2B) per Basel III; standardized and conformed.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Business calendar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nsolas" w:cs="Consolas" w:eastAsia="Consolas" w:hAnsi="Consolas"/>
                <w:color w:val="1F4E78"/>
                <w:sz w:val="20"/>
                <w:szCs w:val="20"/>
              </w:rPr>
              <w:t xml:space="preserve">risk_calendar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18"/>
                <w:szCs w:val="18"/>
              </w:rPr>
              <w:t xml:space="preserve">Uses the conformed risk_calendar.</w:t>
            </w:r>
          </w:p>
        </w:tc>
      </w:tr>
    </w:tbl>
    <w:p>
      <w:pPr>
        <w:spacing w:after="1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030" w:sz="4"/>
              <w:left w:val="single" w:color="E0A030" w:sz="24"/>
              <w:bottom w:val="single" w:color="E0A030" w:sz="4"/>
              <w:right w:val="single" w:color="E0A030" w:sz="4"/>
            </w:tcBorders>
            <w:shd w:fill="FFF4C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664D03"/>
                <w:sz w:val="22"/>
                <w:szCs w:val="22"/>
              </w:rPr>
              <w:t xml:space="preserve">This product carries TWO non-conformed reference dependencies (FX and asset taxonomy). Cross-product joins on USD amounts or asset classifications require explicit reconciliation. See the Composability section below.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Composability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How this product joins with others. Known safe joins and known reconciliation requirements are declared below.</w:t>
      </w:r>
    </w:p>
    <w:p>
      <w:pPr>
        <w:pStyle w:val="Heading3"/>
        <w:spacing w:after="100" w:before="200"/>
      </w:pPr>
      <w:r>
        <w:rPr>
          <w:b/>
          <w:bCs/>
          <w:color w:val="1F4E78"/>
          <w:sz w:val="22"/>
          <w:szCs w:val="22"/>
        </w:rPr>
        <w:t xml:space="preserve">Safely joinable with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core.legal_entity — join on legal_entity_id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regulatory_basel_iii_definitions — join on hqla_tier</w:t>
      </w:r>
    </w:p>
    <w:p>
      <w:pPr>
        <w:pStyle w:val="Heading3"/>
        <w:spacing w:after="100" w:before="200"/>
      </w:pPr>
      <w:r>
        <w:rPr>
          <w:b/>
          <w:bCs/>
          <w:color w:val="1F4E78"/>
          <w:sz w:val="22"/>
          <w:szCs w:val="22"/>
        </w:rPr>
        <w:t xml:space="preserve">Reconciliation required with</w:t>
      </w:r>
    </w:p>
    <w:p>
      <w:pPr>
        <w:spacing w:after="40" w:before="100"/>
      </w:pPr>
      <w:r>
        <w:rPr>
          <w:b/>
          <w:bCs/>
          <w:color w:val="C00000"/>
          <w:sz w:val="22"/>
          <w:szCs w:val="22"/>
        </w:rPr>
        <w:t xml:space="preserve">collateral_exposure (CMOS, foundational)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FX source differs (this product uses LAMP via ALFA; collateral_exposure uses MIDAS via CMOS). Asset taxonomy differs (alfa_native vs cmos_native). Direct joins on usd_hqla_amount and usd_exposure_amount will not reconcile. Joins on asset classification will produce miscategorized groupings.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Recommendation: For combined liquidity + collateral analysis, use the derived product collateralized_funding_view, which reconciles FX and asset taxonomy at join time.</w:t>
      </w:r>
    </w:p>
    <w:p>
      <w:pPr>
        <w:spacing w:after="16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Currency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Native currency carried?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Yes — native_currency and native_hqla_amount columns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Pre-converted to reporting currency?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Yes — usd_hqla_amount column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Reporting currency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FX source used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LAMP (ALFA native)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FX rate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Business date (T, end-of-day)</w:t>
            </w:r>
          </w:p>
        </w:tc>
      </w:tr>
    </w:tbl>
    <w:p>
      <w:pPr>
        <w:spacing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030" w:sz="4"/>
              <w:left w:val="single" w:color="E0A030" w:sz="24"/>
              <w:bottom w:val="single" w:color="E0A030" w:sz="4"/>
              <w:right w:val="single" w:color="E0A030" w:sz="4"/>
            </w:tcBorders>
            <w:shd w:fill="FFF4C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664D03"/>
                <w:sz w:val="22"/>
                <w:szCs w:val="22"/>
              </w:rPr>
              <w:t xml:space="preserve">The usd_hqla_amount column uses LAMP FX. For cross-product analysis with collateral data (which uses MIDAS), prefer native_hqla_amount with consumer-side conversion via core.fx_rate, or use the derived collateralized_funding_view product.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Known issues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FX source not aligned with risk-wide canonical source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product uses LAMP for FX conversion. Risk does not yet have a canonical FX source defined in core.fx_rate. When core.fx_rate is established, this product will need to either align or document why it retains LAMP.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Tracked in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RISKDATA-4521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Target resolution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2026 Q4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Asset taxonomy not aligned with conformed risk taxonomy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alfa_asset_type column uses ALFA's internal code system. A conformed core.asset_type is being developed. Once available, a conformed_asset_type column will be added (additive change, 14-day notice).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Tracked in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RISKDATA-4623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Target resolution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2026 Q3</w:t>
            </w:r>
          </w:p>
        </w:tc>
      </w:tr>
    </w:tbl>
    <w:p>
      <w:pPr>
        <w:spacing w:after="10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Ownership &amp;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Product Group — Liquidity &amp; Funding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Technical owner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ALFA team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Steward email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risk-data-liquidity@td.com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Producer domain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Liquidity</w:t>
            </w:r>
          </w:p>
        </w:tc>
      </w:tr>
    </w:tbl>
    <w:p>
      <w:pPr>
        <w:spacing w:after="16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Operational commitments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Refresh frequency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SLA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Daily by 07:00 EST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Freshness alert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08:00 EST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Breaking change notice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60 days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Additive change notice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 days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Deprecation notice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4E78"/>
                <w:sz w:val="20"/>
                <w:szCs w:val="20"/>
              </w:rPr>
              <w:t xml:space="preserve">Notification channel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risk-data-liquidity@td.com</w:t>
            </w:r>
          </w:p>
        </w:tc>
      </w:tr>
    </w:tbl>
    <w:p>
      <w:pPr>
        <w:spacing w:after="160"/>
      </w:pPr>
      <w: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Quality</w:t>
      </w:r>
    </w:p>
    <w:p>
      <w:pPr>
        <w:pStyle w:val="Heading3"/>
        <w:spacing w:after="100" w:before="200"/>
      </w:pPr>
      <w:r>
        <w:rPr>
          <w:b/>
          <w:bCs/>
          <w:color w:val="1F4E78"/>
          <w:sz w:val="22"/>
          <w:szCs w:val="22"/>
        </w:rPr>
        <w:t xml:space="preserve">Enforced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amounts_non_negative — native_hqla_amount must be ≥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currency_in_iso — native_currency must be a valid ISO 4217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tier_in_basel_set — hqla_tier must be L1, L2A, or L2B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weight_bounded — lcr_weight must be between 0 and 1</w:t>
      </w:r>
    </w:p>
    <w:p>
      <w:pPr>
        <w:pStyle w:val="Heading3"/>
        <w:spacing w:after="100" w:before="200"/>
      </w:pPr>
      <w:r>
        <w:rPr>
          <w:b/>
          <w:bCs/>
          <w:color w:val="1F4E78"/>
          <w:sz w:val="22"/>
          <w:szCs w:val="22"/>
        </w:rPr>
        <w:t xml:space="preserve">Scheduled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Daily — row count within ±10% of prior business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Daily — every legal entity must exist in core.legal_entity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Daily — sum of native_hqla_amount reconciles to ALFA source within 0.01%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Lineage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Sourced from ALFA via: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liquidity.alfa.lcr_buffer_curated (ALFA-owned curated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Joined to core.legal_entity for conformed legal entity resolution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Unity Catalog tracks the physical table lineage automatically.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Contract source (YAML in Git): contracts/liquidity_funding_risk/lcr_buffer.yaml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Collibra entry: LFR-LCR-001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Requirements document (intake)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Change request tracking (Jira project RISKDATA)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2026-05-14T12:38:00.731Z</dcterms:created>
  <dcterms:modified xsi:type="dcterms:W3CDTF">2026-05-14T12:38:00.731Z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