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2020-1</w:t>
      </w:r>
    </w:p>
    <w:p w:rsidR="00000000" w:rsidDel="00000000" w:rsidP="00000000" w:rsidRDefault="00000000" w:rsidRPr="00000000" w14:paraId="00000002">
      <w:pPr>
        <w:pageBreakBefore w:val="0"/>
        <w:rPr/>
      </w:pPr>
      <w:r w:rsidDel="00000000" w:rsidR="00000000" w:rsidRPr="00000000">
        <w:rPr>
          <w:rtl w:val="0"/>
        </w:rPr>
        <w:t xml:space="preserve">1. Assume that you are a protocol designer and have designed several MAC and routing protocols for MANET. Now, you are given a new mission to design MAC and routing protocols for WSN. How will your design consideration and strategies change, compared to the case of MANET? Discuss this in detail (with respect to both MAC and routing protocols)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 AODV uses ‘destination sequence number (DSN)’. Describe the reason of using DSN (e.g. usages, benefits)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3. Describe the congestion avoidance techniques in IEEE 802.11</w:t>
      </w:r>
    </w:p>
    <w:p w:rsidR="00000000" w:rsidDel="00000000" w:rsidP="00000000" w:rsidRDefault="00000000" w:rsidRPr="00000000" w14:paraId="0000000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