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04: Customer Segmentation and Recommendation Memo</w:t>
      </w:r>
    </w:p>
    <w:p>
      <w:pPr>
        <w:jc w:val="left"/>
      </w:pPr>
      <w:r>
        <w:t>Prepared from the supplied customer_churn_sample.csv dataset.</w:t>
      </w:r>
    </w:p>
    <w:p>
      <w:pPr>
        <w:pStyle w:val="Heading1"/>
      </w:pPr>
      <w:r>
        <w:t>1. Objective</w:t>
      </w:r>
    </w:p>
    <w:p>
      <w:r>
        <w:t>Create understandable customer segments and a reproducible rule-based churn-risk score so a team can prioritise retention outreach. The supplied dataset has only 15 customers; findings are descriptive and should not be treated as reliable population estimates.</w:t>
      </w:r>
    </w:p>
    <w:p>
      <w:pPr>
        <w:pStyle w:val="Heading1"/>
      </w:pPr>
      <w:r>
        <w:t>2. Data quality and approach</w:t>
      </w:r>
    </w:p>
    <w:p>
      <w:r>
        <w:t>The file contains 15 customer rows and 11 original columns. The analysis checks required fields, missing values, duplicate customer IDs, and score boundaries. The score adds points for short tenure, frequent support tickets, a month-to-month contract, and a Basic subscription. The score is capped at 100.</w:t>
      </w:r>
    </w:p>
    <w:p>
      <w:r>
        <w:t>Scoring rules:</w:t>
      </w:r>
    </w:p>
    <w:p>
      <w:pPr>
        <w:pStyle w:val="ListBullet"/>
      </w:pPr>
      <w:r>
        <w:t>Tenure ≤ 6 months: +30; tenure 7–12 months: +20.</w:t>
      </w:r>
    </w:p>
    <w:p>
      <w:pPr>
        <w:pStyle w:val="ListBullet"/>
      </w:pPr>
      <w:r>
        <w:t>Support tickets ≥ 5: +30; 3–4 tickets: +20.</w:t>
      </w:r>
    </w:p>
    <w:p>
      <w:pPr>
        <w:pStyle w:val="ListBullet"/>
      </w:pPr>
      <w:r>
        <w:t>Month-to-month contract: +25.</w:t>
      </w:r>
    </w:p>
    <w:p>
      <w:pPr>
        <w:pStyle w:val="ListBullet"/>
      </w:pPr>
      <w:r>
        <w:t>Basic subscription: +10.</w:t>
      </w:r>
    </w:p>
    <w:p>
      <w:pPr>
        <w:pStyle w:val="ListBullet"/>
      </w:pPr>
      <w:r>
        <w:t>Risk bands: High ≥ 60; Medium 35–59; Low &lt; 35.</w:t>
      </w:r>
    </w:p>
    <w:p>
      <w:pPr>
        <w:pStyle w:val="Heading1"/>
      </w:pPr>
      <w:r>
        <w:t>3. Observed results</w:t>
      </w:r>
    </w:p>
    <w:p>
      <w:r>
        <w:t>Observed churn: 7/15 customers (46.7%) in this small sample.</w:t>
      </w:r>
    </w:p>
    <w:p>
      <w:r>
        <w:t>High risk: 6 customers; observed churn rate in this sample: 100.0%.</w:t>
      </w:r>
    </w:p>
    <w:p>
      <w:r>
        <w:t>Medium risk: 1 customers; observed churn rate in this sample: 100.0%.</w:t>
      </w:r>
    </w:p>
    <w:p>
      <w:r>
        <w:t>Low risk: 8 customers; observed churn rate in this sample: 0.0%.</w:t>
      </w:r>
    </w:p>
    <w:p>
      <w:r>
        <w:t>7 customers have month-to-month contracts; 6 customers are classified as High risk by the rules. These numbers are based only on the supplied sample and may change with a larger dataset.</w:t>
      </w:r>
    </w:p>
    <w:p>
      <w:pPr>
        <w:pStyle w:val="Heading1"/>
      </w:pPr>
      <w:r>
        <w:t>4. Recommended customer segments and actions</w:t>
      </w:r>
    </w:p>
    <w:p>
      <w:pPr>
        <w:pStyle w:val="Heading2"/>
      </w:pPr>
      <w:r>
        <w:t>High risk — at-risk: new/high support</w:t>
      </w:r>
    </w:p>
    <w:p>
      <w:r>
        <w:t>Prioritise a friendly service check-in, resolve open support issues, confirm onboarding is complete, and offer relevant help before discussing discounts.</w:t>
      </w:r>
    </w:p>
    <w:p>
      <w:pPr>
        <w:pStyle w:val="Heading2"/>
      </w:pPr>
      <w:r>
        <w:t>Medium risk — needs monitoring</w:t>
      </w:r>
    </w:p>
    <w:p>
      <w:r>
        <w:t>Review support-ticket history, send a short satisfaction check, explain plan benefits, and monitor activity over the next few weeks.</w:t>
      </w:r>
    </w:p>
    <w:p>
      <w:pPr>
        <w:pStyle w:val="Heading2"/>
      </w:pPr>
      <w:r>
        <w:t>Low risk — stable / nurture</w:t>
      </w:r>
    </w:p>
    <w:p>
      <w:r>
        <w:t>Maintain good service, share useful feature tips, and consider a referral or loyalty message where appropriate.</w:t>
      </w:r>
    </w:p>
    <w:p>
      <w:pPr>
        <w:pStyle w:val="Heading1"/>
      </w:pPr>
      <w:r>
        <w:t>5. Validation and edge cases</w:t>
      </w:r>
    </w:p>
    <w:p>
      <w:r>
        <w:t>The notebook checks that every score stays between 0 and 100 and that each assigned risk band is one of High, Medium, or Low. For a production dataset, additionally validate missing tenure/ticket values, unexpected contract names, duplicate IDs, and inconsistent churn labels. Unknown categories should be flagged for review rather than silently interpreted as safe.</w:t>
      </w:r>
    </w:p>
    <w:p>
      <w:pPr>
        <w:pStyle w:val="Heading1"/>
      </w:pPr>
      <w:r>
        <w:t>6. Limitations</w:t>
      </w:r>
    </w:p>
    <w:p>
      <w:r>
        <w:t>This is a small 15-row sample, not enough to train or validate a dependable churn prediction model. The score is a transparent prioritisation rule and is not a probability of churn. Thresholds should be reviewed with business stakeholders and evaluated on a larger, time-separated dataset before operational use.</w:t>
      </w:r>
    </w:p>
    <w:p>
      <w:pPr>
        <w:pStyle w:val="Heading1"/>
      </w:pPr>
      <w:r>
        <w:t>7. Deliverables</w:t>
      </w:r>
    </w:p>
    <w:p>
      <w:r>
        <w:t>Task04_Customer_Segmentation.ipynb — reproducible analysis notebook.</w:t>
      </w:r>
    </w:p>
    <w:p>
      <w:r>
        <w:t>customer_segments.csv — customer-level score, risk band, segment, and reasons.</w:t>
      </w:r>
    </w:p>
    <w:p>
      <w:r>
        <w:t>segment_summary.csv — segment-level metrics.</w:t>
      </w:r>
    </w:p>
    <w:p>
      <w:r>
        <w:t>Recommendation memo —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