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Georgia" w:hAnsi="Georgia"/>
          <w:b/>
          <w:color w:val="145A64"/>
          <w:sz w:val="96"/>
        </w:rPr>
        <w:t>EIED</w:t>
      </w:r>
    </w:p>
    <w:p>
      <w:pPr>
        <w:spacing w:after="80"/>
        <w:jc w:val="center"/>
      </w:pPr>
      <w:r>
        <w:rPr>
          <w:rFonts w:ascii="Georgia" w:hAnsi="Georgia"/>
          <w:b/>
          <w:color w:val="20323D"/>
          <w:sz w:val="54"/>
        </w:rPr>
        <w:t>Evidence Integrity &amp; Eligibility Determination</w:t>
      </w:r>
    </w:p>
    <w:p>
      <w:pPr>
        <w:spacing w:after="400"/>
        <w:jc w:val="center"/>
      </w:pPr>
      <w:r>
        <w:rPr>
          <w:rFonts w:ascii="Georgia" w:hAnsi="Georgia"/>
          <w:color w:val="5A6C75"/>
          <w:sz w:val="32"/>
        </w:rPr>
        <w:t>Version 1.0 Portfolio Overview</w:t>
      </w:r>
    </w:p>
    <w:tbl>
      <w:tblPr>
        <w:tblW w:type="auto" w:w="0"/>
        <w:tblLook w:firstColumn="1" w:firstRow="1" w:lastColumn="0" w:lastRow="0" w:noHBand="0" w:noVBand="1" w:val="04A0"/>
      </w:tblPr>
      <w:tblGrid>
        <w:gridCol w:w="10224"/>
      </w:tblGrid>
      <w:tr>
        <w:tc>
          <w:tcPr>
            <w:tcW w:type="dxa" w:w="10224"/>
            <w:shd w:fill="145A64"/>
            <w:tcMar>
              <w:top w:w="90" w:type="dxa"/>
              <w:start w:w="120" w:type="dxa"/>
              <w:bottom w:w="90" w:type="dxa"/>
              <w:end w:w="120" w:type="dxa"/>
            </w:tcMar>
          </w:tcPr>
          <w:p>
            <w:pPr>
              <w:jc w:val="center"/>
            </w:pPr>
            <w:r>
              <w:rPr>
                <w:rFonts w:ascii="Arial" w:hAnsi="Arial"/>
                <w:b/>
                <w:color w:val="FFFFFF"/>
                <w:sz w:val="20"/>
              </w:rPr>
              <w:t>A Healthcare AI Benchmark Suite for Evidence Validation, Documentation Integrity, and Eligibility Reasoning</w:t>
            </w:r>
          </w:p>
        </w:tc>
      </w:tr>
    </w:tbl>
    <w:p>
      <w:pPr>
        <w:spacing w:after="280"/>
      </w:pPr>
    </w:p>
    <w:p>
      <w:pPr>
        <w:jc w:val="center"/>
      </w:pPr>
      <w:r>
        <w:rPr>
          <w:rFonts w:ascii="Georgia" w:hAnsi="Georgia"/>
          <w:b/>
          <w:color w:val="20323D"/>
          <w:sz w:val="36"/>
        </w:rPr>
        <w:t>Meredith Reese, RN</w:t>
      </w:r>
    </w:p>
    <w:p>
      <w:pPr>
        <w:jc w:val="center"/>
      </w:pPr>
      <w:r>
        <w:rPr>
          <w:color w:val="5A6C75"/>
          <w:sz w:val="20"/>
        </w:rPr>
        <w:t>Registered Nurse | Healthcare AI Evaluation &amp; Benchmark Design</w:t>
      </w:r>
    </w:p>
    <w:tbl>
      <w:tblPr>
        <w:tblW w:type="auto" w:w="0"/>
        <w:jc w:val="center"/>
        <w:tblLayout w:type="fixed"/>
        <w:tblLook w:firstColumn="1" w:firstRow="1" w:lastColumn="0" w:lastRow="0" w:noHBand="0" w:noVBand="1" w:val="04A0"/>
      </w:tblPr>
      <w:tblGrid>
        <w:gridCol w:w="10224"/>
      </w:tblGrid>
      <w:tr>
        <w:tc>
          <w:tcPr>
            <w:tcW w:type="dxa" w:w="10224"/>
            <w:shd w:fill="EAF4F5"/>
            <w:tcMar>
              <w:top w:w="180" w:type="dxa"/>
              <w:start w:w="220" w:type="dxa"/>
              <w:bottom w:w="180" w:type="dxa"/>
              <w:end w:w="220" w:type="dxa"/>
            </w:tcMar>
            <w:tcBorders>
              <w:top w:val="single" w:sz="8" w:color="145A64"/>
              <w:left w:val="single" w:sz="8" w:color="145A64"/>
              <w:bottom w:val="single" w:sz="8" w:color="145A64"/>
              <w:right w:val="single" w:sz="8" w:color="145A64"/>
            </w:tcBorders>
          </w:tcPr>
          <w:p>
            <w:pPr>
              <w:jc w:val="center"/>
            </w:pPr>
            <w:r>
              <w:rPr>
                <w:rFonts w:ascii="Georgia" w:hAnsi="Georgia"/>
                <w:b/>
                <w:i/>
                <w:color w:val="20323D"/>
                <w:sz w:val="28"/>
              </w:rPr>
              <w:t>Has the AI earned the right to reach this conclusion?</w:t>
            </w:r>
          </w:p>
        </w:tc>
      </w:tr>
    </w:tbl>
    <w:p>
      <w:pPr>
        <w:spacing w:after="0"/>
      </w:pPr>
    </w:p>
    <w:p>
      <w:pPr>
        <w:spacing w:before="400"/>
        <w:jc w:val="center"/>
      </w:pPr>
      <w:r>
        <w:rPr>
          <w:color w:val="5A6C75"/>
          <w:sz w:val="20"/>
        </w:rPr>
        <w:t>Final v1.0 Portfolio Release  |  July 2026</w:t>
      </w:r>
    </w:p>
    <w:p>
      <w:pPr>
        <w:jc w:val="center"/>
      </w:pPr>
      <w:hyperlink r:id="rId11">
        <w:r>
          <w:rPr>
            <w:color w:val="145A64"/>
          </w:rPr>
          <w:t>github.com/reesemeres-jpg</w:t>
        </w:r>
      </w:hyperlink>
    </w:p>
    <w:p>
      <w:r>
        <w:br w:type="page"/>
      </w:r>
    </w:p>
    <w:p>
      <w:pPr>
        <w:pStyle w:val="Heading1"/>
        <w:keepNext/>
      </w:pPr>
      <w:r>
        <w:t>Contents</w:t>
      </w:r>
    </w:p>
    <w:tbl>
      <w:tblPr>
        <w:tblW w:type="auto" w:w="0"/>
        <w:jc w:val="center"/>
        <w:tblLook w:firstColumn="1" w:firstRow="1" w:lastColumn="0" w:lastRow="0" w:noHBand="0" w:noVBand="1" w:val="04A0"/>
      </w:tblPr>
      <w:tblGrid>
        <w:gridCol w:w="10224"/>
      </w:tblGrid>
      <w:tr>
        <w:tc>
          <w:tcPr>
            <w:tcW w:type="dxa" w:w="10224"/>
            <w:shd w:fill="F1F3F4"/>
            <w:tcMar>
              <w:top w:w="45" w:type="dxa"/>
              <w:start w:w="100" w:type="dxa"/>
              <w:bottom w:w="45" w:type="dxa"/>
              <w:end w:w="100" w:type="dxa"/>
            </w:tcMar>
          </w:tcPr>
          <w:p>
            <w:r>
              <w:rPr>
                <w:rFonts w:ascii="Georgia" w:hAnsi="Georgia"/>
                <w:color w:val="20323D"/>
                <w:sz w:val="22"/>
              </w:rPr>
              <w:t>Executive Summary</w:t>
            </w:r>
          </w:p>
        </w:tc>
      </w:tr>
      <w:tr>
        <w:tc>
          <w:tcPr>
            <w:tcW w:type="dxa" w:w="10224"/>
            <w:shd w:fill="FFFFFF"/>
            <w:tcMar>
              <w:top w:w="45" w:type="dxa"/>
              <w:start w:w="100" w:type="dxa"/>
              <w:bottom w:w="45" w:type="dxa"/>
              <w:end w:w="100" w:type="dxa"/>
            </w:tcMar>
          </w:tcPr>
          <w:p>
            <w:r>
              <w:rPr>
                <w:rFonts w:ascii="Georgia" w:hAnsi="Georgia"/>
                <w:color w:val="20323D"/>
                <w:sz w:val="22"/>
              </w:rPr>
              <w:t>Suite at a Glance</w:t>
            </w:r>
          </w:p>
        </w:tc>
      </w:tr>
      <w:tr>
        <w:tc>
          <w:tcPr>
            <w:tcW w:type="dxa" w:w="10224"/>
            <w:shd w:fill="F1F3F4"/>
            <w:tcMar>
              <w:top w:w="45" w:type="dxa"/>
              <w:start w:w="100" w:type="dxa"/>
              <w:bottom w:w="45" w:type="dxa"/>
              <w:end w:w="100" w:type="dxa"/>
            </w:tcMar>
          </w:tcPr>
          <w:p>
            <w:r>
              <w:rPr>
                <w:rFonts w:ascii="Georgia" w:hAnsi="Georgia"/>
                <w:color w:val="20323D"/>
                <w:sz w:val="22"/>
              </w:rPr>
              <w:t>Core Philosophy</w:t>
            </w:r>
          </w:p>
        </w:tc>
      </w:tr>
      <w:tr>
        <w:tc>
          <w:tcPr>
            <w:tcW w:type="dxa" w:w="10224"/>
            <w:shd w:fill="FFFFFF"/>
            <w:tcMar>
              <w:top w:w="45" w:type="dxa"/>
              <w:start w:w="100" w:type="dxa"/>
              <w:bottom w:w="45" w:type="dxa"/>
              <w:end w:w="100" w:type="dxa"/>
            </w:tcMar>
          </w:tcPr>
          <w:p>
            <w:r>
              <w:rPr>
                <w:rFonts w:ascii="Georgia" w:hAnsi="Georgia"/>
                <w:color w:val="20323D"/>
                <w:sz w:val="22"/>
              </w:rPr>
              <w:t>Claim → Evidence → Confidence → Decision</w:t>
            </w:r>
          </w:p>
        </w:tc>
      </w:tr>
      <w:tr>
        <w:tc>
          <w:tcPr>
            <w:tcW w:type="dxa" w:w="10224"/>
            <w:shd w:fill="F1F3F4"/>
            <w:tcMar>
              <w:top w:w="45" w:type="dxa"/>
              <w:start w:w="100" w:type="dxa"/>
              <w:bottom w:w="45" w:type="dxa"/>
              <w:end w:w="100" w:type="dxa"/>
            </w:tcMar>
          </w:tcPr>
          <w:p>
            <w:r>
              <w:rPr>
                <w:rFonts w:ascii="Georgia" w:hAnsi="Georgia"/>
                <w:color w:val="20323D"/>
                <w:sz w:val="22"/>
              </w:rPr>
              <w:t>Evaluation Pillars</w:t>
            </w:r>
          </w:p>
        </w:tc>
      </w:tr>
      <w:tr>
        <w:tc>
          <w:tcPr>
            <w:tcW w:type="dxa" w:w="10224"/>
            <w:shd w:fill="FFFFFF"/>
            <w:tcMar>
              <w:top w:w="45" w:type="dxa"/>
              <w:start w:w="100" w:type="dxa"/>
              <w:bottom w:w="45" w:type="dxa"/>
              <w:end w:w="100" w:type="dxa"/>
            </w:tcMar>
          </w:tcPr>
          <w:p>
            <w:r>
              <w:rPr>
                <w:rFonts w:ascii="Georgia" w:hAnsi="Georgia"/>
                <w:color w:val="20323D"/>
                <w:sz w:val="22"/>
              </w:rPr>
              <w:t>Design Methodology</w:t>
            </w:r>
          </w:p>
        </w:tc>
      </w:tr>
      <w:tr>
        <w:tc>
          <w:tcPr>
            <w:tcW w:type="dxa" w:w="10224"/>
            <w:shd w:fill="F1F3F4"/>
            <w:tcMar>
              <w:top w:w="45" w:type="dxa"/>
              <w:start w:w="100" w:type="dxa"/>
              <w:bottom w:w="45" w:type="dxa"/>
              <w:end w:w="100" w:type="dxa"/>
            </w:tcMar>
          </w:tcPr>
          <w:p>
            <w:r>
              <w:rPr>
                <w:rFonts w:ascii="Georgia" w:hAnsi="Georgia"/>
                <w:color w:val="20323D"/>
                <w:sz w:val="22"/>
              </w:rPr>
              <w:t>Benchmark Index</w:t>
            </w:r>
          </w:p>
        </w:tc>
      </w:tr>
      <w:tr>
        <w:tc>
          <w:tcPr>
            <w:tcW w:type="dxa" w:w="10224"/>
            <w:shd w:fill="FFFFFF"/>
            <w:tcMar>
              <w:top w:w="45" w:type="dxa"/>
              <w:start w:w="100" w:type="dxa"/>
              <w:bottom w:w="45" w:type="dxa"/>
              <w:end w:w="100" w:type="dxa"/>
            </w:tcMar>
          </w:tcPr>
          <w:p>
            <w:r>
              <w:rPr>
                <w:rFonts w:ascii="Georgia" w:hAnsi="Georgia"/>
                <w:color w:val="20323D"/>
                <w:sz w:val="22"/>
              </w:rPr>
              <w:t>Benchmark Profiles 001–012</w:t>
            </w:r>
          </w:p>
        </w:tc>
      </w:tr>
      <w:tr>
        <w:tc>
          <w:tcPr>
            <w:tcW w:type="dxa" w:w="10224"/>
            <w:shd w:fill="F1F3F4"/>
            <w:tcMar>
              <w:top w:w="45" w:type="dxa"/>
              <w:start w:w="100" w:type="dxa"/>
              <w:bottom w:w="45" w:type="dxa"/>
              <w:end w:w="100" w:type="dxa"/>
            </w:tcMar>
          </w:tcPr>
          <w:p>
            <w:r>
              <w:rPr>
                <w:rFonts w:ascii="Georgia" w:hAnsi="Georgia"/>
                <w:color w:val="20323D"/>
                <w:sz w:val="22"/>
              </w:rPr>
              <w:t>Cross-Benchmark Failure Taxonomy</w:t>
            </w:r>
          </w:p>
        </w:tc>
      </w:tr>
      <w:tr>
        <w:tc>
          <w:tcPr>
            <w:tcW w:type="dxa" w:w="10224"/>
            <w:shd w:fill="FFFFFF"/>
            <w:tcMar>
              <w:top w:w="45" w:type="dxa"/>
              <w:start w:w="100" w:type="dxa"/>
              <w:bottom w:w="45" w:type="dxa"/>
              <w:end w:w="100" w:type="dxa"/>
            </w:tcMar>
          </w:tcPr>
          <w:p>
            <w:r>
              <w:rPr>
                <w:rFonts w:ascii="Georgia" w:hAnsi="Georgia"/>
                <w:color w:val="20323D"/>
                <w:sz w:val="22"/>
              </w:rPr>
              <w:t>Skills Demonstrated</w:t>
            </w:r>
          </w:p>
        </w:tc>
      </w:tr>
      <w:tr>
        <w:tc>
          <w:tcPr>
            <w:tcW w:type="dxa" w:w="10224"/>
            <w:shd w:fill="F1F3F4"/>
            <w:tcMar>
              <w:top w:w="45" w:type="dxa"/>
              <w:start w:w="100" w:type="dxa"/>
              <w:bottom w:w="45" w:type="dxa"/>
              <w:end w:w="100" w:type="dxa"/>
            </w:tcMar>
          </w:tcPr>
          <w:p>
            <w:r>
              <w:rPr>
                <w:rFonts w:ascii="Georgia" w:hAnsi="Georgia"/>
                <w:color w:val="20323D"/>
                <w:sz w:val="22"/>
              </w:rPr>
              <w:t>Relationship to HORB and UCM</w:t>
            </w:r>
          </w:p>
        </w:tc>
      </w:tr>
      <w:tr>
        <w:tc>
          <w:tcPr>
            <w:tcW w:type="dxa" w:w="10224"/>
            <w:shd w:fill="FFFFFF"/>
            <w:tcMar>
              <w:top w:w="45" w:type="dxa"/>
              <w:start w:w="100" w:type="dxa"/>
              <w:bottom w:w="45" w:type="dxa"/>
              <w:end w:w="100" w:type="dxa"/>
            </w:tcMar>
          </w:tcPr>
          <w:p>
            <w:r>
              <w:rPr>
                <w:rFonts w:ascii="Georgia" w:hAnsi="Georgia"/>
                <w:color w:val="20323D"/>
                <w:sz w:val="22"/>
              </w:rPr>
              <w:t>Scope and Limitations</w:t>
            </w:r>
          </w:p>
        </w:tc>
      </w:tr>
      <w:tr>
        <w:tc>
          <w:tcPr>
            <w:tcW w:type="dxa" w:w="10224"/>
            <w:shd w:fill="F1F3F4"/>
            <w:tcMar>
              <w:top w:w="45" w:type="dxa"/>
              <w:start w:w="100" w:type="dxa"/>
              <w:bottom w:w="45" w:type="dxa"/>
              <w:end w:w="100" w:type="dxa"/>
            </w:tcMar>
          </w:tcPr>
          <w:p>
            <w:r>
              <w:rPr>
                <w:rFonts w:ascii="Georgia" w:hAnsi="Georgia"/>
                <w:color w:val="20323D"/>
                <w:sz w:val="22"/>
              </w:rPr>
              <w:t>About the Author</w:t>
            </w:r>
          </w:p>
        </w:tc>
      </w:tr>
      <w:tr>
        <w:tc>
          <w:tcPr>
            <w:tcW w:type="dxa" w:w="10224"/>
            <w:shd w:fill="FFFFFF"/>
            <w:tcMar>
              <w:top w:w="45" w:type="dxa"/>
              <w:start w:w="100" w:type="dxa"/>
              <w:bottom w:w="45" w:type="dxa"/>
              <w:end w:w="100" w:type="dxa"/>
            </w:tcMar>
          </w:tcPr>
          <w:p>
            <w:r>
              <w:rPr>
                <w:rFonts w:ascii="Georgia" w:hAnsi="Georgia"/>
                <w:color w:val="20323D"/>
                <w:sz w:val="22"/>
              </w:rPr>
              <w:t>Version Information</w:t>
            </w:r>
          </w:p>
        </w:tc>
      </w:tr>
    </w:tbl>
    <w:p>
      <w:r>
        <w:br w:type="page"/>
      </w:r>
    </w:p>
    <w:p>
      <w:pPr>
        <w:pStyle w:val="Heading1"/>
        <w:keepNext/>
      </w:pPr>
      <w:r>
        <w:t>Executive Summary</w:t>
      </w:r>
    </w:p>
    <w:p>
      <w:r>
        <w:t>Evidence Integrity &amp; Eligibility Determination (EIED) is an independent healthcare AI benchmark suite designed to test whether available evidence actually supports a requested conclusion or decision. It focuses on a failure mode that is easy to miss: an AI response may sound clinically plausible, polished, and decisive while relying on stale, incomplete, contradictory, wrong-patient, or non-authoritative information.</w:t>
      </w:r>
    </w:p>
    <w:p>
      <w:r>
        <w:t>EIED does not reward models for agreeing with a dashboard, trusting a signature, or escalating every ambiguous case. It requires the model to identify the claim, reconcile the full source record, judge the strength of the evidence, calibrate confidence, and choose only the decision the evidence earns.</w:t>
      </w:r>
    </w:p>
    <w:tbl>
      <w:tblPr>
        <w:tblW w:type="auto" w:w="0"/>
        <w:jc w:val="center"/>
        <w:tblLayout w:type="fixed"/>
        <w:tblLook w:firstColumn="1" w:firstRow="1" w:lastColumn="0" w:lastRow="0" w:noHBand="0" w:noVBand="1" w:val="04A0"/>
      </w:tblPr>
      <w:tblGrid>
        <w:gridCol w:w="10224"/>
      </w:tblGrid>
      <w:tr>
        <w:tc>
          <w:tcPr>
            <w:tcW w:type="dxa" w:w="10224"/>
            <w:shd w:fill="F5F1E8"/>
            <w:tcMar>
              <w:top w:w="180" w:type="dxa"/>
              <w:start w:w="220" w:type="dxa"/>
              <w:bottom w:w="180" w:type="dxa"/>
              <w:end w:w="220" w:type="dxa"/>
            </w:tcMar>
            <w:tcBorders>
              <w:top w:val="single" w:sz="8" w:color="C7903E"/>
              <w:left w:val="single" w:sz="8" w:color="C7903E"/>
              <w:bottom w:val="single" w:sz="8" w:color="C7903E"/>
              <w:right w:val="single" w:sz="8" w:color="C7903E"/>
            </w:tcBorders>
          </w:tcPr>
          <w:p>
            <w:pPr>
              <w:jc w:val="center"/>
            </w:pPr>
            <w:r>
              <w:rPr>
                <w:rFonts w:ascii="Georgia" w:hAnsi="Georgia"/>
                <w:b/>
                <w:i/>
                <w:color w:val="20323D"/>
                <w:sz w:val="30"/>
              </w:rPr>
              <w:t>Labels are claims—not evidence.</w:t>
            </w:r>
          </w:p>
        </w:tc>
      </w:tr>
    </w:tbl>
    <w:p>
      <w:pPr>
        <w:spacing w:after="0"/>
      </w:pPr>
    </w:p>
    <w:p>
      <w:r>
        <w:t>Version 1.0 contains twelve complete, multi-document benchmarks spanning discharge closure, prior authorization, clinical trial screening, population health registries, post-acute and procedural medical necessity, quality-measure validation, medication safety, case closure, clinical coding, longitudinal evidence reconciliation, and clinical guideline applicability. Each benchmark includes 30 fictional source documents, strict grading criteria, and design notes that document the intended failure modes and tempting shortcuts.</w:t>
      </w:r>
    </w:p>
    <w:p>
      <w:r>
        <w:t>The suite is deliberately balanced. Some cases appear complete but are unsupported; others appear held or incomplete but are resolved by later authoritative evidence. This design punishes both “approve everything” and “escalate everything.”</w:t>
      </w:r>
    </w:p>
    <w:p>
      <w:pPr>
        <w:pStyle w:val="Heading1"/>
        <w:keepNext/>
      </w:pPr>
      <w:r>
        <w:t>Suite at a Glance</w:t>
      </w:r>
    </w:p>
    <w:tbl>
      <w:tblPr>
        <w:tblW w:type="auto" w:w="0"/>
        <w:jc w:val="center"/>
        <w:tblLayout w:type="fixed"/>
        <w:tblLook w:firstColumn="1" w:firstRow="1" w:lastColumn="0" w:lastRow="0" w:noHBand="0" w:noVBand="1" w:val="04A0"/>
      </w:tblPr>
      <w:tblGrid>
        <w:gridCol w:w="3408"/>
        <w:gridCol w:w="3408"/>
        <w:gridCol w:w="3408"/>
      </w:tblGrid>
      <w:tr>
        <w:tc>
          <w:tcPr>
            <w:tcW w:type="dxa" w:w="3240"/>
            <w:tcMar>
              <w:top w:w="120" w:type="dxa"/>
              <w:start w:w="100" w:type="dxa"/>
              <w:bottom w:w="120" w:type="dxa"/>
              <w:end w:w="100" w:type="dxa"/>
            </w:tcMar>
            <w:tcBorders>
              <w:top w:val="single" w:sz="4" w:color="D5E4E6"/>
              <w:left w:val="single" w:sz="4" w:color="D5E4E6"/>
              <w:bottom w:val="single" w:sz="4" w:color="D5E4E6"/>
              <w:right w:val="single" w:sz="4" w:color="D5E4E6"/>
            </w:tcBorders>
            <w:shd w:fill="EAF4F5"/>
            <w:vAlign w:val="center"/>
          </w:tcPr>
          <w:p>
            <w:pPr>
              <w:jc w:val="center"/>
            </w:pPr>
            <w:r>
              <w:rPr>
                <w:rFonts w:ascii="Georgia" w:hAnsi="Georgia"/>
                <w:b/>
                <w:color w:val="145A64"/>
                <w:sz w:val="44"/>
              </w:rPr>
              <w:t>12</w:t>
            </w:r>
          </w:p>
          <w:p>
            <w:pPr>
              <w:jc w:val="center"/>
            </w:pPr>
            <w:r>
              <w:rPr>
                <w:rFonts w:ascii="Arial" w:hAnsi="Arial"/>
                <w:b/>
                <w:color w:val="5A6C75"/>
                <w:sz w:val="17"/>
              </w:rPr>
              <w:t>original benchmarks</w:t>
            </w:r>
          </w:p>
        </w:tc>
        <w:tc>
          <w:tcPr>
            <w:tcW w:type="dxa" w:w="3240"/>
            <w:tcMar>
              <w:top w:w="120" w:type="dxa"/>
              <w:start w:w="100" w:type="dxa"/>
              <w:bottom w:w="120" w:type="dxa"/>
              <w:end w:w="100" w:type="dxa"/>
            </w:tcMar>
            <w:tcBorders>
              <w:top w:val="single" w:sz="4" w:color="D5E4E6"/>
              <w:left w:val="single" w:sz="4" w:color="D5E4E6"/>
              <w:bottom w:val="single" w:sz="4" w:color="D5E4E6"/>
              <w:right w:val="single" w:sz="4" w:color="D5E4E6"/>
            </w:tcBorders>
            <w:shd w:fill="F7F9F9"/>
            <w:vAlign w:val="center"/>
          </w:tcPr>
          <w:p>
            <w:pPr>
              <w:jc w:val="center"/>
            </w:pPr>
            <w:r>
              <w:rPr>
                <w:rFonts w:ascii="Georgia" w:hAnsi="Georgia"/>
                <w:b/>
                <w:color w:val="145A64"/>
                <w:sz w:val="44"/>
              </w:rPr>
              <w:t>360</w:t>
            </w:r>
          </w:p>
          <w:p>
            <w:pPr>
              <w:jc w:val="center"/>
            </w:pPr>
            <w:r>
              <w:rPr>
                <w:rFonts w:ascii="Arial" w:hAnsi="Arial"/>
                <w:b/>
                <w:color w:val="5A6C75"/>
                <w:sz w:val="17"/>
              </w:rPr>
              <w:t>fictional source documents</w:t>
            </w:r>
          </w:p>
        </w:tc>
        <w:tc>
          <w:tcPr>
            <w:tcW w:type="dxa" w:w="3240"/>
            <w:tcMar>
              <w:top w:w="120" w:type="dxa"/>
              <w:start w:w="100" w:type="dxa"/>
              <w:bottom w:w="120" w:type="dxa"/>
              <w:end w:w="100" w:type="dxa"/>
            </w:tcMar>
            <w:tcBorders>
              <w:top w:val="single" w:sz="4" w:color="D5E4E6"/>
              <w:left w:val="single" w:sz="4" w:color="D5E4E6"/>
              <w:bottom w:val="single" w:sz="4" w:color="D5E4E6"/>
              <w:right w:val="single" w:sz="4" w:color="D5E4E6"/>
            </w:tcBorders>
            <w:shd w:fill="EAF4F5"/>
            <w:vAlign w:val="center"/>
          </w:tcPr>
          <w:p>
            <w:pPr>
              <w:jc w:val="center"/>
            </w:pPr>
            <w:r>
              <w:rPr>
                <w:rFonts w:ascii="Georgia" w:hAnsi="Georgia"/>
                <w:b/>
                <w:color w:val="145A64"/>
                <w:sz w:val="44"/>
              </w:rPr>
              <w:t>48</w:t>
            </w:r>
          </w:p>
          <w:p>
            <w:pPr>
              <w:jc w:val="center"/>
            </w:pPr>
            <w:r>
              <w:rPr>
                <w:rFonts w:ascii="Arial" w:hAnsi="Arial"/>
                <w:b/>
                <w:color w:val="5A6C75"/>
                <w:sz w:val="17"/>
              </w:rPr>
              <w:t>batch archives</w:t>
            </w:r>
          </w:p>
        </w:tc>
      </w:tr>
      <w:tr>
        <w:tc>
          <w:tcPr>
            <w:tcW w:type="dxa" w:w="3240"/>
            <w:tcMar>
              <w:top w:w="120" w:type="dxa"/>
              <w:start w:w="100" w:type="dxa"/>
              <w:bottom w:w="120" w:type="dxa"/>
              <w:end w:w="100" w:type="dxa"/>
            </w:tcMar>
            <w:tcBorders>
              <w:top w:val="single" w:sz="4" w:color="D5E4E6"/>
              <w:left w:val="single" w:sz="4" w:color="D5E4E6"/>
              <w:bottom w:val="single" w:sz="4" w:color="D5E4E6"/>
              <w:right w:val="single" w:sz="4" w:color="D5E4E6"/>
            </w:tcBorders>
            <w:shd w:fill="F7F9F9"/>
            <w:vAlign w:val="center"/>
          </w:tcPr>
          <w:p>
            <w:pPr>
              <w:jc w:val="center"/>
            </w:pPr>
            <w:r>
              <w:rPr>
                <w:rFonts w:ascii="Georgia" w:hAnsi="Georgia"/>
                <w:b/>
                <w:color w:val="145A64"/>
                <w:sz w:val="44"/>
              </w:rPr>
              <w:t>12</w:t>
            </w:r>
          </w:p>
          <w:p>
            <w:pPr>
              <w:jc w:val="center"/>
            </w:pPr>
            <w:r>
              <w:rPr>
                <w:rFonts w:ascii="Arial" w:hAnsi="Arial"/>
                <w:b/>
                <w:color w:val="5A6C75"/>
                <w:sz w:val="17"/>
              </w:rPr>
              <w:t>strict grading rubrics</w:t>
            </w:r>
          </w:p>
        </w:tc>
        <w:tc>
          <w:tcPr>
            <w:tcW w:type="dxa" w:w="3240"/>
            <w:tcMar>
              <w:top w:w="120" w:type="dxa"/>
              <w:start w:w="100" w:type="dxa"/>
              <w:bottom w:w="120" w:type="dxa"/>
              <w:end w:w="100" w:type="dxa"/>
            </w:tcMar>
            <w:tcBorders>
              <w:top w:val="single" w:sz="4" w:color="D5E4E6"/>
              <w:left w:val="single" w:sz="4" w:color="D5E4E6"/>
              <w:bottom w:val="single" w:sz="4" w:color="D5E4E6"/>
              <w:right w:val="single" w:sz="4" w:color="D5E4E6"/>
            </w:tcBorders>
            <w:shd w:fill="EAF4F5"/>
            <w:vAlign w:val="center"/>
          </w:tcPr>
          <w:p>
            <w:pPr>
              <w:jc w:val="center"/>
            </w:pPr>
            <w:r>
              <w:rPr>
                <w:rFonts w:ascii="Georgia" w:hAnsi="Georgia"/>
                <w:b/>
                <w:color w:val="145A64"/>
                <w:sz w:val="44"/>
              </w:rPr>
              <w:t>12</w:t>
            </w:r>
          </w:p>
          <w:p>
            <w:pPr>
              <w:jc w:val="center"/>
            </w:pPr>
            <w:r>
              <w:rPr>
                <w:rFonts w:ascii="Arial" w:hAnsi="Arial"/>
                <w:b/>
                <w:color w:val="5A6C75"/>
                <w:sz w:val="17"/>
              </w:rPr>
              <w:t>design notes</w:t>
            </w:r>
          </w:p>
        </w:tc>
        <w:tc>
          <w:tcPr>
            <w:tcW w:type="dxa" w:w="3240"/>
            <w:tcMar>
              <w:top w:w="120" w:type="dxa"/>
              <w:start w:w="100" w:type="dxa"/>
              <w:bottom w:w="120" w:type="dxa"/>
              <w:end w:w="100" w:type="dxa"/>
            </w:tcMar>
            <w:tcBorders>
              <w:top w:val="single" w:sz="4" w:color="D5E4E6"/>
              <w:left w:val="single" w:sz="4" w:color="D5E4E6"/>
              <w:bottom w:val="single" w:sz="4" w:color="D5E4E6"/>
              <w:right w:val="single" w:sz="4" w:color="D5E4E6"/>
            </w:tcBorders>
            <w:shd w:fill="F7F9F9"/>
            <w:vAlign w:val="center"/>
          </w:tcPr>
          <w:p>
            <w:pPr>
              <w:jc w:val="center"/>
            </w:pPr>
            <w:r>
              <w:rPr>
                <w:rFonts w:ascii="Georgia" w:hAnsi="Georgia"/>
                <w:b/>
                <w:color w:val="145A64"/>
                <w:sz w:val="44"/>
              </w:rPr>
              <w:t>1</w:t>
            </w:r>
          </w:p>
          <w:p>
            <w:pPr>
              <w:jc w:val="center"/>
            </w:pPr>
            <w:r>
              <w:rPr>
                <w:rFonts w:ascii="Arial" w:hAnsi="Arial"/>
                <w:b/>
                <w:color w:val="5A6C75"/>
                <w:sz w:val="17"/>
              </w:rPr>
              <w:t>shared reasoning framework</w:t>
            </w:r>
          </w:p>
        </w:tc>
      </w:tr>
    </w:tbl>
    <w:p>
      <w:pPr>
        <w:spacing w:after="60"/>
      </w:pPr>
      <w:r>
        <w:rPr>
          <w:b/>
          <w:color w:val="145A64"/>
          <w:sz w:val="17"/>
        </w:rPr>
        <w:t xml:space="preserve">CORE QUESTION  </w:t>
      </w:r>
      <w:r>
        <w:rPr>
          <w:color w:val="1F2933"/>
          <w:sz w:val="20"/>
        </w:rPr>
        <w:t>Has the AI earned the right to reach this conclusion?</w:t>
      </w:r>
    </w:p>
    <w:p>
      <w:pPr>
        <w:spacing w:after="60"/>
      </w:pPr>
      <w:r>
        <w:rPr>
          <w:b/>
          <w:color w:val="145A64"/>
          <w:sz w:val="17"/>
        </w:rPr>
        <w:t xml:space="preserve">REASONING IDENTITY  </w:t>
      </w:r>
      <w:r>
        <w:rPr>
          <w:color w:val="1F2933"/>
          <w:sz w:val="20"/>
        </w:rPr>
        <w:t>Claim → Evidence → Confidence → Decision</w:t>
      </w:r>
    </w:p>
    <w:p>
      <w:pPr>
        <w:spacing w:after="60"/>
      </w:pPr>
      <w:r>
        <w:rPr>
          <w:b/>
          <w:color w:val="145A64"/>
          <w:sz w:val="17"/>
        </w:rPr>
        <w:t xml:space="preserve">SIGNATURE PRINCIPLE  </w:t>
      </w:r>
      <w:r>
        <w:rPr>
          <w:color w:val="1F2933"/>
          <w:sz w:val="20"/>
        </w:rPr>
        <w:t>Labels are claims—not evidence.</w:t>
      </w:r>
    </w:p>
    <w:p>
      <w:pPr>
        <w:spacing w:after="60"/>
      </w:pPr>
      <w:r>
        <w:rPr>
          <w:b/>
          <w:color w:val="145A64"/>
          <w:sz w:val="17"/>
        </w:rPr>
        <w:t xml:space="preserve">PRIMARY VALUE  </w:t>
      </w:r>
      <w:r>
        <w:rPr>
          <w:color w:val="1F2933"/>
          <w:sz w:val="20"/>
        </w:rPr>
        <w:t>Tests evidence-supported decisions, not factual recall alone.</w:t>
      </w:r>
    </w:p>
    <w:p>
      <w:r>
        <w:br w:type="page"/>
      </w:r>
    </w:p>
    <w:p>
      <w:pPr>
        <w:pStyle w:val="Heading1"/>
        <w:keepNext/>
      </w:pPr>
      <w:r>
        <w:t>Core Philosophy</w:t>
      </w:r>
    </w:p>
    <w:p>
      <w:pPr>
        <w:spacing w:after="160"/>
      </w:pPr>
      <w:r>
        <w:rPr>
          <w:i/>
          <w:color w:val="5A6C75"/>
          <w:sz w:val="21"/>
        </w:rPr>
        <w:t>Trust must be earned from the evidence—not inferred from labels, signatures, dashboards, or assumptions.</w:t>
      </w:r>
    </w:p>
    <w:p>
      <w:pPr>
        <w:pStyle w:val="ListBullet"/>
        <w:spacing w:after="60"/>
        <w:ind w:left="288" w:hanging="216"/>
      </w:pPr>
      <w:r>
        <w:t>A signed document may still be internally inconsistent or contradicted by later evidence.</w:t>
      </w:r>
    </w:p>
    <w:p>
      <w:pPr>
        <w:pStyle w:val="ListBullet"/>
        <w:spacing w:after="60"/>
        <w:ind w:left="288" w:hanging="216"/>
      </w:pPr>
      <w:r>
        <w:t>An attached file may be irrelevant, wrong-patient, wrong-date, wrong-body-region, or outside the required window.</w:t>
      </w:r>
    </w:p>
    <w:p>
      <w:pPr>
        <w:pStyle w:val="ListBullet"/>
        <w:spacing w:after="60"/>
        <w:ind w:left="288" w:hanging="216"/>
      </w:pPr>
      <w:r>
        <w:t>An order, referral, or outreach attempt is not the same as completed action.</w:t>
      </w:r>
    </w:p>
    <w:p>
      <w:pPr>
        <w:pStyle w:val="ListBullet"/>
        <w:spacing w:after="60"/>
        <w:ind w:left="288" w:hanging="216"/>
      </w:pPr>
      <w:r>
        <w:t>A green or ready status is an assertion that must be validated.</w:t>
      </w:r>
    </w:p>
    <w:p>
      <w:pPr>
        <w:pStyle w:val="ListBullet"/>
        <w:spacing w:after="60"/>
        <w:ind w:left="288" w:hanging="216"/>
      </w:pPr>
      <w:r>
        <w:t>A hold is also an assertion and may be stale or resolved.</w:t>
      </w:r>
    </w:p>
    <w:p>
      <w:pPr>
        <w:pStyle w:val="ListBullet"/>
        <w:spacing w:after="60"/>
        <w:ind w:left="288" w:hanging="216"/>
      </w:pPr>
      <w:r>
        <w:t>Confidence should reflect the complete evidence set, including what remains unknown.</w:t>
      </w:r>
    </w:p>
    <w:tbl>
      <w:tblPr>
        <w:tblW w:type="auto" w:w="0"/>
        <w:jc w:val="center"/>
        <w:tblLayout w:type="fixed"/>
        <w:tblLook w:firstColumn="1" w:firstRow="1" w:lastColumn="0" w:lastRow="0" w:noHBand="0" w:noVBand="1" w:val="04A0"/>
      </w:tblPr>
      <w:tblGrid>
        <w:gridCol w:w="10224"/>
      </w:tblGrid>
      <w:tr>
        <w:tc>
          <w:tcPr>
            <w:tcW w:type="dxa" w:w="10224"/>
            <w:shd w:fill="EAF4F5"/>
            <w:tcMar>
              <w:top w:w="180" w:type="dxa"/>
              <w:start w:w="220" w:type="dxa"/>
              <w:bottom w:w="180" w:type="dxa"/>
              <w:end w:w="220" w:type="dxa"/>
            </w:tcMar>
            <w:tcBorders>
              <w:top w:val="single" w:sz="8" w:color="145A64"/>
              <w:left w:val="single" w:sz="8" w:color="145A64"/>
              <w:bottom w:val="single" w:sz="8" w:color="145A64"/>
              <w:right w:val="single" w:sz="8" w:color="145A64"/>
            </w:tcBorders>
          </w:tcPr>
          <w:p>
            <w:pPr>
              <w:jc w:val="center"/>
            </w:pPr>
            <w:r>
              <w:rPr>
                <w:rFonts w:ascii="Georgia" w:hAnsi="Georgia"/>
                <w:b w:val="0"/>
                <w:i/>
                <w:color w:val="20323D"/>
                <w:sz w:val="26"/>
              </w:rPr>
              <w:t>A conclusion should only be reached when the available evidence has earned it.</w:t>
            </w:r>
          </w:p>
        </w:tc>
      </w:tr>
    </w:tbl>
    <w:p>
      <w:pPr>
        <w:spacing w:after="0"/>
      </w:pPr>
    </w:p>
    <w:p>
      <w:pPr>
        <w:pStyle w:val="Heading1"/>
        <w:keepNext/>
      </w:pPr>
      <w:r>
        <w:t>Claim → Evidence → Confidence → Decision</w:t>
      </w:r>
    </w:p>
    <w:tbl>
      <w:tblPr>
        <w:tblW w:type="auto" w:w="0"/>
        <w:jc w:val="center"/>
        <w:tblLayout w:type="fixed"/>
        <w:tblLook w:firstColumn="1" w:firstRow="1" w:lastColumn="0" w:lastRow="0" w:noHBand="0" w:noVBand="1" w:val="04A0"/>
      </w:tblPr>
      <w:tblGrid>
        <w:gridCol w:w="5112"/>
        <w:gridCol w:w="5112"/>
      </w:tblGrid>
      <w:tr>
        <w:tc>
          <w:tcPr>
            <w:tcW w:type="dxa" w:w="1944"/>
            <w:shd w:fill="145A64"/>
            <w:tcMar>
              <w:top w:w="120" w:type="dxa"/>
              <w:start w:w="150" w:type="dxa"/>
              <w:bottom w:w="120" w:type="dxa"/>
              <w:end w:w="150" w:type="dxa"/>
            </w:tcMar>
            <w:tcBorders>
              <w:top w:val="single" w:sz="4" w:color="D5E4E6"/>
              <w:left w:val="single" w:sz="4" w:color="D5E4E6"/>
              <w:bottom w:val="single" w:sz="4" w:color="D5E4E6"/>
              <w:right w:val="single" w:sz="4" w:color="D5E4E6"/>
            </w:tcBorders>
          </w:tcPr>
          <w:p>
            <w:pPr>
              <w:jc w:val="center"/>
            </w:pPr>
            <w:r>
              <w:rPr>
                <w:b/>
                <w:color w:val="FFFFFF"/>
                <w:sz w:val="20"/>
              </w:rPr>
              <w:t>CLAIM</w:t>
            </w:r>
          </w:p>
        </w:tc>
        <w:tc>
          <w:tcPr>
            <w:tcW w:type="dxa" w:w="7920"/>
            <w:shd w:fill="EAF4F5"/>
            <w:tcMar>
              <w:top w:w="120" w:type="dxa"/>
              <w:start w:w="150" w:type="dxa"/>
              <w:bottom w:w="120" w:type="dxa"/>
              <w:end w:w="150" w:type="dxa"/>
            </w:tcMar>
            <w:tcBorders>
              <w:top w:val="single" w:sz="4" w:color="D5E4E6"/>
              <w:left w:val="single" w:sz="4" w:color="D5E4E6"/>
              <w:bottom w:val="single" w:sz="4" w:color="D5E4E6"/>
              <w:right w:val="single" w:sz="4" w:color="D5E4E6"/>
            </w:tcBorders>
          </w:tcPr>
          <w:p>
            <w:r>
              <w:rPr>
                <w:sz w:val="20"/>
              </w:rPr>
              <w:t>What status, conclusion, eligibility determination, or action is being asserted?</w:t>
            </w:r>
          </w:p>
        </w:tc>
      </w:tr>
      <w:tr>
        <w:tc>
          <w:tcPr>
            <w:tcW w:type="dxa" w:w="1944"/>
            <w:shd w:fill="145A64"/>
            <w:tcMar>
              <w:top w:w="120" w:type="dxa"/>
              <w:start w:w="150" w:type="dxa"/>
              <w:bottom w:w="120" w:type="dxa"/>
              <w:end w:w="150" w:type="dxa"/>
            </w:tcMar>
            <w:tcBorders>
              <w:top w:val="single" w:sz="4" w:color="D5E4E6"/>
              <w:left w:val="single" w:sz="4" w:color="D5E4E6"/>
              <w:bottom w:val="single" w:sz="4" w:color="D5E4E6"/>
              <w:right w:val="single" w:sz="4" w:color="D5E4E6"/>
            </w:tcBorders>
          </w:tcPr>
          <w:p>
            <w:pPr>
              <w:jc w:val="center"/>
            </w:pPr>
            <w:r>
              <w:rPr>
                <w:b/>
                <w:color w:val="FFFFFF"/>
                <w:sz w:val="20"/>
              </w:rPr>
              <w:t>EVIDENCE</w:t>
            </w:r>
          </w:p>
        </w:tc>
        <w:tc>
          <w:tcPr>
            <w:tcW w:type="dxa" w:w="7920"/>
            <w:shd w:fill="F7F9F9"/>
            <w:tcMar>
              <w:top w:w="120" w:type="dxa"/>
              <w:start w:w="150" w:type="dxa"/>
              <w:bottom w:w="120" w:type="dxa"/>
              <w:end w:w="150" w:type="dxa"/>
            </w:tcMar>
            <w:tcBorders>
              <w:top w:val="single" w:sz="4" w:color="D5E4E6"/>
              <w:left w:val="single" w:sz="4" w:color="D5E4E6"/>
              <w:bottom w:val="single" w:sz="4" w:color="D5E4E6"/>
              <w:right w:val="single" w:sz="4" w:color="D5E4E6"/>
            </w:tcBorders>
          </w:tcPr>
          <w:p>
            <w:r>
              <w:rPr>
                <w:sz w:val="20"/>
              </w:rPr>
              <w:t>What current, patient-specific, internally consistent, and authoritative information supports or contradicts the claim?</w:t>
            </w:r>
          </w:p>
        </w:tc>
      </w:tr>
      <w:tr>
        <w:tc>
          <w:tcPr>
            <w:tcW w:type="dxa" w:w="1944"/>
            <w:shd w:fill="145A64"/>
            <w:tcMar>
              <w:top w:w="120" w:type="dxa"/>
              <w:start w:w="150" w:type="dxa"/>
              <w:bottom w:w="120" w:type="dxa"/>
              <w:end w:w="150" w:type="dxa"/>
            </w:tcMar>
            <w:tcBorders>
              <w:top w:val="single" w:sz="4" w:color="D5E4E6"/>
              <w:left w:val="single" w:sz="4" w:color="D5E4E6"/>
              <w:bottom w:val="single" w:sz="4" w:color="D5E4E6"/>
              <w:right w:val="single" w:sz="4" w:color="D5E4E6"/>
            </w:tcBorders>
          </w:tcPr>
          <w:p>
            <w:pPr>
              <w:jc w:val="center"/>
            </w:pPr>
            <w:r>
              <w:rPr>
                <w:b/>
                <w:color w:val="FFFFFF"/>
                <w:sz w:val="20"/>
              </w:rPr>
              <w:t>CONFIDENCE</w:t>
            </w:r>
          </w:p>
        </w:tc>
        <w:tc>
          <w:tcPr>
            <w:tcW w:type="dxa" w:w="7920"/>
            <w:shd w:fill="EAF4F5"/>
            <w:tcMar>
              <w:top w:w="120" w:type="dxa"/>
              <w:start w:w="150" w:type="dxa"/>
              <w:bottom w:w="120" w:type="dxa"/>
              <w:end w:w="150" w:type="dxa"/>
            </w:tcMar>
            <w:tcBorders>
              <w:top w:val="single" w:sz="4" w:color="D5E4E6"/>
              <w:left w:val="single" w:sz="4" w:color="D5E4E6"/>
              <w:bottom w:val="single" w:sz="4" w:color="D5E4E6"/>
              <w:right w:val="single" w:sz="4" w:color="D5E4E6"/>
            </w:tcBorders>
          </w:tcPr>
          <w:p>
            <w:r>
              <w:rPr>
                <w:sz w:val="20"/>
              </w:rPr>
              <w:t>How strongly does the complete evidence set support the conclusion, and what remains unresolved?</w:t>
            </w:r>
          </w:p>
        </w:tc>
      </w:tr>
      <w:tr>
        <w:tc>
          <w:tcPr>
            <w:tcW w:type="dxa" w:w="1944"/>
            <w:shd w:fill="145A64"/>
            <w:tcMar>
              <w:top w:w="120" w:type="dxa"/>
              <w:start w:w="150" w:type="dxa"/>
              <w:bottom w:w="120" w:type="dxa"/>
              <w:end w:w="150" w:type="dxa"/>
            </w:tcMar>
            <w:tcBorders>
              <w:top w:val="single" w:sz="4" w:color="D5E4E6"/>
              <w:left w:val="single" w:sz="4" w:color="D5E4E6"/>
              <w:bottom w:val="single" w:sz="4" w:color="D5E4E6"/>
              <w:right w:val="single" w:sz="4" w:color="D5E4E6"/>
            </w:tcBorders>
          </w:tcPr>
          <w:p>
            <w:pPr>
              <w:jc w:val="center"/>
            </w:pPr>
            <w:r>
              <w:rPr>
                <w:b/>
                <w:color w:val="FFFFFF"/>
                <w:sz w:val="20"/>
              </w:rPr>
              <w:t>DECISION</w:t>
            </w:r>
          </w:p>
        </w:tc>
        <w:tc>
          <w:tcPr>
            <w:tcW w:type="dxa" w:w="7920"/>
            <w:shd w:fill="F7F9F9"/>
            <w:tcMar>
              <w:top w:w="120" w:type="dxa"/>
              <w:start w:w="150" w:type="dxa"/>
              <w:bottom w:w="120" w:type="dxa"/>
              <w:end w:w="150" w:type="dxa"/>
            </w:tcMar>
            <w:tcBorders>
              <w:top w:val="single" w:sz="4" w:color="D5E4E6"/>
              <w:left w:val="single" w:sz="4" w:color="D5E4E6"/>
              <w:bottom w:val="single" w:sz="4" w:color="D5E4E6"/>
              <w:right w:val="single" w:sz="4" w:color="D5E4E6"/>
            </w:tcBorders>
          </w:tcPr>
          <w:p>
            <w:r>
              <w:rPr>
                <w:sz w:val="20"/>
              </w:rPr>
              <w:t>What action does the evidence justify—release, hold, correct, escalate, defer, include, exclude, finalize, revise, remove, or close?</w:t>
            </w:r>
          </w:p>
        </w:tc>
      </w:tr>
    </w:tbl>
    <w:p>
      <w:r>
        <w:br w:type="page"/>
      </w:r>
    </w:p>
    <w:p>
      <w:pPr>
        <w:pStyle w:val="Heading1"/>
        <w:keepNext/>
      </w:pPr>
      <w:r>
        <w:t>Evaluation Pillars</w:t>
      </w:r>
    </w:p>
    <w:tbl>
      <w:tblPr>
        <w:tblW w:type="auto" w:w="0"/>
        <w:jc w:val="center"/>
        <w:tblLook w:firstColumn="1" w:firstRow="1" w:lastColumn="0" w:lastRow="0" w:noHBand="0" w:noVBand="1" w:val="04A0"/>
      </w:tblPr>
      <w:tblGrid>
        <w:gridCol w:w="5112"/>
        <w:gridCol w:w="5112"/>
      </w:tblGrid>
      <w:tr>
        <w:tc>
          <w:tcPr>
            <w:tcW w:type="dxa" w:w="5112"/>
            <w:shd w:fill="EAF4F5"/>
            <w:tcMar>
              <w:top w:w="120" w:type="dxa"/>
              <w:start w:w="150" w:type="dxa"/>
              <w:bottom w:w="120" w:type="dxa"/>
              <w:end w:w="150" w:type="dxa"/>
            </w:tcMar>
            <w:tcBorders>
              <w:top w:val="single" w:sz="4" w:color="D5E4E6"/>
              <w:left w:val="single" w:sz="4" w:color="D5E4E6"/>
              <w:bottom w:val="single" w:sz="4" w:color="D5E4E6"/>
              <w:right w:val="single" w:sz="4" w:color="D5E4E6"/>
            </w:tcBorders>
          </w:tcPr>
          <w:p>
            <w:r>
              <w:rPr>
                <w:rFonts w:ascii="Georgia" w:hAnsi="Georgia"/>
                <w:b/>
                <w:color w:val="145A64"/>
                <w:sz w:val="21"/>
              </w:rPr>
              <w:t>Evidence Integrity</w:t>
            </w:r>
          </w:p>
          <w:p>
            <w:pPr>
              <w:spacing w:after="0"/>
            </w:pPr>
            <w:r>
              <w:rPr>
                <w:sz w:val="18"/>
              </w:rPr>
              <w:t>Does the evidence actually support the claim?</w:t>
            </w:r>
          </w:p>
        </w:tc>
        <w:tc>
          <w:tcPr>
            <w:tcW w:type="dxa" w:w="5112"/>
            <w:shd w:fill="F7F9F9"/>
            <w:tcMar>
              <w:top w:w="120" w:type="dxa"/>
              <w:start w:w="150" w:type="dxa"/>
              <w:bottom w:w="120" w:type="dxa"/>
              <w:end w:w="150" w:type="dxa"/>
            </w:tcMar>
            <w:tcBorders>
              <w:top w:val="single" w:sz="4" w:color="D5E4E6"/>
              <w:left w:val="single" w:sz="4" w:color="D5E4E6"/>
              <w:bottom w:val="single" w:sz="4" w:color="D5E4E6"/>
              <w:right w:val="single" w:sz="4" w:color="D5E4E6"/>
            </w:tcBorders>
          </w:tcPr>
          <w:p>
            <w:r>
              <w:rPr>
                <w:rFonts w:ascii="Georgia" w:hAnsi="Georgia"/>
                <w:b/>
                <w:color w:val="145A64"/>
                <w:sz w:val="21"/>
              </w:rPr>
              <w:t>Eligibility Determination</w:t>
            </w:r>
          </w:p>
          <w:p>
            <w:pPr>
              <w:spacing w:after="0"/>
            </w:pPr>
            <w:r>
              <w:rPr>
                <w:sz w:val="18"/>
              </w:rPr>
              <w:t>Is the case eligible for the requested status or action?</w:t>
            </w:r>
          </w:p>
        </w:tc>
      </w:tr>
      <w:tr>
        <w:tc>
          <w:tcPr>
            <w:tcW w:type="dxa" w:w="5112"/>
            <w:shd w:fill="EAF4F5"/>
            <w:tcMar>
              <w:top w:w="120" w:type="dxa"/>
              <w:start w:w="150" w:type="dxa"/>
              <w:bottom w:w="120" w:type="dxa"/>
              <w:end w:w="150" w:type="dxa"/>
            </w:tcMar>
            <w:tcBorders>
              <w:top w:val="single" w:sz="4" w:color="D5E4E6"/>
              <w:left w:val="single" w:sz="4" w:color="D5E4E6"/>
              <w:bottom w:val="single" w:sz="4" w:color="D5E4E6"/>
              <w:right w:val="single" w:sz="4" w:color="D5E4E6"/>
            </w:tcBorders>
          </w:tcPr>
          <w:p>
            <w:r>
              <w:rPr>
                <w:rFonts w:ascii="Georgia" w:hAnsi="Georgia"/>
                <w:b/>
                <w:color w:val="145A64"/>
                <w:sz w:val="21"/>
              </w:rPr>
              <w:t>Documentation Consistency</w:t>
            </w:r>
          </w:p>
          <w:p>
            <w:pPr>
              <w:spacing w:after="0"/>
            </w:pPr>
            <w:r>
              <w:rPr>
                <w:sz w:val="18"/>
              </w:rPr>
              <w:t>Do the records agree, and are conflicts reconciled?</w:t>
            </w:r>
          </w:p>
        </w:tc>
        <w:tc>
          <w:tcPr>
            <w:tcW w:type="dxa" w:w="5112"/>
            <w:shd w:fill="F7F9F9"/>
            <w:tcMar>
              <w:top w:w="120" w:type="dxa"/>
              <w:start w:w="150" w:type="dxa"/>
              <w:bottom w:w="120" w:type="dxa"/>
              <w:end w:w="150" w:type="dxa"/>
            </w:tcMar>
            <w:tcBorders>
              <w:top w:val="single" w:sz="4" w:color="D5E4E6"/>
              <w:left w:val="single" w:sz="4" w:color="D5E4E6"/>
              <w:bottom w:val="single" w:sz="4" w:color="D5E4E6"/>
              <w:right w:val="single" w:sz="4" w:color="D5E4E6"/>
            </w:tcBorders>
          </w:tcPr>
          <w:p>
            <w:r>
              <w:rPr>
                <w:rFonts w:ascii="Georgia" w:hAnsi="Georgia"/>
                <w:b/>
                <w:color w:val="145A64"/>
                <w:sz w:val="21"/>
              </w:rPr>
              <w:t>Temporal Integrity</w:t>
            </w:r>
          </w:p>
          <w:p>
            <w:pPr>
              <w:spacing w:after="0"/>
            </w:pPr>
            <w:r>
              <w:rPr>
                <w:sz w:val="18"/>
              </w:rPr>
              <w:t>Did later information invalidate or resolve an earlier conclusion?</w:t>
            </w:r>
          </w:p>
        </w:tc>
      </w:tr>
      <w:tr>
        <w:tc>
          <w:tcPr>
            <w:tcW w:type="dxa" w:w="5112"/>
            <w:shd w:fill="EAF4F5"/>
            <w:tcMar>
              <w:top w:w="120" w:type="dxa"/>
              <w:start w:w="150" w:type="dxa"/>
              <w:bottom w:w="120" w:type="dxa"/>
              <w:end w:w="150" w:type="dxa"/>
            </w:tcMar>
            <w:tcBorders>
              <w:top w:val="single" w:sz="4" w:color="D5E4E6"/>
              <w:left w:val="single" w:sz="4" w:color="D5E4E6"/>
              <w:bottom w:val="single" w:sz="4" w:color="D5E4E6"/>
              <w:right w:val="single" w:sz="4" w:color="D5E4E6"/>
            </w:tcBorders>
          </w:tcPr>
          <w:p>
            <w:r>
              <w:rPr>
                <w:rFonts w:ascii="Georgia" w:hAnsi="Georgia"/>
                <w:b/>
                <w:color w:val="145A64"/>
                <w:sz w:val="21"/>
              </w:rPr>
              <w:t>Source Reliability</w:t>
            </w:r>
          </w:p>
          <w:p>
            <w:pPr>
              <w:spacing w:after="0"/>
            </w:pPr>
            <w:r>
              <w:rPr>
                <w:sz w:val="18"/>
              </w:rPr>
              <w:t>Which source is current, patient-specific, and authoritative?</w:t>
            </w:r>
          </w:p>
        </w:tc>
        <w:tc>
          <w:tcPr>
            <w:tcW w:type="dxa" w:w="5112"/>
            <w:shd w:fill="F7F9F9"/>
            <w:tcMar>
              <w:top w:w="120" w:type="dxa"/>
              <w:start w:w="150" w:type="dxa"/>
              <w:bottom w:w="120" w:type="dxa"/>
              <w:end w:w="150" w:type="dxa"/>
            </w:tcMar>
            <w:tcBorders>
              <w:top w:val="single" w:sz="4" w:color="D5E4E6"/>
              <w:left w:val="single" w:sz="4" w:color="D5E4E6"/>
              <w:bottom w:val="single" w:sz="4" w:color="D5E4E6"/>
              <w:right w:val="single" w:sz="4" w:color="D5E4E6"/>
            </w:tcBorders>
          </w:tcPr>
          <w:p>
            <w:r>
              <w:rPr>
                <w:rFonts w:ascii="Georgia" w:hAnsi="Georgia"/>
                <w:b/>
                <w:color w:val="145A64"/>
                <w:sz w:val="21"/>
              </w:rPr>
              <w:t>Missing Evidence</w:t>
            </w:r>
          </w:p>
          <w:p>
            <w:pPr>
              <w:spacing w:after="0"/>
            </w:pPr>
            <w:r>
              <w:rPr>
                <w:sz w:val="18"/>
              </w:rPr>
              <w:t>Is required proof absent, pending, attempted, or unverified?</w:t>
            </w:r>
          </w:p>
        </w:tc>
      </w:tr>
      <w:tr>
        <w:tc>
          <w:tcPr>
            <w:tcW w:type="dxa" w:w="5112"/>
            <w:shd w:fill="EAF4F5"/>
            <w:tcMar>
              <w:top w:w="120" w:type="dxa"/>
              <w:start w:w="150" w:type="dxa"/>
              <w:bottom w:w="120" w:type="dxa"/>
              <w:end w:w="150" w:type="dxa"/>
            </w:tcMar>
            <w:tcBorders>
              <w:top w:val="single" w:sz="4" w:color="D5E4E6"/>
              <w:left w:val="single" w:sz="4" w:color="D5E4E6"/>
              <w:bottom w:val="single" w:sz="4" w:color="D5E4E6"/>
              <w:right w:val="single" w:sz="4" w:color="D5E4E6"/>
            </w:tcBorders>
          </w:tcPr>
          <w:p>
            <w:r>
              <w:rPr>
                <w:rFonts w:ascii="Georgia" w:hAnsi="Georgia"/>
                <w:b/>
                <w:color w:val="145A64"/>
                <w:sz w:val="21"/>
              </w:rPr>
              <w:t>Operational Readiness</w:t>
            </w:r>
          </w:p>
          <w:p>
            <w:pPr>
              <w:spacing w:after="0"/>
            </w:pPr>
            <w:r>
              <w:rPr>
                <w:sz w:val="18"/>
              </w:rPr>
              <w:t>Can the workflow proceed once evidence requirements are satisfied?</w:t>
            </w:r>
          </w:p>
        </w:tc>
        <w:tc>
          <w:tcPr>
            <w:tcW w:type="dxa" w:w="5112"/>
            <w:shd w:fill="F7F9F9"/>
            <w:tcMar>
              <w:top w:w="120" w:type="dxa"/>
              <w:start w:w="150" w:type="dxa"/>
              <w:bottom w:w="120" w:type="dxa"/>
              <w:end w:w="150" w:type="dxa"/>
            </w:tcMar>
            <w:tcBorders>
              <w:top w:val="single" w:sz="4" w:color="D5E4E6"/>
              <w:left w:val="single" w:sz="4" w:color="D5E4E6"/>
              <w:bottom w:val="single" w:sz="4" w:color="D5E4E6"/>
              <w:right w:val="single" w:sz="4" w:color="D5E4E6"/>
            </w:tcBorders>
          </w:tcPr>
          <w:p>
            <w:r>
              <w:rPr>
                <w:rFonts w:ascii="Georgia" w:hAnsi="Georgia"/>
                <w:b/>
                <w:color w:val="145A64"/>
                <w:sz w:val="21"/>
              </w:rPr>
              <w:t>Escalation Judgment</w:t>
            </w:r>
          </w:p>
          <w:p>
            <w:pPr>
              <w:spacing w:after="0"/>
            </w:pPr>
            <w:r>
              <w:rPr>
                <w:sz w:val="18"/>
              </w:rPr>
              <w:t>Is release, hold, correction, escalation, or deferral proportionate?</w:t>
            </w:r>
          </w:p>
        </w:tc>
      </w:tr>
    </w:tbl>
    <w:p>
      <w:pPr>
        <w:pStyle w:val="Heading1"/>
        <w:keepNext/>
      </w:pPr>
      <w:r>
        <w:t>Design Methodology</w:t>
      </w:r>
    </w:p>
    <w:p>
      <w:pPr>
        <w:pStyle w:val="Heading3"/>
      </w:pPr>
      <w:r>
        <w:t>1. Start with a decision claim</w:t>
      </w:r>
    </w:p>
    <w:p>
      <w:pPr>
        <w:spacing w:after="80"/>
      </w:pPr>
      <w:r>
        <w:t>Each benchmark begins with a status that appears simple: clean, ready, eligible, complete, safe, compliant, resolved, or supported.</w:t>
      </w:r>
    </w:p>
    <w:p>
      <w:pPr>
        <w:pStyle w:val="Heading3"/>
      </w:pPr>
      <w:r>
        <w:t>2. Separate label from evidence</w:t>
      </w:r>
    </w:p>
    <w:p>
      <w:pPr>
        <w:spacing w:after="80"/>
      </w:pPr>
      <w:r>
        <w:t>Dashboards and summaries are treated as claims. Source documents determine whether those claims are true.</w:t>
      </w:r>
    </w:p>
    <w:p>
      <w:pPr>
        <w:pStyle w:val="Heading3"/>
      </w:pPr>
      <w:r>
        <w:t>3. Build object-specific source hierarchy</w:t>
      </w:r>
    </w:p>
    <w:p>
      <w:pPr>
        <w:spacing w:after="80"/>
      </w:pPr>
      <w:r>
        <w:t>Current policies, patient-specific records, final addenda, specialist conclusions, helper files, and stale notes have different authority for different claim objects.</w:t>
      </w:r>
    </w:p>
    <w:p>
      <w:pPr>
        <w:pStyle w:val="Heading3"/>
      </w:pPr>
      <w:r>
        <w:t>4. Add temporal, longitudinal, and provenance pressure</w:t>
      </w:r>
    </w:p>
    <w:p>
      <w:pPr>
        <w:spacing w:after="80"/>
      </w:pPr>
      <w:r>
        <w:t>Later evidence may reverse earlier conclusions; repetition may create false durability; files may be wrong-patient, wrong-date, or outside the required window.</w:t>
      </w:r>
    </w:p>
    <w:p>
      <w:pPr>
        <w:pStyle w:val="Heading3"/>
      </w:pPr>
      <w:r>
        <w:t>5. Validate applicability before invoking a rule</w:t>
      </w:r>
    </w:p>
    <w:p>
      <w:pPr>
        <w:spacing w:after="80"/>
      </w:pPr>
      <w:r>
        <w:t>Policies, protocols, measures, and guidelines apply only after population entry, version, inclusion, exclusions, and safety gates are proven.</w:t>
      </w:r>
    </w:p>
    <w:p>
      <w:pPr>
        <w:pStyle w:val="Heading3"/>
      </w:pPr>
      <w:r>
        <w:t>6. Include counterbalance cases</w:t>
      </w:r>
    </w:p>
    <w:p>
      <w:pPr>
        <w:spacing w:after="80"/>
      </w:pPr>
      <w:r>
        <w:t>Every benchmark includes false-ready and false-hold cases so blanket approval and blanket escalation both fail.</w:t>
      </w:r>
    </w:p>
    <w:p>
      <w:pPr>
        <w:pStyle w:val="Heading3"/>
      </w:pPr>
      <w:r>
        <w:t>7. Require decisions and grade the reasoning</w:t>
      </w:r>
    </w:p>
    <w:p>
      <w:pPr>
        <w:spacing w:after="80"/>
      </w:pPr>
      <w:r>
        <w:t>Outputs must state confidence, disposition, owner actions, unresolved gaps, and the evidence that earns the decision.</w:t>
      </w:r>
    </w:p>
    <w:p>
      <w:r>
        <w:br w:type="page"/>
      </w:r>
    </w:p>
    <w:p>
      <w:pPr>
        <w:pStyle w:val="Heading1"/>
        <w:keepNext/>
      </w:pPr>
      <w:r>
        <w:t>Benchmark Index</w:t>
      </w:r>
    </w:p>
    <w:p>
      <w:pPr>
        <w:spacing w:after="160"/>
      </w:pPr>
      <w:r>
        <w:rPr>
          <w:i/>
          <w:color w:val="5A6C75"/>
          <w:sz w:val="21"/>
        </w:rPr>
        <w:t>Twelve domains. One shared question: does the evidence earn the decision?</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556"/>
            <w:shd w:fill="145A64"/>
          </w:tcPr>
          <w:p>
            <w:pPr>
              <w:jc w:val="center"/>
            </w:pPr>
            <w:r>
              <w:rPr>
                <w:b/>
                <w:color w:val="FFFFFF"/>
                <w:sz w:val="17"/>
              </w:rPr>
              <w:t>#</w:t>
            </w:r>
          </w:p>
        </w:tc>
        <w:tc>
          <w:tcPr>
            <w:tcW w:type="dxa" w:w="2556"/>
            <w:shd w:fill="145A64"/>
          </w:tcPr>
          <w:p>
            <w:pPr>
              <w:jc w:val="center"/>
            </w:pPr>
            <w:r>
              <w:rPr>
                <w:b/>
                <w:color w:val="FFFFFF"/>
                <w:sz w:val="17"/>
              </w:rPr>
              <w:t>Benchmark</w:t>
            </w:r>
          </w:p>
        </w:tc>
        <w:tc>
          <w:tcPr>
            <w:tcW w:type="dxa" w:w="2556"/>
            <w:shd w:fill="145A64"/>
          </w:tcPr>
          <w:p>
            <w:pPr>
              <w:jc w:val="center"/>
            </w:pPr>
            <w:r>
              <w:rPr>
                <w:b/>
                <w:color w:val="FFFFFF"/>
                <w:sz w:val="17"/>
              </w:rPr>
              <w:t>Domain</w:t>
            </w:r>
          </w:p>
        </w:tc>
        <w:tc>
          <w:tcPr>
            <w:tcW w:type="dxa" w:w="2556"/>
            <w:shd w:fill="145A64"/>
          </w:tcPr>
          <w:p>
            <w:pPr>
              <w:jc w:val="center"/>
            </w:pPr>
            <w:r>
              <w:rPr>
                <w:b/>
                <w:color w:val="FFFFFF"/>
                <w:sz w:val="17"/>
              </w:rPr>
              <w:t>Core decision</w:t>
            </w:r>
          </w:p>
        </w:tc>
      </w:tr>
      <w:tr>
        <w:tc>
          <w:tcPr>
            <w:tcW w:type="dxa" w:w="648"/>
            <w:shd w:fill="FFFFFF"/>
            <w:tcMar>
              <w:top w:w="65" w:type="dxa"/>
              <w:start w:w="75" w:type="dxa"/>
              <w:bottom w:w="65" w:type="dxa"/>
              <w:end w:w="75" w:type="dxa"/>
            </w:tcMar>
          </w:tcPr>
          <w:p>
            <w:pPr>
              <w:jc w:val="center"/>
            </w:pPr>
            <w:r>
              <w:rPr>
                <w:b/>
                <w:color w:val="1F2933"/>
                <w:sz w:val="16"/>
              </w:rPr>
              <w:t>001</w:t>
            </w:r>
          </w:p>
        </w:tc>
        <w:tc>
          <w:tcPr>
            <w:tcW w:type="dxa" w:w="3672"/>
            <w:shd w:fill="FFFFFF"/>
            <w:tcMar>
              <w:top w:w="65" w:type="dxa"/>
              <w:start w:w="75" w:type="dxa"/>
              <w:bottom w:w="65" w:type="dxa"/>
              <w:end w:w="75" w:type="dxa"/>
            </w:tcMar>
          </w:tcPr>
          <w:p>
            <w:pPr>
              <w:jc w:val="left"/>
            </w:pPr>
            <w:r>
              <w:rPr>
                <w:b/>
                <w:color w:val="20323D"/>
                <w:sz w:val="15"/>
              </w:rPr>
              <w:t>Discharge Documentation Closure Eligibility Audit</w:t>
            </w:r>
          </w:p>
        </w:tc>
        <w:tc>
          <w:tcPr>
            <w:tcW w:type="dxa" w:w="2880"/>
            <w:shd w:fill="FFFFFF"/>
            <w:tcMar>
              <w:top w:w="65" w:type="dxa"/>
              <w:start w:w="75" w:type="dxa"/>
              <w:bottom w:w="65" w:type="dxa"/>
              <w:end w:w="75" w:type="dxa"/>
            </w:tcMar>
          </w:tcPr>
          <w:p>
            <w:pPr>
              <w:jc w:val="left"/>
            </w:pPr>
            <w:r>
              <w:rPr>
                <w:b w:val="0"/>
                <w:color w:val="1F2933"/>
                <w:sz w:val="15"/>
              </w:rPr>
              <w:t>Clinical documentation integrity and care-transition closure</w:t>
            </w:r>
          </w:p>
        </w:tc>
        <w:tc>
          <w:tcPr>
            <w:tcW w:type="dxa" w:w="3168"/>
            <w:shd w:fill="FFFFFF"/>
            <w:tcMar>
              <w:top w:w="65" w:type="dxa"/>
              <w:start w:w="75" w:type="dxa"/>
              <w:bottom w:w="65" w:type="dxa"/>
              <w:end w:w="75" w:type="dxa"/>
            </w:tcMar>
          </w:tcPr>
          <w:p>
            <w:pPr>
              <w:jc w:val="left"/>
            </w:pPr>
            <w:r>
              <w:rPr>
                <w:b w:val="0"/>
                <w:color w:val="1F2933"/>
                <w:sz w:val="15"/>
              </w:rPr>
              <w:t>Has the record earned clean/complete closure status?</w:t>
            </w:r>
          </w:p>
        </w:tc>
      </w:tr>
      <w:tr>
        <w:tc>
          <w:tcPr>
            <w:tcW w:type="dxa" w:w="648"/>
            <w:shd w:fill="F7F9F9"/>
            <w:tcMar>
              <w:top w:w="65" w:type="dxa"/>
              <w:start w:w="75" w:type="dxa"/>
              <w:bottom w:w="65" w:type="dxa"/>
              <w:end w:w="75" w:type="dxa"/>
            </w:tcMar>
          </w:tcPr>
          <w:p>
            <w:pPr>
              <w:jc w:val="center"/>
            </w:pPr>
            <w:r>
              <w:rPr>
                <w:b/>
                <w:color w:val="1F2933"/>
                <w:sz w:val="16"/>
              </w:rPr>
              <w:t>002</w:t>
            </w:r>
          </w:p>
        </w:tc>
        <w:tc>
          <w:tcPr>
            <w:tcW w:type="dxa" w:w="3672"/>
            <w:shd w:fill="F7F9F9"/>
            <w:tcMar>
              <w:top w:w="65" w:type="dxa"/>
              <w:start w:w="75" w:type="dxa"/>
              <w:bottom w:w="65" w:type="dxa"/>
              <w:end w:w="75" w:type="dxa"/>
            </w:tcMar>
          </w:tcPr>
          <w:p>
            <w:pPr>
              <w:jc w:val="left"/>
            </w:pPr>
            <w:r>
              <w:rPr>
                <w:b/>
                <w:color w:val="20323D"/>
                <w:sz w:val="15"/>
              </w:rPr>
              <w:t>Prior Authorization Evidence Review</w:t>
            </w:r>
          </w:p>
        </w:tc>
        <w:tc>
          <w:tcPr>
            <w:tcW w:type="dxa" w:w="2880"/>
            <w:shd w:fill="F7F9F9"/>
            <w:tcMar>
              <w:top w:w="65" w:type="dxa"/>
              <w:start w:w="75" w:type="dxa"/>
              <w:bottom w:w="65" w:type="dxa"/>
              <w:end w:w="75" w:type="dxa"/>
            </w:tcMar>
          </w:tcPr>
          <w:p>
            <w:pPr>
              <w:jc w:val="left"/>
            </w:pPr>
            <w:r>
              <w:rPr>
                <w:b w:val="0"/>
                <w:color w:val="1F2933"/>
                <w:sz w:val="15"/>
              </w:rPr>
              <w:t>Payer criteria, imaging, specialty medication, and DME authorization</w:t>
            </w:r>
          </w:p>
        </w:tc>
        <w:tc>
          <w:tcPr>
            <w:tcW w:type="dxa" w:w="3168"/>
            <w:shd w:fill="F7F9F9"/>
            <w:tcMar>
              <w:top w:w="65" w:type="dxa"/>
              <w:start w:w="75" w:type="dxa"/>
              <w:bottom w:w="65" w:type="dxa"/>
              <w:end w:w="75" w:type="dxa"/>
            </w:tcMar>
          </w:tcPr>
          <w:p>
            <w:pPr>
              <w:jc w:val="left"/>
            </w:pPr>
            <w:r>
              <w:rPr>
                <w:b w:val="0"/>
                <w:color w:val="1F2933"/>
                <w:sz w:val="15"/>
              </w:rPr>
              <w:t>Has the request earned submission, hold, or escalation?</w:t>
            </w:r>
          </w:p>
        </w:tc>
      </w:tr>
      <w:tr>
        <w:tc>
          <w:tcPr>
            <w:tcW w:type="dxa" w:w="648"/>
            <w:shd w:fill="FFFFFF"/>
            <w:tcMar>
              <w:top w:w="65" w:type="dxa"/>
              <w:start w:w="75" w:type="dxa"/>
              <w:bottom w:w="65" w:type="dxa"/>
              <w:end w:w="75" w:type="dxa"/>
            </w:tcMar>
          </w:tcPr>
          <w:p>
            <w:pPr>
              <w:jc w:val="center"/>
            </w:pPr>
            <w:r>
              <w:rPr>
                <w:b/>
                <w:color w:val="1F2933"/>
                <w:sz w:val="16"/>
              </w:rPr>
              <w:t>003</w:t>
            </w:r>
          </w:p>
        </w:tc>
        <w:tc>
          <w:tcPr>
            <w:tcW w:type="dxa" w:w="3672"/>
            <w:shd w:fill="FFFFFF"/>
            <w:tcMar>
              <w:top w:w="65" w:type="dxa"/>
              <w:start w:w="75" w:type="dxa"/>
              <w:bottom w:w="65" w:type="dxa"/>
              <w:end w:w="75" w:type="dxa"/>
            </w:tcMar>
          </w:tcPr>
          <w:p>
            <w:pPr>
              <w:jc w:val="left"/>
            </w:pPr>
            <w:r>
              <w:rPr>
                <w:b/>
                <w:color w:val="20323D"/>
                <w:sz w:val="15"/>
              </w:rPr>
              <w:t>Clinical Trial Eligibility Validation</w:t>
            </w:r>
          </w:p>
        </w:tc>
        <w:tc>
          <w:tcPr>
            <w:tcW w:type="dxa" w:w="2880"/>
            <w:shd w:fill="FFFFFF"/>
            <w:tcMar>
              <w:top w:w="65" w:type="dxa"/>
              <w:start w:w="75" w:type="dxa"/>
              <w:bottom w:w="65" w:type="dxa"/>
              <w:end w:w="75" w:type="dxa"/>
            </w:tcMar>
          </w:tcPr>
          <w:p>
            <w:pPr>
              <w:jc w:val="left"/>
            </w:pPr>
            <w:r>
              <w:rPr>
                <w:b w:val="0"/>
                <w:color w:val="1F2933"/>
                <w:sz w:val="15"/>
              </w:rPr>
              <w:t>Oncology research screening and protocol eligibility</w:t>
            </w:r>
          </w:p>
        </w:tc>
        <w:tc>
          <w:tcPr>
            <w:tcW w:type="dxa" w:w="3168"/>
            <w:shd w:fill="FFFFFF"/>
            <w:tcMar>
              <w:top w:w="65" w:type="dxa"/>
              <w:start w:w="75" w:type="dxa"/>
              <w:bottom w:w="65" w:type="dxa"/>
              <w:end w:w="75" w:type="dxa"/>
            </w:tcMar>
          </w:tcPr>
          <w:p>
            <w:pPr>
              <w:jc w:val="left"/>
            </w:pPr>
            <w:r>
              <w:rPr>
                <w:b w:val="0"/>
                <w:color w:val="1F2933"/>
                <w:sz w:val="15"/>
              </w:rPr>
              <w:t>Has the candidate earned the right to proceed?</w:t>
            </w:r>
          </w:p>
        </w:tc>
      </w:tr>
      <w:tr>
        <w:tc>
          <w:tcPr>
            <w:tcW w:type="dxa" w:w="648"/>
            <w:shd w:fill="F7F9F9"/>
            <w:tcMar>
              <w:top w:w="65" w:type="dxa"/>
              <w:start w:w="75" w:type="dxa"/>
              <w:bottom w:w="65" w:type="dxa"/>
              <w:end w:w="75" w:type="dxa"/>
            </w:tcMar>
          </w:tcPr>
          <w:p>
            <w:pPr>
              <w:jc w:val="center"/>
            </w:pPr>
            <w:r>
              <w:rPr>
                <w:b/>
                <w:color w:val="1F2933"/>
                <w:sz w:val="16"/>
              </w:rPr>
              <w:t>004</w:t>
            </w:r>
          </w:p>
        </w:tc>
        <w:tc>
          <w:tcPr>
            <w:tcW w:type="dxa" w:w="3672"/>
            <w:shd w:fill="F7F9F9"/>
            <w:tcMar>
              <w:top w:w="65" w:type="dxa"/>
              <w:start w:w="75" w:type="dxa"/>
              <w:bottom w:w="65" w:type="dxa"/>
              <w:end w:w="75" w:type="dxa"/>
            </w:tcMar>
          </w:tcPr>
          <w:p>
            <w:pPr>
              <w:jc w:val="left"/>
            </w:pPr>
            <w:r>
              <w:rPr>
                <w:b/>
                <w:color w:val="20323D"/>
                <w:sz w:val="15"/>
              </w:rPr>
              <w:t>Registry Enrollment Audit</w:t>
            </w:r>
          </w:p>
        </w:tc>
        <w:tc>
          <w:tcPr>
            <w:tcW w:type="dxa" w:w="2880"/>
            <w:shd w:fill="F7F9F9"/>
            <w:tcMar>
              <w:top w:w="65" w:type="dxa"/>
              <w:start w:w="75" w:type="dxa"/>
              <w:bottom w:w="65" w:type="dxa"/>
              <w:end w:w="75" w:type="dxa"/>
            </w:tcMar>
          </w:tcPr>
          <w:p>
            <w:pPr>
              <w:jc w:val="left"/>
            </w:pPr>
            <w:r>
              <w:rPr>
                <w:b w:val="0"/>
                <w:color w:val="1F2933"/>
                <w:sz w:val="15"/>
              </w:rPr>
              <w:t>Population health registry and colorectal screening outreach</w:t>
            </w:r>
          </w:p>
        </w:tc>
        <w:tc>
          <w:tcPr>
            <w:tcW w:type="dxa" w:w="3168"/>
            <w:shd w:fill="F7F9F9"/>
            <w:tcMar>
              <w:top w:w="65" w:type="dxa"/>
              <w:start w:w="75" w:type="dxa"/>
              <w:bottom w:w="65" w:type="dxa"/>
              <w:end w:w="75" w:type="dxa"/>
            </w:tcMar>
          </w:tcPr>
          <w:p>
            <w:pPr>
              <w:jc w:val="left"/>
            </w:pPr>
            <w:r>
              <w:rPr>
                <w:b w:val="0"/>
                <w:color w:val="1F2933"/>
                <w:sz w:val="15"/>
              </w:rPr>
              <w:t>Has the patient earned inclusion, exclusion, suppression, or outreach?</w:t>
            </w:r>
          </w:p>
        </w:tc>
      </w:tr>
      <w:tr>
        <w:tc>
          <w:tcPr>
            <w:tcW w:type="dxa" w:w="648"/>
            <w:shd w:fill="FFFFFF"/>
            <w:tcMar>
              <w:top w:w="65" w:type="dxa"/>
              <w:start w:w="75" w:type="dxa"/>
              <w:bottom w:w="65" w:type="dxa"/>
              <w:end w:w="75" w:type="dxa"/>
            </w:tcMar>
          </w:tcPr>
          <w:p>
            <w:pPr>
              <w:jc w:val="center"/>
            </w:pPr>
            <w:r>
              <w:rPr>
                <w:b/>
                <w:color w:val="1F2933"/>
                <w:sz w:val="16"/>
              </w:rPr>
              <w:t>005</w:t>
            </w:r>
          </w:p>
        </w:tc>
        <w:tc>
          <w:tcPr>
            <w:tcW w:type="dxa" w:w="3672"/>
            <w:shd w:fill="FFFFFF"/>
            <w:tcMar>
              <w:top w:w="65" w:type="dxa"/>
              <w:start w:w="75" w:type="dxa"/>
              <w:bottom w:w="65" w:type="dxa"/>
              <w:end w:w="75" w:type="dxa"/>
            </w:tcMar>
          </w:tcPr>
          <w:p>
            <w:pPr>
              <w:jc w:val="left"/>
            </w:pPr>
            <w:r>
              <w:rPr>
                <w:b/>
                <w:color w:val="20323D"/>
                <w:sz w:val="15"/>
              </w:rPr>
              <w:t>Medical Necessity Documentation Review - Post-Acute Services</w:t>
            </w:r>
          </w:p>
        </w:tc>
        <w:tc>
          <w:tcPr>
            <w:tcW w:type="dxa" w:w="2880"/>
            <w:shd w:fill="FFFFFF"/>
            <w:tcMar>
              <w:top w:w="65" w:type="dxa"/>
              <w:start w:w="75" w:type="dxa"/>
              <w:bottom w:w="65" w:type="dxa"/>
              <w:end w:w="75" w:type="dxa"/>
            </w:tcMar>
          </w:tcPr>
          <w:p>
            <w:pPr>
              <w:jc w:val="left"/>
            </w:pPr>
            <w:r>
              <w:rPr>
                <w:b w:val="0"/>
                <w:color w:val="1F2933"/>
                <w:sz w:val="15"/>
              </w:rPr>
              <w:t>Home health, DME, wound therapy, oxygen, infusion, and outpatient therapy</w:t>
            </w:r>
          </w:p>
        </w:tc>
        <w:tc>
          <w:tcPr>
            <w:tcW w:type="dxa" w:w="3168"/>
            <w:shd w:fill="FFFFFF"/>
            <w:tcMar>
              <w:top w:w="65" w:type="dxa"/>
              <w:start w:w="75" w:type="dxa"/>
              <w:bottom w:w="65" w:type="dxa"/>
              <w:end w:w="75" w:type="dxa"/>
            </w:tcMar>
          </w:tcPr>
          <w:p>
            <w:pPr>
              <w:jc w:val="left"/>
            </w:pPr>
            <w:r>
              <w:rPr>
                <w:b w:val="0"/>
                <w:color w:val="1F2933"/>
                <w:sz w:val="15"/>
              </w:rPr>
              <w:t>Has the service earned a medically necessary determination?</w:t>
            </w:r>
          </w:p>
        </w:tc>
      </w:tr>
      <w:tr>
        <w:tc>
          <w:tcPr>
            <w:tcW w:type="dxa" w:w="648"/>
            <w:shd w:fill="F7F9F9"/>
            <w:tcMar>
              <w:top w:w="65" w:type="dxa"/>
              <w:start w:w="75" w:type="dxa"/>
              <w:bottom w:w="65" w:type="dxa"/>
              <w:end w:w="75" w:type="dxa"/>
            </w:tcMar>
          </w:tcPr>
          <w:p>
            <w:pPr>
              <w:jc w:val="center"/>
            </w:pPr>
            <w:r>
              <w:rPr>
                <w:b/>
                <w:color w:val="1F2933"/>
                <w:sz w:val="16"/>
              </w:rPr>
              <w:t>006</w:t>
            </w:r>
          </w:p>
        </w:tc>
        <w:tc>
          <w:tcPr>
            <w:tcW w:type="dxa" w:w="3672"/>
            <w:shd w:fill="F7F9F9"/>
            <w:tcMar>
              <w:top w:w="65" w:type="dxa"/>
              <w:start w:w="75" w:type="dxa"/>
              <w:bottom w:w="65" w:type="dxa"/>
              <w:end w:w="75" w:type="dxa"/>
            </w:tcMar>
          </w:tcPr>
          <w:p>
            <w:pPr>
              <w:jc w:val="left"/>
            </w:pPr>
            <w:r>
              <w:rPr>
                <w:b/>
                <w:color w:val="20323D"/>
                <w:sz w:val="15"/>
              </w:rPr>
              <w:t>Medical Necessity Documentation Review - Utilization Management</w:t>
            </w:r>
          </w:p>
        </w:tc>
        <w:tc>
          <w:tcPr>
            <w:tcW w:type="dxa" w:w="2880"/>
            <w:shd w:fill="F7F9F9"/>
            <w:tcMar>
              <w:top w:w="65" w:type="dxa"/>
              <w:start w:w="75" w:type="dxa"/>
              <w:bottom w:w="65" w:type="dxa"/>
              <w:end w:w="75" w:type="dxa"/>
            </w:tcMar>
          </w:tcPr>
          <w:p>
            <w:pPr>
              <w:jc w:val="left"/>
            </w:pPr>
            <w:r>
              <w:rPr>
                <w:b w:val="0"/>
                <w:color w:val="1F2933"/>
                <w:sz w:val="15"/>
              </w:rPr>
              <w:t>Imaging, procedures, treatment history, and exception pathways</w:t>
            </w:r>
          </w:p>
        </w:tc>
        <w:tc>
          <w:tcPr>
            <w:tcW w:type="dxa" w:w="3168"/>
            <w:shd w:fill="F7F9F9"/>
            <w:tcMar>
              <w:top w:w="65" w:type="dxa"/>
              <w:start w:w="75" w:type="dxa"/>
              <w:bottom w:w="65" w:type="dxa"/>
              <w:end w:w="75" w:type="dxa"/>
            </w:tcMar>
          </w:tcPr>
          <w:p>
            <w:pPr>
              <w:jc w:val="left"/>
            </w:pPr>
            <w:r>
              <w:rPr>
                <w:b w:val="0"/>
                <w:color w:val="1F2933"/>
                <w:sz w:val="15"/>
              </w:rPr>
              <w:t>Has medical necessity been established for this service and patient?</w:t>
            </w:r>
          </w:p>
        </w:tc>
      </w:tr>
      <w:tr>
        <w:tc>
          <w:tcPr>
            <w:tcW w:type="dxa" w:w="648"/>
            <w:shd w:fill="FFFFFF"/>
            <w:tcMar>
              <w:top w:w="65" w:type="dxa"/>
              <w:start w:w="75" w:type="dxa"/>
              <w:bottom w:w="65" w:type="dxa"/>
              <w:end w:w="75" w:type="dxa"/>
            </w:tcMar>
          </w:tcPr>
          <w:p>
            <w:pPr>
              <w:jc w:val="center"/>
            </w:pPr>
            <w:r>
              <w:rPr>
                <w:b/>
                <w:color w:val="1F2933"/>
                <w:sz w:val="16"/>
              </w:rPr>
              <w:t>007</w:t>
            </w:r>
          </w:p>
        </w:tc>
        <w:tc>
          <w:tcPr>
            <w:tcW w:type="dxa" w:w="3672"/>
            <w:shd w:fill="FFFFFF"/>
            <w:tcMar>
              <w:top w:w="65" w:type="dxa"/>
              <w:start w:w="75" w:type="dxa"/>
              <w:bottom w:w="65" w:type="dxa"/>
              <w:end w:w="75" w:type="dxa"/>
            </w:tcMar>
          </w:tcPr>
          <w:p>
            <w:pPr>
              <w:jc w:val="left"/>
            </w:pPr>
            <w:r>
              <w:rPr>
                <w:b/>
                <w:color w:val="20323D"/>
                <w:sz w:val="15"/>
              </w:rPr>
              <w:t>Quality Measure Inclusion Validation</w:t>
            </w:r>
          </w:p>
        </w:tc>
        <w:tc>
          <w:tcPr>
            <w:tcW w:type="dxa" w:w="2880"/>
            <w:shd w:fill="FFFFFF"/>
            <w:tcMar>
              <w:top w:w="65" w:type="dxa"/>
              <w:start w:w="75" w:type="dxa"/>
              <w:bottom w:w="65" w:type="dxa"/>
              <w:end w:w="75" w:type="dxa"/>
            </w:tcMar>
          </w:tcPr>
          <w:p>
            <w:pPr>
              <w:jc w:val="left"/>
            </w:pPr>
            <w:r>
              <w:rPr>
                <w:b w:val="0"/>
                <w:color w:val="1F2933"/>
                <w:sz w:val="15"/>
              </w:rPr>
              <w:t>Hypertension measure denominator, exclusion, and numerator review</w:t>
            </w:r>
          </w:p>
        </w:tc>
        <w:tc>
          <w:tcPr>
            <w:tcW w:type="dxa" w:w="3168"/>
            <w:shd w:fill="FFFFFF"/>
            <w:tcMar>
              <w:top w:w="65" w:type="dxa"/>
              <w:start w:w="75" w:type="dxa"/>
              <w:bottom w:w="65" w:type="dxa"/>
              <w:end w:w="75" w:type="dxa"/>
            </w:tcMar>
          </w:tcPr>
          <w:p>
            <w:pPr>
              <w:jc w:val="left"/>
            </w:pPr>
            <w:r>
              <w:rPr>
                <w:b w:val="0"/>
                <w:color w:val="1F2933"/>
                <w:sz w:val="15"/>
              </w:rPr>
              <w:t>Has the patient earned inclusion, exclusion, compliance, or hold status?</w:t>
            </w:r>
          </w:p>
        </w:tc>
      </w:tr>
      <w:tr>
        <w:tc>
          <w:tcPr>
            <w:tcW w:type="dxa" w:w="648"/>
            <w:shd w:fill="F7F9F9"/>
            <w:tcMar>
              <w:top w:w="65" w:type="dxa"/>
              <w:start w:w="75" w:type="dxa"/>
              <w:bottom w:w="65" w:type="dxa"/>
              <w:end w:w="75" w:type="dxa"/>
            </w:tcMar>
          </w:tcPr>
          <w:p>
            <w:pPr>
              <w:jc w:val="center"/>
            </w:pPr>
            <w:r>
              <w:rPr>
                <w:b/>
                <w:color w:val="1F2933"/>
                <w:sz w:val="16"/>
              </w:rPr>
              <w:t>008</w:t>
            </w:r>
          </w:p>
        </w:tc>
        <w:tc>
          <w:tcPr>
            <w:tcW w:type="dxa" w:w="3672"/>
            <w:shd w:fill="F7F9F9"/>
            <w:tcMar>
              <w:top w:w="65" w:type="dxa"/>
              <w:start w:w="75" w:type="dxa"/>
              <w:bottom w:w="65" w:type="dxa"/>
              <w:end w:w="75" w:type="dxa"/>
            </w:tcMar>
          </w:tcPr>
          <w:p>
            <w:pPr>
              <w:jc w:val="left"/>
            </w:pPr>
            <w:r>
              <w:rPr>
                <w:b/>
                <w:color w:val="20323D"/>
                <w:sz w:val="15"/>
              </w:rPr>
              <w:t>Medication Safety Verification</w:t>
            </w:r>
          </w:p>
        </w:tc>
        <w:tc>
          <w:tcPr>
            <w:tcW w:type="dxa" w:w="2880"/>
            <w:shd w:fill="F7F9F9"/>
            <w:tcMar>
              <w:top w:w="65" w:type="dxa"/>
              <w:start w:w="75" w:type="dxa"/>
              <w:bottom w:w="65" w:type="dxa"/>
              <w:end w:w="75" w:type="dxa"/>
            </w:tcMar>
          </w:tcPr>
          <w:p>
            <w:pPr>
              <w:jc w:val="left"/>
            </w:pPr>
            <w:r>
              <w:rPr>
                <w:b w:val="0"/>
                <w:color w:val="1F2933"/>
                <w:sz w:val="15"/>
              </w:rPr>
              <w:t>High-risk medication release, dispensing, and alert verification</w:t>
            </w:r>
          </w:p>
        </w:tc>
        <w:tc>
          <w:tcPr>
            <w:tcW w:type="dxa" w:w="3168"/>
            <w:shd w:fill="F7F9F9"/>
            <w:tcMar>
              <w:top w:w="65" w:type="dxa"/>
              <w:start w:w="75" w:type="dxa"/>
              <w:bottom w:w="65" w:type="dxa"/>
              <w:end w:w="75" w:type="dxa"/>
            </w:tcMar>
          </w:tcPr>
          <w:p>
            <w:pPr>
              <w:jc w:val="left"/>
            </w:pPr>
            <w:r>
              <w:rPr>
                <w:b w:val="0"/>
                <w:color w:val="1F2933"/>
                <w:sz w:val="15"/>
              </w:rPr>
              <w:t>Has the medication plan earned release or withholding?</w:t>
            </w:r>
          </w:p>
        </w:tc>
      </w:tr>
      <w:tr>
        <w:tc>
          <w:tcPr>
            <w:tcW w:type="dxa" w:w="648"/>
            <w:shd w:fill="FFFFFF"/>
            <w:tcMar>
              <w:top w:w="65" w:type="dxa"/>
              <w:start w:w="75" w:type="dxa"/>
              <w:bottom w:w="65" w:type="dxa"/>
              <w:end w:w="75" w:type="dxa"/>
            </w:tcMar>
          </w:tcPr>
          <w:p>
            <w:pPr>
              <w:jc w:val="center"/>
            </w:pPr>
            <w:r>
              <w:rPr>
                <w:b/>
                <w:color w:val="1F2933"/>
                <w:sz w:val="16"/>
              </w:rPr>
              <w:t>009</w:t>
            </w:r>
          </w:p>
        </w:tc>
        <w:tc>
          <w:tcPr>
            <w:tcW w:type="dxa" w:w="3672"/>
            <w:shd w:fill="FFFFFF"/>
            <w:tcMar>
              <w:top w:w="65" w:type="dxa"/>
              <w:start w:w="75" w:type="dxa"/>
              <w:bottom w:w="65" w:type="dxa"/>
              <w:end w:w="75" w:type="dxa"/>
            </w:tcMar>
          </w:tcPr>
          <w:p>
            <w:pPr>
              <w:jc w:val="left"/>
            </w:pPr>
            <w:r>
              <w:rPr>
                <w:b/>
                <w:color w:val="20323D"/>
                <w:sz w:val="15"/>
              </w:rPr>
              <w:t>Case Closure Readiness Audit</w:t>
            </w:r>
          </w:p>
        </w:tc>
        <w:tc>
          <w:tcPr>
            <w:tcW w:type="dxa" w:w="2880"/>
            <w:shd w:fill="FFFFFF"/>
            <w:tcMar>
              <w:top w:w="65" w:type="dxa"/>
              <w:start w:w="75" w:type="dxa"/>
              <w:bottom w:w="65" w:type="dxa"/>
              <w:end w:w="75" w:type="dxa"/>
            </w:tcMar>
          </w:tcPr>
          <w:p>
            <w:pPr>
              <w:jc w:val="left"/>
            </w:pPr>
            <w:r>
              <w:rPr>
                <w:b w:val="0"/>
                <w:color w:val="1F2933"/>
                <w:sz w:val="15"/>
              </w:rPr>
              <w:t>Patient safety, complaint, referral, privacy, communication, equipment, and follow-up cases</w:t>
            </w:r>
          </w:p>
        </w:tc>
        <w:tc>
          <w:tcPr>
            <w:tcW w:type="dxa" w:w="3168"/>
            <w:shd w:fill="FFFFFF"/>
            <w:tcMar>
              <w:top w:w="65" w:type="dxa"/>
              <w:start w:w="75" w:type="dxa"/>
              <w:bottom w:w="65" w:type="dxa"/>
              <w:end w:w="75" w:type="dxa"/>
            </w:tcMar>
          </w:tcPr>
          <w:p>
            <w:pPr>
              <w:jc w:val="left"/>
            </w:pPr>
            <w:r>
              <w:rPr>
                <w:b w:val="0"/>
                <w:color w:val="1F2933"/>
                <w:sz w:val="15"/>
              </w:rPr>
              <w:t>Has the case earned true resolution and closure?</w:t>
            </w:r>
          </w:p>
        </w:tc>
      </w:tr>
      <w:tr>
        <w:tc>
          <w:tcPr>
            <w:tcW w:type="dxa" w:w="648"/>
            <w:shd w:fill="F7F9F9"/>
            <w:tcMar>
              <w:top w:w="65" w:type="dxa"/>
              <w:start w:w="75" w:type="dxa"/>
              <w:bottom w:w="65" w:type="dxa"/>
              <w:end w:w="75" w:type="dxa"/>
            </w:tcMar>
          </w:tcPr>
          <w:p>
            <w:pPr>
              <w:jc w:val="center"/>
            </w:pPr>
            <w:r>
              <w:rPr>
                <w:b/>
                <w:color w:val="1F2933"/>
                <w:sz w:val="16"/>
              </w:rPr>
              <w:t>010</w:t>
            </w:r>
          </w:p>
        </w:tc>
        <w:tc>
          <w:tcPr>
            <w:tcW w:type="dxa" w:w="3672"/>
            <w:shd w:fill="F7F9F9"/>
            <w:tcMar>
              <w:top w:w="65" w:type="dxa"/>
              <w:start w:w="75" w:type="dxa"/>
              <w:bottom w:w="65" w:type="dxa"/>
              <w:end w:w="75" w:type="dxa"/>
            </w:tcMar>
          </w:tcPr>
          <w:p>
            <w:pPr>
              <w:jc w:val="left"/>
            </w:pPr>
            <w:r>
              <w:rPr>
                <w:b/>
                <w:color w:val="20323D"/>
                <w:sz w:val="15"/>
              </w:rPr>
              <w:t>Clinical Coding Evidence Validation</w:t>
            </w:r>
          </w:p>
        </w:tc>
        <w:tc>
          <w:tcPr>
            <w:tcW w:type="dxa" w:w="2880"/>
            <w:shd w:fill="F7F9F9"/>
            <w:tcMar>
              <w:top w:w="65" w:type="dxa"/>
              <w:start w:w="75" w:type="dxa"/>
              <w:bottom w:w="65" w:type="dxa"/>
              <w:end w:w="75" w:type="dxa"/>
            </w:tcMar>
          </w:tcPr>
          <w:p>
            <w:pPr>
              <w:jc w:val="left"/>
            </w:pPr>
            <w:r>
              <w:rPr>
                <w:b w:val="0"/>
                <w:color w:val="1F2933"/>
                <w:sz w:val="15"/>
              </w:rPr>
              <w:t>Diagnosis and principal-diagnosis coding integrity</w:t>
            </w:r>
          </w:p>
        </w:tc>
        <w:tc>
          <w:tcPr>
            <w:tcW w:type="dxa" w:w="3168"/>
            <w:shd w:fill="F7F9F9"/>
            <w:tcMar>
              <w:top w:w="65" w:type="dxa"/>
              <w:start w:w="75" w:type="dxa"/>
              <w:bottom w:w="65" w:type="dxa"/>
              <w:end w:w="75" w:type="dxa"/>
            </w:tcMar>
          </w:tcPr>
          <w:p>
            <w:pPr>
              <w:jc w:val="left"/>
            </w:pPr>
            <w:r>
              <w:rPr>
                <w:b w:val="0"/>
                <w:color w:val="1F2933"/>
                <w:sz w:val="15"/>
              </w:rPr>
              <w:t>Has the diagnosis or principal-diagnosis assignment earned final coding?</w:t>
            </w:r>
          </w:p>
        </w:tc>
      </w:tr>
      <w:tr>
        <w:tc>
          <w:tcPr>
            <w:tcW w:type="dxa" w:w="648"/>
            <w:shd w:fill="F7F9F9"/>
            <w:tcMar>
              <w:top w:w="65" w:type="dxa"/>
              <w:start w:w="75" w:type="dxa"/>
              <w:bottom w:w="65" w:type="dxa"/>
              <w:end w:w="75" w:type="dxa"/>
            </w:tcMar>
          </w:tcPr>
          <w:p>
            <w:pPr>
              <w:jc w:val="center"/>
            </w:pPr>
            <w:r>
              <w:rPr>
                <w:b/>
                <w:color w:val="1F2933"/>
                <w:sz w:val="16"/>
              </w:rPr>
              <w:t>011</w:t>
            </w:r>
          </w:p>
        </w:tc>
        <w:tc>
          <w:tcPr>
            <w:tcW w:type="dxa" w:w="3672"/>
            <w:shd w:fill="F7F9F9"/>
            <w:tcMar>
              <w:top w:w="65" w:type="dxa"/>
              <w:start w:w="75" w:type="dxa"/>
              <w:bottom w:w="65" w:type="dxa"/>
              <w:end w:w="75" w:type="dxa"/>
            </w:tcMar>
          </w:tcPr>
          <w:p>
            <w:pPr>
              <w:jc w:val="left"/>
            </w:pPr>
            <w:r>
              <w:rPr>
                <w:b/>
                <w:color w:val="20323D"/>
                <w:sz w:val="15"/>
              </w:rPr>
              <w:t>Longitudinal Evidence Reconciliation</w:t>
            </w:r>
          </w:p>
        </w:tc>
        <w:tc>
          <w:tcPr>
            <w:tcW w:type="dxa" w:w="2880"/>
            <w:shd w:fill="F7F9F9"/>
            <w:tcMar>
              <w:top w:w="65" w:type="dxa"/>
              <w:start w:w="75" w:type="dxa"/>
              <w:bottom w:w="65" w:type="dxa"/>
              <w:end w:w="75" w:type="dxa"/>
            </w:tcMar>
          </w:tcPr>
          <w:p>
            <w:pPr>
              <w:jc w:val="left"/>
            </w:pPr>
            <w:r>
              <w:rPr>
                <w:b w:val="0"/>
                <w:color w:val="1F2933"/>
                <w:sz w:val="15"/>
              </w:rPr>
              <w:t>Whole-record reconciliation across hospital, clinic, specialist, rehabilitation, home, pharmacy, and portal records</w:t>
            </w:r>
          </w:p>
        </w:tc>
        <w:tc>
          <w:tcPr>
            <w:tcW w:type="dxa" w:w="3168"/>
            <w:shd w:fill="F7F9F9"/>
            <w:tcMar>
              <w:top w:w="65" w:type="dxa"/>
              <w:start w:w="75" w:type="dxa"/>
              <w:bottom w:w="65" w:type="dxa"/>
              <w:end w:w="75" w:type="dxa"/>
            </w:tcMar>
          </w:tcPr>
          <w:p>
            <w:pPr>
              <w:jc w:val="left"/>
            </w:pPr>
            <w:r>
              <w:rPr>
                <w:b w:val="0"/>
                <w:color w:val="1F2933"/>
                <w:sz w:val="15"/>
              </w:rPr>
              <w:t>Does the longitudinal record support the conclusion?</w:t>
            </w:r>
          </w:p>
        </w:tc>
      </w:tr>
      <w:tr>
        <w:tc>
          <w:tcPr>
            <w:tcW w:type="dxa" w:w="648"/>
            <w:shd w:fill="F7F9F9"/>
            <w:tcMar>
              <w:top w:w="65" w:type="dxa"/>
              <w:start w:w="75" w:type="dxa"/>
              <w:bottom w:w="65" w:type="dxa"/>
              <w:end w:w="75" w:type="dxa"/>
            </w:tcMar>
          </w:tcPr>
          <w:p>
            <w:pPr>
              <w:jc w:val="center"/>
            </w:pPr>
            <w:r>
              <w:rPr>
                <w:b/>
                <w:color w:val="1F2933"/>
                <w:sz w:val="16"/>
              </w:rPr>
              <w:t>012</w:t>
            </w:r>
          </w:p>
        </w:tc>
        <w:tc>
          <w:tcPr>
            <w:tcW w:type="dxa" w:w="3672"/>
            <w:shd w:fill="F7F9F9"/>
            <w:tcMar>
              <w:top w:w="65" w:type="dxa"/>
              <w:start w:w="75" w:type="dxa"/>
              <w:bottom w:w="65" w:type="dxa"/>
              <w:end w:w="75" w:type="dxa"/>
            </w:tcMar>
          </w:tcPr>
          <w:p>
            <w:pPr>
              <w:jc w:val="left"/>
            </w:pPr>
            <w:r>
              <w:rPr>
                <w:b/>
                <w:color w:val="20323D"/>
                <w:sz w:val="15"/>
              </w:rPr>
              <w:t>Clinical Guideline Applicability Audit</w:t>
            </w:r>
          </w:p>
        </w:tc>
        <w:tc>
          <w:tcPr>
            <w:tcW w:type="dxa" w:w="2880"/>
            <w:shd w:fill="F7F9F9"/>
            <w:tcMar>
              <w:top w:w="65" w:type="dxa"/>
              <w:start w:w="75" w:type="dxa"/>
              <w:bottom w:w="65" w:type="dxa"/>
              <w:end w:w="75" w:type="dxa"/>
            </w:tcMar>
          </w:tcPr>
          <w:p>
            <w:pPr>
              <w:jc w:val="left"/>
            </w:pPr>
            <w:r>
              <w:rPr>
                <w:b w:val="0"/>
                <w:color w:val="1F2933"/>
                <w:sz w:val="15"/>
              </w:rPr>
              <w:t>Patient-specific guideline population, eligibility, exclusion, version, and safety-gate validation</w:t>
            </w:r>
          </w:p>
        </w:tc>
        <w:tc>
          <w:tcPr>
            <w:tcW w:type="dxa" w:w="3168"/>
            <w:shd w:fill="F7F9F9"/>
            <w:tcMar>
              <w:top w:w="65" w:type="dxa"/>
              <w:start w:w="75" w:type="dxa"/>
              <w:bottom w:w="65" w:type="dxa"/>
              <w:end w:w="75" w:type="dxa"/>
            </w:tcMar>
          </w:tcPr>
          <w:p>
            <w:pPr>
              <w:jc w:val="left"/>
            </w:pPr>
            <w:r>
              <w:rPr>
                <w:b w:val="0"/>
                <w:color w:val="1F2933"/>
                <w:sz w:val="15"/>
              </w:rPr>
              <w:t>Does the evidence actually justify applying this rule?</w:t>
            </w:r>
          </w:p>
        </w:tc>
      </w:tr>
    </w:tbl>
    <w:p/>
    <w:p>
      <w:r>
        <w:rPr>
          <w:i/>
          <w:color w:val="5A6C75"/>
        </w:rPr>
        <w:t>Each benchmark contains 30 fictional source documents, four batch archives, a task/system prompt, strict grading guidelines, and design notes.</w:t>
      </w:r>
    </w:p>
    <w:p>
      <w:r>
        <w:br w:type="page"/>
      </w:r>
    </w:p>
    <w:p>
      <w:pPr>
        <w:spacing w:after="40"/>
      </w:pPr>
      <w:r>
        <w:rPr>
          <w:rFonts w:ascii="Arial" w:hAnsi="Arial"/>
          <w:b/>
          <w:color w:val="C7903E"/>
          <w:sz w:val="18"/>
        </w:rPr>
        <w:t>BENCHMARK 001</w:t>
      </w:r>
    </w:p>
    <w:p>
      <w:pPr>
        <w:pStyle w:val="Heading1"/>
        <w:spacing w:after="40"/>
      </w:pPr>
      <w:r>
        <w:t>Discharge Documentation Closure Eligibility Audit</w:t>
      </w:r>
    </w:p>
    <w:p>
      <w:pPr>
        <w:spacing w:after="160"/>
      </w:pPr>
      <w:r>
        <w:rPr>
          <w:i/>
          <w:color w:val="5A6C75"/>
          <w:sz w:val="21"/>
        </w:rPr>
        <w:t>Clinical documentation integrity and care-transition closure</w:t>
      </w:r>
    </w:p>
    <w:tbl>
      <w:tblPr>
        <w:tblW w:type="auto" w:w="0"/>
        <w:jc w:val="center"/>
        <w:tblLayout w:type="fixed"/>
        <w:tblLook w:firstColumn="1" w:firstRow="1" w:lastColumn="0" w:lastRow="0" w:noHBand="0" w:noVBand="1" w:val="04A0"/>
      </w:tblPr>
      <w:tblGrid>
        <w:gridCol w:w="10224"/>
      </w:tblGrid>
      <w:tr>
        <w:tc>
          <w:tcPr>
            <w:tcW w:type="dxa" w:w="10224"/>
            <w:shd w:fill="EAF4F5"/>
            <w:tcMar>
              <w:top w:w="180" w:type="dxa"/>
              <w:start w:w="220" w:type="dxa"/>
              <w:bottom w:w="180" w:type="dxa"/>
              <w:end w:w="220" w:type="dxa"/>
            </w:tcMar>
            <w:tcBorders>
              <w:top w:val="single" w:sz="8" w:color="145A64"/>
              <w:left w:val="single" w:sz="8" w:color="145A64"/>
              <w:bottom w:val="single" w:sz="8" w:color="145A64"/>
              <w:right w:val="single" w:sz="8" w:color="145A64"/>
            </w:tcBorders>
          </w:tcPr>
          <w:p>
            <w:pPr>
              <w:jc w:val="center"/>
            </w:pPr>
            <w:r>
              <w:rPr>
                <w:rFonts w:ascii="Georgia" w:hAnsi="Georgia"/>
                <w:b/>
                <w:i/>
                <w:color w:val="20323D"/>
                <w:sz w:val="24"/>
              </w:rPr>
              <w:t>Has the record earned clean/complete closure status?</w:t>
            </w:r>
          </w:p>
        </w:tc>
      </w:tr>
    </w:tbl>
    <w:p>
      <w:pPr>
        <w:spacing w:after="0"/>
      </w:pPr>
    </w:p>
    <w:p>
      <w:pPr>
        <w:spacing w:after="60"/>
      </w:pPr>
      <w:r>
        <w:rPr>
          <w:b/>
          <w:color w:val="145A64"/>
          <w:sz w:val="17"/>
        </w:rPr>
        <w:t xml:space="preserve">PURPOSE  </w:t>
      </w:r>
      <w:r>
        <w:rPr>
          <w:color w:val="1F2933"/>
          <w:sz w:val="20"/>
        </w:rPr>
        <w:t>Audits discharge records that appear complete and determines whether medication, wound, infection, follow-up, education, diagnosis, and DME evidence actually supports closure.</w:t>
      </w:r>
    </w:p>
    <w:p>
      <w:pPr>
        <w:spacing w:after="60"/>
      </w:pPr>
      <w:r>
        <w:rPr>
          <w:b/>
          <w:color w:val="145A64"/>
          <w:sz w:val="17"/>
        </w:rPr>
        <w:t xml:space="preserve">KEY EVIDENCE PRESSURE  </w:t>
      </w:r>
      <w:r>
        <w:rPr>
          <w:color w:val="1F2933"/>
          <w:sz w:val="20"/>
        </w:rPr>
        <w:t>Signed-but-conflicting records; late results; wrong laterality; missing follow-up proof; stale copied-forward text; resolved apparent holds.</w:t>
      </w:r>
    </w:p>
    <w:p>
      <w:pPr>
        <w:spacing w:after="60"/>
      </w:pPr>
      <w:r>
        <w:rPr>
          <w:b/>
          <w:color w:val="145A64"/>
          <w:sz w:val="17"/>
        </w:rPr>
        <w:t xml:space="preserve">DECISION CLASSES  </w:t>
      </w:r>
      <w:r>
        <w:rPr>
          <w:color w:val="1F2933"/>
          <w:sz w:val="20"/>
        </w:rPr>
        <w:t>Remain clean/complete; hold; escalate; defer; release from hold</w:t>
      </w:r>
    </w:p>
    <w:tbl>
      <w:tblPr>
        <w:tblW w:type="auto" w:w="0"/>
        <w:jc w:val="center"/>
        <w:tblLook w:firstColumn="1" w:firstRow="1" w:lastColumn="0" w:lastRow="0" w:noHBand="0" w:noVBand="1" w:val="04A0"/>
      </w:tblPr>
      <w:tblGrid>
        <w:gridCol w:w="5112"/>
        <w:gridCol w:w="5112"/>
      </w:tblGrid>
      <w:tr>
        <w:tc>
          <w:tcPr>
            <w:tcW w:type="dxa" w:w="5112"/>
            <w:shd w:fill="F5F1E8"/>
            <w:tcMar>
              <w:top w:w="130" w:type="dxa"/>
              <w:start w:w="150" w:type="dxa"/>
              <w:bottom w:w="130" w:type="dxa"/>
              <w:end w:w="150" w:type="dxa"/>
            </w:tcMar>
            <w:tcBorders>
              <w:top w:val="single" w:sz="5" w:color="C7903E"/>
              <w:left w:val="single" w:sz="5" w:color="C7903E"/>
              <w:bottom w:val="single" w:sz="5" w:color="C7903E"/>
              <w:right w:val="single" w:sz="5" w:color="C7903E"/>
            </w:tcBorders>
          </w:tcPr>
          <w:p>
            <w:r>
              <w:rPr>
                <w:b/>
                <w:color w:val="C7903E"/>
                <w:sz w:val="16"/>
              </w:rPr>
              <w:t>FALSE-READY / FALSE-CLEAN PRESSURE</w:t>
            </w:r>
          </w:p>
          <w:p>
            <w:r>
              <w:rPr>
                <w:sz w:val="18"/>
              </w:rPr>
              <w:t>False-clean discharge records</w:t>
            </w:r>
          </w:p>
        </w:tc>
        <w:tc>
          <w:tcPr>
            <w:tcW w:type="dxa" w:w="5112"/>
            <w:shd w:fill="EAF4F5"/>
            <w:tcMar>
              <w:top w:w="130" w:type="dxa"/>
              <w:start w:w="150" w:type="dxa"/>
              <w:bottom w:w="130" w:type="dxa"/>
              <w:end w:w="150" w:type="dxa"/>
            </w:tcMar>
            <w:tcBorders>
              <w:top w:val="single" w:sz="5" w:color="145A64"/>
              <w:left w:val="single" w:sz="5" w:color="145A64"/>
              <w:bottom w:val="single" w:sz="5" w:color="145A64"/>
              <w:right w:val="single" w:sz="5" w:color="145A64"/>
            </w:tcBorders>
          </w:tcPr>
          <w:p>
            <w:r>
              <w:rPr>
                <w:b/>
                <w:color w:val="145A64"/>
                <w:sz w:val="16"/>
              </w:rPr>
              <w:t>COUNTERBALANCE PRESSURE</w:t>
            </w:r>
          </w:p>
          <w:p>
            <w:r>
              <w:rPr>
                <w:sz w:val="18"/>
              </w:rPr>
              <w:t>Later authoritative evidence resolves stale holds</w:t>
            </w:r>
          </w:p>
        </w:tc>
      </w:tr>
    </w:tbl>
    <w:p/>
    <w:p>
      <w:pPr>
        <w:pStyle w:val="Heading2"/>
      </w:pPr>
      <w:r>
        <w:t>What strong performance looks like</w:t>
      </w:r>
    </w:p>
    <w:p>
      <w:pPr>
        <w:pStyle w:val="ListBullet"/>
        <w:spacing w:after="40"/>
        <w:ind w:left="288" w:hanging="216"/>
      </w:pPr>
      <w:r>
        <w:t>Identifies the surface claim without inheriting it as truth.</w:t>
      </w:r>
    </w:p>
    <w:p>
      <w:pPr>
        <w:pStyle w:val="ListBullet"/>
        <w:spacing w:after="40"/>
        <w:ind w:left="288" w:hanging="216"/>
      </w:pPr>
      <w:r>
        <w:t>Finds the decisive current and authoritative evidence across the full source set.</w:t>
      </w:r>
    </w:p>
    <w:p>
      <w:pPr>
        <w:pStyle w:val="ListBullet"/>
        <w:spacing w:after="40"/>
        <w:ind w:left="288" w:hanging="216"/>
      </w:pPr>
      <w:r>
        <w:t>Explains contradictions, missing proof, and confidence level.</w:t>
      </w:r>
    </w:p>
    <w:p>
      <w:pPr>
        <w:pStyle w:val="ListBullet"/>
        <w:spacing w:after="40"/>
        <w:ind w:left="288" w:hanging="216"/>
      </w:pPr>
      <w:r>
        <w:t>Makes a proportionate decision and releases resolved apparent holds.</w:t>
      </w:r>
    </w:p>
    <w:p>
      <w:pPr>
        <w:pStyle w:val="ListBullet"/>
        <w:spacing w:after="40"/>
        <w:ind w:left="288" w:hanging="216"/>
      </w:pPr>
      <w:r>
        <w:t>Assigns owner actions without inventing unsupported facts.</w:t>
      </w:r>
    </w:p>
    <w:p>
      <w:pPr>
        <w:spacing w:before="80"/>
      </w:pPr>
      <w:r>
        <w:rPr>
          <w:b/>
          <w:color w:val="145A64"/>
        </w:rPr>
        <w:t xml:space="preserve">Package: </w:t>
      </w:r>
      <w:r>
        <w:t>30 source documents | 4 batch archives | system/task prompt | strict grading rubric | design notes</w:t>
      </w:r>
    </w:p>
    <w:p>
      <w:r>
        <w:br w:type="page"/>
      </w:r>
    </w:p>
    <w:p>
      <w:pPr>
        <w:spacing w:after="40"/>
      </w:pPr>
      <w:r>
        <w:rPr>
          <w:rFonts w:ascii="Arial" w:hAnsi="Arial"/>
          <w:b/>
          <w:color w:val="C7903E"/>
          <w:sz w:val="18"/>
        </w:rPr>
        <w:t>BENCHMARK 002</w:t>
      </w:r>
    </w:p>
    <w:p>
      <w:pPr>
        <w:pStyle w:val="Heading1"/>
        <w:spacing w:after="40"/>
      </w:pPr>
      <w:r>
        <w:t>Prior Authorization Evidence Review</w:t>
      </w:r>
    </w:p>
    <w:p>
      <w:pPr>
        <w:spacing w:after="160"/>
      </w:pPr>
      <w:r>
        <w:rPr>
          <w:i/>
          <w:color w:val="5A6C75"/>
          <w:sz w:val="21"/>
        </w:rPr>
        <w:t>Payer criteria, imaging, specialty medication, and DME authorization</w:t>
      </w:r>
    </w:p>
    <w:tbl>
      <w:tblPr>
        <w:tblW w:type="auto" w:w="0"/>
        <w:jc w:val="center"/>
        <w:tblLayout w:type="fixed"/>
        <w:tblLook w:firstColumn="1" w:firstRow="1" w:lastColumn="0" w:lastRow="0" w:noHBand="0" w:noVBand="1" w:val="04A0"/>
      </w:tblPr>
      <w:tblGrid>
        <w:gridCol w:w="10224"/>
      </w:tblGrid>
      <w:tr>
        <w:tc>
          <w:tcPr>
            <w:tcW w:type="dxa" w:w="10224"/>
            <w:shd w:fill="EAF4F5"/>
            <w:tcMar>
              <w:top w:w="180" w:type="dxa"/>
              <w:start w:w="220" w:type="dxa"/>
              <w:bottom w:w="180" w:type="dxa"/>
              <w:end w:w="220" w:type="dxa"/>
            </w:tcMar>
            <w:tcBorders>
              <w:top w:val="single" w:sz="8" w:color="145A64"/>
              <w:left w:val="single" w:sz="8" w:color="145A64"/>
              <w:bottom w:val="single" w:sz="8" w:color="145A64"/>
              <w:right w:val="single" w:sz="8" w:color="145A64"/>
            </w:tcBorders>
          </w:tcPr>
          <w:p>
            <w:pPr>
              <w:jc w:val="center"/>
            </w:pPr>
            <w:r>
              <w:rPr>
                <w:rFonts w:ascii="Georgia" w:hAnsi="Georgia"/>
                <w:b/>
                <w:i/>
                <w:color w:val="20323D"/>
                <w:sz w:val="24"/>
              </w:rPr>
              <w:t>Has the request earned submission, hold, or escalation?</w:t>
            </w:r>
          </w:p>
        </w:tc>
      </w:tr>
    </w:tbl>
    <w:p>
      <w:pPr>
        <w:spacing w:after="0"/>
      </w:pPr>
    </w:p>
    <w:p>
      <w:pPr>
        <w:spacing w:after="60"/>
      </w:pPr>
      <w:r>
        <w:rPr>
          <w:b/>
          <w:color w:val="145A64"/>
          <w:sz w:val="17"/>
        </w:rPr>
        <w:t xml:space="preserve">PURPOSE  </w:t>
      </w:r>
      <w:r>
        <w:rPr>
          <w:color w:val="1F2933"/>
          <w:sz w:val="20"/>
        </w:rPr>
        <w:t>Tests whether prior authorization packets satisfy current payer criteria rather than merely appearing administratively complete or being labeled criteria met.</w:t>
      </w:r>
    </w:p>
    <w:p>
      <w:pPr>
        <w:spacing w:after="60"/>
      </w:pPr>
      <w:r>
        <w:rPr>
          <w:b/>
          <w:color w:val="145A64"/>
          <w:sz w:val="17"/>
        </w:rPr>
        <w:t xml:space="preserve">KEY EVIDENCE PRESSURE  </w:t>
      </w:r>
      <w:r>
        <w:rPr>
          <w:color w:val="1F2933"/>
          <w:sz w:val="20"/>
        </w:rPr>
        <w:t>Criteria windows; body-region mismatch; therapy history; medication safety; exceptions; stale scratchpads; later addenda.</w:t>
      </w:r>
    </w:p>
    <w:p>
      <w:pPr>
        <w:spacing w:after="60"/>
      </w:pPr>
      <w:r>
        <w:rPr>
          <w:b/>
          <w:color w:val="145A64"/>
          <w:sz w:val="17"/>
        </w:rPr>
        <w:t xml:space="preserve">DECISION CLASSES  </w:t>
      </w:r>
      <w:r>
        <w:rPr>
          <w:color w:val="1F2933"/>
          <w:sz w:val="20"/>
        </w:rPr>
        <w:t>Submit; hold; correct; withdraw; escalate; release from hold</w:t>
      </w:r>
    </w:p>
    <w:tbl>
      <w:tblPr>
        <w:tblW w:type="auto" w:w="0"/>
        <w:jc w:val="center"/>
        <w:tblLook w:firstColumn="1" w:firstRow="1" w:lastColumn="0" w:lastRow="0" w:noHBand="0" w:noVBand="1" w:val="04A0"/>
      </w:tblPr>
      <w:tblGrid>
        <w:gridCol w:w="5112"/>
        <w:gridCol w:w="5112"/>
      </w:tblGrid>
      <w:tr>
        <w:tc>
          <w:tcPr>
            <w:tcW w:type="dxa" w:w="5112"/>
            <w:shd w:fill="F5F1E8"/>
            <w:tcMar>
              <w:top w:w="130" w:type="dxa"/>
              <w:start w:w="150" w:type="dxa"/>
              <w:bottom w:w="130" w:type="dxa"/>
              <w:end w:w="150" w:type="dxa"/>
            </w:tcMar>
            <w:tcBorders>
              <w:top w:val="single" w:sz="5" w:color="C7903E"/>
              <w:left w:val="single" w:sz="5" w:color="C7903E"/>
              <w:bottom w:val="single" w:sz="5" w:color="C7903E"/>
              <w:right w:val="single" w:sz="5" w:color="C7903E"/>
            </w:tcBorders>
          </w:tcPr>
          <w:p>
            <w:r>
              <w:rPr>
                <w:b/>
                <w:color w:val="C7903E"/>
                <w:sz w:val="16"/>
              </w:rPr>
              <w:t>FALSE-READY / FALSE-CLEAN PRESSURE</w:t>
            </w:r>
          </w:p>
          <w:p>
            <w:r>
              <w:rPr>
                <w:sz w:val="18"/>
              </w:rPr>
              <w:t>Queue-ready requests without sufficient criteria evidence</w:t>
            </w:r>
          </w:p>
        </w:tc>
        <w:tc>
          <w:tcPr>
            <w:tcW w:type="dxa" w:w="5112"/>
            <w:shd w:fill="EAF4F5"/>
            <w:tcMar>
              <w:top w:w="130" w:type="dxa"/>
              <w:start w:w="150" w:type="dxa"/>
              <w:bottom w:w="130" w:type="dxa"/>
              <w:end w:w="150" w:type="dxa"/>
            </w:tcMar>
            <w:tcBorders>
              <w:top w:val="single" w:sz="5" w:color="145A64"/>
              <w:left w:val="single" w:sz="5" w:color="145A64"/>
              <w:bottom w:val="single" w:sz="5" w:color="145A64"/>
              <w:right w:val="single" w:sz="5" w:color="145A64"/>
            </w:tcBorders>
          </w:tcPr>
          <w:p>
            <w:r>
              <w:rPr>
                <w:b/>
                <w:color w:val="145A64"/>
                <w:sz w:val="16"/>
              </w:rPr>
              <w:t>COUNTERBALANCE PRESSURE</w:t>
            </w:r>
          </w:p>
          <w:p>
            <w:r>
              <w:rPr>
                <w:sz w:val="18"/>
              </w:rPr>
              <w:t>Later source evidence supports previously held requests</w:t>
            </w:r>
          </w:p>
        </w:tc>
      </w:tr>
    </w:tbl>
    <w:p/>
    <w:p>
      <w:pPr>
        <w:pStyle w:val="Heading2"/>
      </w:pPr>
      <w:r>
        <w:t>What strong performance looks like</w:t>
      </w:r>
    </w:p>
    <w:p>
      <w:pPr>
        <w:pStyle w:val="ListBullet"/>
        <w:spacing w:after="40"/>
        <w:ind w:left="288" w:hanging="216"/>
      </w:pPr>
      <w:r>
        <w:t>Identifies the surface claim without inheriting it as truth.</w:t>
      </w:r>
    </w:p>
    <w:p>
      <w:pPr>
        <w:pStyle w:val="ListBullet"/>
        <w:spacing w:after="40"/>
        <w:ind w:left="288" w:hanging="216"/>
      </w:pPr>
      <w:r>
        <w:t>Finds the decisive current and authoritative evidence across the full source set.</w:t>
      </w:r>
    </w:p>
    <w:p>
      <w:pPr>
        <w:pStyle w:val="ListBullet"/>
        <w:spacing w:after="40"/>
        <w:ind w:left="288" w:hanging="216"/>
      </w:pPr>
      <w:r>
        <w:t>Explains contradictions, missing proof, and confidence level.</w:t>
      </w:r>
    </w:p>
    <w:p>
      <w:pPr>
        <w:pStyle w:val="ListBullet"/>
        <w:spacing w:after="40"/>
        <w:ind w:left="288" w:hanging="216"/>
      </w:pPr>
      <w:r>
        <w:t>Makes a proportionate decision and releases resolved apparent holds.</w:t>
      </w:r>
    </w:p>
    <w:p>
      <w:pPr>
        <w:pStyle w:val="ListBullet"/>
        <w:spacing w:after="40"/>
        <w:ind w:left="288" w:hanging="216"/>
      </w:pPr>
      <w:r>
        <w:t>Assigns owner actions without inventing unsupported facts.</w:t>
      </w:r>
    </w:p>
    <w:p>
      <w:pPr>
        <w:spacing w:before="80"/>
      </w:pPr>
      <w:r>
        <w:rPr>
          <w:b/>
          <w:color w:val="145A64"/>
        </w:rPr>
        <w:t xml:space="preserve">Package: </w:t>
      </w:r>
      <w:r>
        <w:t>30 source documents | 4 batch archives | system/task prompt | strict grading rubric | design notes</w:t>
      </w:r>
    </w:p>
    <w:p>
      <w:r>
        <w:br w:type="page"/>
      </w:r>
    </w:p>
    <w:p>
      <w:pPr>
        <w:spacing w:after="40"/>
      </w:pPr>
      <w:r>
        <w:rPr>
          <w:rFonts w:ascii="Arial" w:hAnsi="Arial"/>
          <w:b/>
          <w:color w:val="C7903E"/>
          <w:sz w:val="18"/>
        </w:rPr>
        <w:t>BENCHMARK 003</w:t>
      </w:r>
    </w:p>
    <w:p>
      <w:pPr>
        <w:pStyle w:val="Heading1"/>
        <w:spacing w:after="40"/>
      </w:pPr>
      <w:r>
        <w:t>Clinical Trial Eligibility Validation</w:t>
      </w:r>
    </w:p>
    <w:p>
      <w:pPr>
        <w:spacing w:after="160"/>
      </w:pPr>
      <w:r>
        <w:rPr>
          <w:i/>
          <w:color w:val="5A6C75"/>
          <w:sz w:val="21"/>
        </w:rPr>
        <w:t>Oncology research screening and protocol eligibility</w:t>
      </w:r>
    </w:p>
    <w:tbl>
      <w:tblPr>
        <w:tblW w:type="auto" w:w="0"/>
        <w:jc w:val="center"/>
        <w:tblLayout w:type="fixed"/>
        <w:tblLook w:firstColumn="1" w:firstRow="1" w:lastColumn="0" w:lastRow="0" w:noHBand="0" w:noVBand="1" w:val="04A0"/>
      </w:tblPr>
      <w:tblGrid>
        <w:gridCol w:w="10224"/>
      </w:tblGrid>
      <w:tr>
        <w:tc>
          <w:tcPr>
            <w:tcW w:type="dxa" w:w="10224"/>
            <w:shd w:fill="EAF4F5"/>
            <w:tcMar>
              <w:top w:w="180" w:type="dxa"/>
              <w:start w:w="220" w:type="dxa"/>
              <w:bottom w:w="180" w:type="dxa"/>
              <w:end w:w="220" w:type="dxa"/>
            </w:tcMar>
            <w:tcBorders>
              <w:top w:val="single" w:sz="8" w:color="145A64"/>
              <w:left w:val="single" w:sz="8" w:color="145A64"/>
              <w:bottom w:val="single" w:sz="8" w:color="145A64"/>
              <w:right w:val="single" w:sz="8" w:color="145A64"/>
            </w:tcBorders>
          </w:tcPr>
          <w:p>
            <w:pPr>
              <w:jc w:val="center"/>
            </w:pPr>
            <w:r>
              <w:rPr>
                <w:rFonts w:ascii="Georgia" w:hAnsi="Georgia"/>
                <w:b/>
                <w:i/>
                <w:color w:val="20323D"/>
                <w:sz w:val="24"/>
              </w:rPr>
              <w:t>Has the candidate earned the right to proceed?</w:t>
            </w:r>
          </w:p>
        </w:tc>
      </w:tr>
    </w:tbl>
    <w:p>
      <w:pPr>
        <w:spacing w:after="0"/>
      </w:pPr>
    </w:p>
    <w:p>
      <w:pPr>
        <w:spacing w:after="60"/>
      </w:pPr>
      <w:r>
        <w:rPr>
          <w:b/>
          <w:color w:val="145A64"/>
          <w:sz w:val="17"/>
        </w:rPr>
        <w:t xml:space="preserve">PURPOSE  </w:t>
      </w:r>
      <w:r>
        <w:rPr>
          <w:color w:val="1F2933"/>
          <w:sz w:val="20"/>
        </w:rPr>
        <w:t>Evaluates protocol eligibility using consent version and timing, lab windows, washout periods, performance status, medication restrictions, imaging, language support, and exceptions.</w:t>
      </w:r>
    </w:p>
    <w:p>
      <w:pPr>
        <w:spacing w:after="60"/>
      </w:pPr>
      <w:r>
        <w:rPr>
          <w:b/>
          <w:color w:val="145A64"/>
          <w:sz w:val="17"/>
        </w:rPr>
        <w:t xml:space="preserve">KEY EVIDENCE PRESSURE  </w:t>
      </w:r>
      <w:r>
        <w:rPr>
          <w:color w:val="1F2933"/>
          <w:sz w:val="20"/>
        </w:rPr>
        <w:t>Retired consent; pre-consent procedures; out-of-window labs; exact washout timing; current ECOG; interpreter attestation; final imaging.</w:t>
      </w:r>
    </w:p>
    <w:p>
      <w:pPr>
        <w:spacing w:after="60"/>
      </w:pPr>
      <w:r>
        <w:rPr>
          <w:b/>
          <w:color w:val="145A64"/>
          <w:sz w:val="17"/>
        </w:rPr>
        <w:t xml:space="preserve">DECISION CLASSES  </w:t>
      </w:r>
      <w:r>
        <w:rPr>
          <w:color w:val="1F2933"/>
          <w:sz w:val="20"/>
        </w:rPr>
        <w:t>Eligible; hold; exclude; escalate to PI; defer; release from hold</w:t>
      </w:r>
    </w:p>
    <w:tbl>
      <w:tblPr>
        <w:tblW w:type="auto" w:w="0"/>
        <w:jc w:val="center"/>
        <w:tblLook w:firstColumn="1" w:firstRow="1" w:lastColumn="0" w:lastRow="0" w:noHBand="0" w:noVBand="1" w:val="04A0"/>
      </w:tblPr>
      <w:tblGrid>
        <w:gridCol w:w="5112"/>
        <w:gridCol w:w="5112"/>
      </w:tblGrid>
      <w:tr>
        <w:tc>
          <w:tcPr>
            <w:tcW w:type="dxa" w:w="5112"/>
            <w:shd w:fill="F5F1E8"/>
            <w:tcMar>
              <w:top w:w="130" w:type="dxa"/>
              <w:start w:w="150" w:type="dxa"/>
              <w:bottom w:w="130" w:type="dxa"/>
              <w:end w:w="150" w:type="dxa"/>
            </w:tcMar>
            <w:tcBorders>
              <w:top w:val="single" w:sz="5" w:color="C7903E"/>
              <w:left w:val="single" w:sz="5" w:color="C7903E"/>
              <w:bottom w:val="single" w:sz="5" w:color="C7903E"/>
              <w:right w:val="single" w:sz="5" w:color="C7903E"/>
            </w:tcBorders>
          </w:tcPr>
          <w:p>
            <w:r>
              <w:rPr>
                <w:b/>
                <w:color w:val="C7903E"/>
                <w:sz w:val="16"/>
              </w:rPr>
              <w:t>FALSE-READY / FALSE-CLEAN PRESSURE</w:t>
            </w:r>
          </w:p>
          <w:p>
            <w:r>
              <w:rPr>
                <w:sz w:val="18"/>
              </w:rPr>
              <w:t>Tracker-eligible candidates who fail current protocol evidence</w:t>
            </w:r>
          </w:p>
        </w:tc>
        <w:tc>
          <w:tcPr>
            <w:tcW w:type="dxa" w:w="5112"/>
            <w:shd w:fill="EAF4F5"/>
            <w:tcMar>
              <w:top w:w="130" w:type="dxa"/>
              <w:start w:w="150" w:type="dxa"/>
              <w:bottom w:w="130" w:type="dxa"/>
              <w:end w:w="150" w:type="dxa"/>
            </w:tcMar>
            <w:tcBorders>
              <w:top w:val="single" w:sz="5" w:color="145A64"/>
              <w:left w:val="single" w:sz="5" w:color="145A64"/>
              <w:bottom w:val="single" w:sz="5" w:color="145A64"/>
              <w:right w:val="single" w:sz="5" w:color="145A64"/>
            </w:tcBorders>
          </w:tcPr>
          <w:p>
            <w:r>
              <w:rPr>
                <w:b/>
                <w:color w:val="145A64"/>
                <w:sz w:val="16"/>
              </w:rPr>
              <w:t>COUNTERBALANCE PRESSURE</w:t>
            </w:r>
          </w:p>
          <w:p>
            <w:r>
              <w:rPr>
                <w:sz w:val="18"/>
              </w:rPr>
              <w:t>Final reports and protocol-specific addenda resolve apparent holds</w:t>
            </w:r>
          </w:p>
        </w:tc>
      </w:tr>
    </w:tbl>
    <w:p/>
    <w:p>
      <w:pPr>
        <w:pStyle w:val="Heading2"/>
      </w:pPr>
      <w:r>
        <w:t>What strong performance looks like</w:t>
      </w:r>
    </w:p>
    <w:p>
      <w:pPr>
        <w:pStyle w:val="ListBullet"/>
        <w:spacing w:after="40"/>
        <w:ind w:left="288" w:hanging="216"/>
      </w:pPr>
      <w:r>
        <w:t>Identifies the surface claim without inheriting it as truth.</w:t>
      </w:r>
    </w:p>
    <w:p>
      <w:pPr>
        <w:pStyle w:val="ListBullet"/>
        <w:spacing w:after="40"/>
        <w:ind w:left="288" w:hanging="216"/>
      </w:pPr>
      <w:r>
        <w:t>Finds the decisive current and authoritative evidence across the full source set.</w:t>
      </w:r>
    </w:p>
    <w:p>
      <w:pPr>
        <w:pStyle w:val="ListBullet"/>
        <w:spacing w:after="40"/>
        <w:ind w:left="288" w:hanging="216"/>
      </w:pPr>
      <w:r>
        <w:t>Explains contradictions, missing proof, and confidence level.</w:t>
      </w:r>
    </w:p>
    <w:p>
      <w:pPr>
        <w:pStyle w:val="ListBullet"/>
        <w:spacing w:after="40"/>
        <w:ind w:left="288" w:hanging="216"/>
      </w:pPr>
      <w:r>
        <w:t>Makes a proportionate decision and releases resolved apparent holds.</w:t>
      </w:r>
    </w:p>
    <w:p>
      <w:pPr>
        <w:pStyle w:val="ListBullet"/>
        <w:spacing w:after="40"/>
        <w:ind w:left="288" w:hanging="216"/>
      </w:pPr>
      <w:r>
        <w:t>Assigns owner actions without inventing unsupported facts.</w:t>
      </w:r>
    </w:p>
    <w:p>
      <w:pPr>
        <w:spacing w:before="80"/>
      </w:pPr>
      <w:r>
        <w:rPr>
          <w:b/>
          <w:color w:val="145A64"/>
        </w:rPr>
        <w:t xml:space="preserve">Package: </w:t>
      </w:r>
      <w:r>
        <w:t>30 source documents | 4 batch archives | system/task prompt | strict grading rubric | design notes</w:t>
      </w:r>
    </w:p>
    <w:p>
      <w:r>
        <w:br w:type="page"/>
      </w:r>
    </w:p>
    <w:p>
      <w:pPr>
        <w:spacing w:after="40"/>
      </w:pPr>
      <w:r>
        <w:rPr>
          <w:rFonts w:ascii="Arial" w:hAnsi="Arial"/>
          <w:b/>
          <w:color w:val="C7903E"/>
          <w:sz w:val="18"/>
        </w:rPr>
        <w:t>BENCHMARK 004</w:t>
      </w:r>
    </w:p>
    <w:p>
      <w:pPr>
        <w:pStyle w:val="Heading1"/>
        <w:spacing w:after="40"/>
      </w:pPr>
      <w:r>
        <w:t>Registry Enrollment Audit</w:t>
      </w:r>
    </w:p>
    <w:p>
      <w:pPr>
        <w:spacing w:after="160"/>
      </w:pPr>
      <w:r>
        <w:rPr>
          <w:i/>
          <w:color w:val="5A6C75"/>
          <w:sz w:val="21"/>
        </w:rPr>
        <w:t>Population health registry and colorectal screening outreach</w:t>
      </w:r>
    </w:p>
    <w:tbl>
      <w:tblPr>
        <w:tblW w:type="auto" w:w="0"/>
        <w:jc w:val="center"/>
        <w:tblLayout w:type="fixed"/>
        <w:tblLook w:firstColumn="1" w:firstRow="1" w:lastColumn="0" w:lastRow="0" w:noHBand="0" w:noVBand="1" w:val="04A0"/>
      </w:tblPr>
      <w:tblGrid>
        <w:gridCol w:w="10224"/>
      </w:tblGrid>
      <w:tr>
        <w:tc>
          <w:tcPr>
            <w:tcW w:type="dxa" w:w="10224"/>
            <w:shd w:fill="EAF4F5"/>
            <w:tcMar>
              <w:top w:w="180" w:type="dxa"/>
              <w:start w:w="220" w:type="dxa"/>
              <w:bottom w:w="180" w:type="dxa"/>
              <w:end w:w="220" w:type="dxa"/>
            </w:tcMar>
            <w:tcBorders>
              <w:top w:val="single" w:sz="8" w:color="145A64"/>
              <w:left w:val="single" w:sz="8" w:color="145A64"/>
              <w:bottom w:val="single" w:sz="8" w:color="145A64"/>
              <w:right w:val="single" w:sz="8" w:color="145A64"/>
            </w:tcBorders>
          </w:tcPr>
          <w:p>
            <w:pPr>
              <w:jc w:val="center"/>
            </w:pPr>
            <w:r>
              <w:rPr>
                <w:rFonts w:ascii="Georgia" w:hAnsi="Georgia"/>
                <w:b/>
                <w:i/>
                <w:color w:val="20323D"/>
                <w:sz w:val="24"/>
              </w:rPr>
              <w:t>Has the patient earned inclusion, exclusion, suppression, or outreach?</w:t>
            </w:r>
          </w:p>
        </w:tc>
      </w:tr>
    </w:tbl>
    <w:p>
      <w:pPr>
        <w:spacing w:after="0"/>
      </w:pPr>
    </w:p>
    <w:p>
      <w:pPr>
        <w:spacing w:after="60"/>
      </w:pPr>
      <w:r>
        <w:rPr>
          <w:b/>
          <w:color w:val="145A64"/>
          <w:sz w:val="17"/>
        </w:rPr>
        <w:t xml:space="preserve">PURPOSE  </w:t>
      </w:r>
      <w:r>
        <w:rPr>
          <w:color w:val="1F2933"/>
          <w:sz w:val="20"/>
        </w:rPr>
        <w:t>Audits registry labels against outside records, patient identity, procedure quality, screening intervals, high-risk factors, and stale exclusions.</w:t>
      </w:r>
    </w:p>
    <w:p>
      <w:pPr>
        <w:spacing w:after="60"/>
      </w:pPr>
      <w:r>
        <w:rPr>
          <w:b/>
          <w:color w:val="145A64"/>
          <w:sz w:val="17"/>
        </w:rPr>
        <w:t xml:space="preserve">KEY EVIDENCE PRESSURE  </w:t>
      </w:r>
      <w:r>
        <w:rPr>
          <w:color w:val="1F2933"/>
          <w:sz w:val="20"/>
        </w:rPr>
        <w:t>Outside record matching; spouse-result mismatch; incomplete colonoscopy; scheduled vs completed; total vs segmental colectomy; stale hospice flags.</w:t>
      </w:r>
    </w:p>
    <w:p>
      <w:pPr>
        <w:spacing w:after="60"/>
      </w:pPr>
      <w:r>
        <w:rPr>
          <w:b/>
          <w:color w:val="145A64"/>
          <w:sz w:val="17"/>
        </w:rPr>
        <w:t xml:space="preserve">DECISION CLASSES  </w:t>
      </w:r>
      <w:r>
        <w:rPr>
          <w:color w:val="1F2933"/>
          <w:sz w:val="20"/>
        </w:rPr>
        <w:t>Outreach; suppress; exclude; update; hold; escalate; release</w:t>
      </w:r>
    </w:p>
    <w:tbl>
      <w:tblPr>
        <w:tblW w:type="auto" w:w="0"/>
        <w:jc w:val="center"/>
        <w:tblLook w:firstColumn="1" w:firstRow="1" w:lastColumn="0" w:lastRow="0" w:noHBand="0" w:noVBand="1" w:val="04A0"/>
      </w:tblPr>
      <w:tblGrid>
        <w:gridCol w:w="5112"/>
        <w:gridCol w:w="5112"/>
      </w:tblGrid>
      <w:tr>
        <w:tc>
          <w:tcPr>
            <w:tcW w:type="dxa" w:w="5112"/>
            <w:shd w:fill="F5F1E8"/>
            <w:tcMar>
              <w:top w:w="130" w:type="dxa"/>
              <w:start w:w="150" w:type="dxa"/>
              <w:bottom w:w="130" w:type="dxa"/>
              <w:end w:w="150" w:type="dxa"/>
            </w:tcMar>
            <w:tcBorders>
              <w:top w:val="single" w:sz="5" w:color="C7903E"/>
              <w:left w:val="single" w:sz="5" w:color="C7903E"/>
              <w:bottom w:val="single" w:sz="5" w:color="C7903E"/>
              <w:right w:val="single" w:sz="5" w:color="C7903E"/>
            </w:tcBorders>
          </w:tcPr>
          <w:p>
            <w:r>
              <w:rPr>
                <w:b/>
                <w:color w:val="C7903E"/>
                <w:sz w:val="16"/>
              </w:rPr>
              <w:t>FALSE-READY / FALSE-CLEAN PRESSURE</w:t>
            </w:r>
          </w:p>
          <w:p>
            <w:r>
              <w:rPr>
                <w:sz w:val="18"/>
              </w:rPr>
              <w:t>Incorrect overdue, complete, or exclusion labels</w:t>
            </w:r>
          </w:p>
        </w:tc>
        <w:tc>
          <w:tcPr>
            <w:tcW w:type="dxa" w:w="5112"/>
            <w:shd w:fill="EAF4F5"/>
            <w:tcMar>
              <w:top w:w="130" w:type="dxa"/>
              <w:start w:w="150" w:type="dxa"/>
              <w:bottom w:w="130" w:type="dxa"/>
              <w:end w:w="150" w:type="dxa"/>
            </w:tcMar>
            <w:tcBorders>
              <w:top w:val="single" w:sz="5" w:color="145A64"/>
              <w:left w:val="single" w:sz="5" w:color="145A64"/>
              <w:bottom w:val="single" w:sz="5" w:color="145A64"/>
              <w:right w:val="single" w:sz="5" w:color="145A64"/>
            </w:tcBorders>
          </w:tcPr>
          <w:p>
            <w:r>
              <w:rPr>
                <w:b/>
                <w:color w:val="145A64"/>
                <w:sz w:val="16"/>
              </w:rPr>
              <w:t>COUNTERBALANCE PRESSURE</w:t>
            </w:r>
          </w:p>
          <w:p>
            <w:r>
              <w:rPr>
                <w:sz w:val="18"/>
              </w:rPr>
              <w:t>Matched external evidence resolves missing-result and stale-hold cases</w:t>
            </w:r>
          </w:p>
        </w:tc>
      </w:tr>
    </w:tbl>
    <w:p/>
    <w:p>
      <w:pPr>
        <w:pStyle w:val="Heading2"/>
      </w:pPr>
      <w:r>
        <w:t>What strong performance looks like</w:t>
      </w:r>
    </w:p>
    <w:p>
      <w:pPr>
        <w:pStyle w:val="ListBullet"/>
        <w:spacing w:after="40"/>
        <w:ind w:left="288" w:hanging="216"/>
      </w:pPr>
      <w:r>
        <w:t>Identifies the surface claim without inheriting it as truth.</w:t>
      </w:r>
    </w:p>
    <w:p>
      <w:pPr>
        <w:pStyle w:val="ListBullet"/>
        <w:spacing w:after="40"/>
        <w:ind w:left="288" w:hanging="216"/>
      </w:pPr>
      <w:r>
        <w:t>Finds the decisive current and authoritative evidence across the full source set.</w:t>
      </w:r>
    </w:p>
    <w:p>
      <w:pPr>
        <w:pStyle w:val="ListBullet"/>
        <w:spacing w:after="40"/>
        <w:ind w:left="288" w:hanging="216"/>
      </w:pPr>
      <w:r>
        <w:t>Explains contradictions, missing proof, and confidence level.</w:t>
      </w:r>
    </w:p>
    <w:p>
      <w:pPr>
        <w:pStyle w:val="ListBullet"/>
        <w:spacing w:after="40"/>
        <w:ind w:left="288" w:hanging="216"/>
      </w:pPr>
      <w:r>
        <w:t>Makes a proportionate decision and releases resolved apparent holds.</w:t>
      </w:r>
    </w:p>
    <w:p>
      <w:pPr>
        <w:pStyle w:val="ListBullet"/>
        <w:spacing w:after="40"/>
        <w:ind w:left="288" w:hanging="216"/>
      </w:pPr>
      <w:r>
        <w:t>Assigns owner actions without inventing unsupported facts.</w:t>
      </w:r>
    </w:p>
    <w:p>
      <w:pPr>
        <w:spacing w:before="80"/>
      </w:pPr>
      <w:r>
        <w:rPr>
          <w:b/>
          <w:color w:val="145A64"/>
        </w:rPr>
        <w:t xml:space="preserve">Package: </w:t>
      </w:r>
      <w:r>
        <w:t>30 source documents | 4 batch archives | system/task prompt | strict grading rubric | design notes</w:t>
      </w:r>
    </w:p>
    <w:p>
      <w:r>
        <w:br w:type="page"/>
      </w:r>
    </w:p>
    <w:p>
      <w:pPr>
        <w:spacing w:after="40"/>
      </w:pPr>
      <w:r>
        <w:rPr>
          <w:rFonts w:ascii="Arial" w:hAnsi="Arial"/>
          <w:b/>
          <w:color w:val="C7903E"/>
          <w:sz w:val="18"/>
        </w:rPr>
        <w:t>BENCHMARK 005</w:t>
      </w:r>
    </w:p>
    <w:p>
      <w:pPr>
        <w:pStyle w:val="Heading1"/>
        <w:spacing w:after="40"/>
      </w:pPr>
      <w:r>
        <w:t>Medical Necessity Documentation Review - Post-Acute Services</w:t>
      </w:r>
    </w:p>
    <w:p>
      <w:pPr>
        <w:spacing w:after="160"/>
      </w:pPr>
      <w:r>
        <w:rPr>
          <w:i/>
          <w:color w:val="5A6C75"/>
          <w:sz w:val="21"/>
        </w:rPr>
        <w:t>Home health, DME, wound therapy, oxygen, infusion, and outpatient therapy</w:t>
      </w:r>
    </w:p>
    <w:tbl>
      <w:tblPr>
        <w:tblW w:type="auto" w:w="0"/>
        <w:jc w:val="center"/>
        <w:tblLayout w:type="fixed"/>
        <w:tblLook w:firstColumn="1" w:firstRow="1" w:lastColumn="0" w:lastRow="0" w:noHBand="0" w:noVBand="1" w:val="04A0"/>
      </w:tblPr>
      <w:tblGrid>
        <w:gridCol w:w="10224"/>
      </w:tblGrid>
      <w:tr>
        <w:tc>
          <w:tcPr>
            <w:tcW w:type="dxa" w:w="10224"/>
            <w:shd w:fill="EAF4F5"/>
            <w:tcMar>
              <w:top w:w="180" w:type="dxa"/>
              <w:start w:w="220" w:type="dxa"/>
              <w:bottom w:w="180" w:type="dxa"/>
              <w:end w:w="220" w:type="dxa"/>
            </w:tcMar>
            <w:tcBorders>
              <w:top w:val="single" w:sz="8" w:color="145A64"/>
              <w:left w:val="single" w:sz="8" w:color="145A64"/>
              <w:bottom w:val="single" w:sz="8" w:color="145A64"/>
              <w:right w:val="single" w:sz="8" w:color="145A64"/>
            </w:tcBorders>
          </w:tcPr>
          <w:p>
            <w:pPr>
              <w:jc w:val="center"/>
            </w:pPr>
            <w:r>
              <w:rPr>
                <w:rFonts w:ascii="Georgia" w:hAnsi="Georgia"/>
                <w:b/>
                <w:i/>
                <w:color w:val="20323D"/>
                <w:sz w:val="24"/>
              </w:rPr>
              <w:t>Has the service earned a medically necessary determination?</w:t>
            </w:r>
          </w:p>
        </w:tc>
      </w:tr>
    </w:tbl>
    <w:p>
      <w:pPr>
        <w:spacing w:after="0"/>
      </w:pPr>
    </w:p>
    <w:p>
      <w:pPr>
        <w:spacing w:after="60"/>
      </w:pPr>
      <w:r>
        <w:rPr>
          <w:b/>
          <w:color w:val="145A64"/>
          <w:sz w:val="17"/>
        </w:rPr>
        <w:t xml:space="preserve">PURPOSE  </w:t>
      </w:r>
      <w:r>
        <w:rPr>
          <w:color w:val="1F2933"/>
          <w:sz w:val="20"/>
        </w:rPr>
        <w:t>Determines whether post-acute service requests are supported by patient-specific skilled-need, functional, safety, and treatment evidence rather than signed forms or supplier-ready packets.</w:t>
      </w:r>
    </w:p>
    <w:p>
      <w:pPr>
        <w:spacing w:after="60"/>
      </w:pPr>
      <w:r>
        <w:rPr>
          <w:b/>
          <w:color w:val="145A64"/>
          <w:sz w:val="17"/>
        </w:rPr>
        <w:t xml:space="preserve">KEY EVIDENCE PRESSURE  </w:t>
      </w:r>
      <w:r>
        <w:rPr>
          <w:color w:val="1F2933"/>
          <w:sz w:val="20"/>
        </w:rPr>
        <w:t>Template language; service-specific criteria; skilled need; homebound status; wound and oxygen proof; copied forms; later supporting notes.</w:t>
      </w:r>
    </w:p>
    <w:p>
      <w:pPr>
        <w:spacing w:after="60"/>
      </w:pPr>
      <w:r>
        <w:rPr>
          <w:b/>
          <w:color w:val="145A64"/>
          <w:sz w:val="17"/>
        </w:rPr>
        <w:t xml:space="preserve">DECISION CLASSES  </w:t>
      </w:r>
      <w:r>
        <w:rPr>
          <w:color w:val="1F2933"/>
          <w:sz w:val="20"/>
        </w:rPr>
        <w:t>Support; hold; correct; escalate; deny/withdraw; release from hold</w:t>
      </w:r>
    </w:p>
    <w:tbl>
      <w:tblPr>
        <w:tblW w:type="auto" w:w="0"/>
        <w:jc w:val="center"/>
        <w:tblLook w:firstColumn="1" w:firstRow="1" w:lastColumn="0" w:lastRow="0" w:noHBand="0" w:noVBand="1" w:val="04A0"/>
      </w:tblPr>
      <w:tblGrid>
        <w:gridCol w:w="5112"/>
        <w:gridCol w:w="5112"/>
      </w:tblGrid>
      <w:tr>
        <w:tc>
          <w:tcPr>
            <w:tcW w:type="dxa" w:w="5112"/>
            <w:shd w:fill="F5F1E8"/>
            <w:tcMar>
              <w:top w:w="130" w:type="dxa"/>
              <w:start w:w="150" w:type="dxa"/>
              <w:bottom w:w="130" w:type="dxa"/>
              <w:end w:w="150" w:type="dxa"/>
            </w:tcMar>
            <w:tcBorders>
              <w:top w:val="single" w:sz="5" w:color="C7903E"/>
              <w:left w:val="single" w:sz="5" w:color="C7903E"/>
              <w:bottom w:val="single" w:sz="5" w:color="C7903E"/>
              <w:right w:val="single" w:sz="5" w:color="C7903E"/>
            </w:tcBorders>
          </w:tcPr>
          <w:p>
            <w:r>
              <w:rPr>
                <w:b/>
                <w:color w:val="C7903E"/>
                <w:sz w:val="16"/>
              </w:rPr>
              <w:t>FALSE-READY / FALSE-CLEAN PRESSURE</w:t>
            </w:r>
          </w:p>
          <w:p>
            <w:r>
              <w:rPr>
                <w:sz w:val="18"/>
              </w:rPr>
              <w:t>Signed or supplier-ready packets without service-specific proof</w:t>
            </w:r>
          </w:p>
        </w:tc>
        <w:tc>
          <w:tcPr>
            <w:tcW w:type="dxa" w:w="5112"/>
            <w:shd w:fill="EAF4F5"/>
            <w:tcMar>
              <w:top w:w="130" w:type="dxa"/>
              <w:start w:w="150" w:type="dxa"/>
              <w:bottom w:w="130" w:type="dxa"/>
              <w:end w:w="150" w:type="dxa"/>
            </w:tcMar>
            <w:tcBorders>
              <w:top w:val="single" w:sz="5" w:color="145A64"/>
              <w:left w:val="single" w:sz="5" w:color="145A64"/>
              <w:bottom w:val="single" w:sz="5" w:color="145A64"/>
              <w:right w:val="single" w:sz="5" w:color="145A64"/>
            </w:tcBorders>
          </w:tcPr>
          <w:p>
            <w:r>
              <w:rPr>
                <w:b/>
                <w:color w:val="145A64"/>
                <w:sz w:val="16"/>
              </w:rPr>
              <w:t>COUNTERBALANCE PRESSURE</w:t>
            </w:r>
          </w:p>
          <w:p>
            <w:r>
              <w:rPr>
                <w:sz w:val="18"/>
              </w:rPr>
              <w:t>Later documentation fully supports requests still carrying stale holds</w:t>
            </w:r>
          </w:p>
        </w:tc>
      </w:tr>
    </w:tbl>
    <w:p/>
    <w:p>
      <w:pPr>
        <w:pStyle w:val="Heading2"/>
      </w:pPr>
      <w:r>
        <w:t>What strong performance looks like</w:t>
      </w:r>
    </w:p>
    <w:p>
      <w:pPr>
        <w:pStyle w:val="ListBullet"/>
        <w:spacing w:after="40"/>
        <w:ind w:left="288" w:hanging="216"/>
      </w:pPr>
      <w:r>
        <w:t>Identifies the surface claim without inheriting it as truth.</w:t>
      </w:r>
    </w:p>
    <w:p>
      <w:pPr>
        <w:pStyle w:val="ListBullet"/>
        <w:spacing w:after="40"/>
        <w:ind w:left="288" w:hanging="216"/>
      </w:pPr>
      <w:r>
        <w:t>Finds the decisive current and authoritative evidence across the full source set.</w:t>
      </w:r>
    </w:p>
    <w:p>
      <w:pPr>
        <w:pStyle w:val="ListBullet"/>
        <w:spacing w:after="40"/>
        <w:ind w:left="288" w:hanging="216"/>
      </w:pPr>
      <w:r>
        <w:t>Explains contradictions, missing proof, and confidence level.</w:t>
      </w:r>
    </w:p>
    <w:p>
      <w:pPr>
        <w:pStyle w:val="ListBullet"/>
        <w:spacing w:after="40"/>
        <w:ind w:left="288" w:hanging="216"/>
      </w:pPr>
      <w:r>
        <w:t>Makes a proportionate decision and releases resolved apparent holds.</w:t>
      </w:r>
    </w:p>
    <w:p>
      <w:pPr>
        <w:pStyle w:val="ListBullet"/>
        <w:spacing w:after="40"/>
        <w:ind w:left="288" w:hanging="216"/>
      </w:pPr>
      <w:r>
        <w:t>Assigns owner actions without inventing unsupported facts.</w:t>
      </w:r>
    </w:p>
    <w:p>
      <w:pPr>
        <w:spacing w:before="80"/>
      </w:pPr>
      <w:r>
        <w:rPr>
          <w:b/>
          <w:color w:val="145A64"/>
        </w:rPr>
        <w:t xml:space="preserve">Package: </w:t>
      </w:r>
      <w:r>
        <w:t>30 source documents | 4 batch archives | system/task prompt | strict grading rubric | design notes</w:t>
      </w:r>
    </w:p>
    <w:p>
      <w:r>
        <w:br w:type="page"/>
      </w:r>
    </w:p>
    <w:p>
      <w:pPr>
        <w:spacing w:after="40"/>
      </w:pPr>
      <w:r>
        <w:rPr>
          <w:rFonts w:ascii="Arial" w:hAnsi="Arial"/>
          <w:b/>
          <w:color w:val="C7903E"/>
          <w:sz w:val="18"/>
        </w:rPr>
        <w:t>BENCHMARK 006</w:t>
      </w:r>
    </w:p>
    <w:p>
      <w:pPr>
        <w:pStyle w:val="Heading1"/>
        <w:spacing w:after="40"/>
      </w:pPr>
      <w:r>
        <w:t>Medical Necessity Documentation Review - Utilization Management</w:t>
      </w:r>
    </w:p>
    <w:p>
      <w:pPr>
        <w:spacing w:after="160"/>
      </w:pPr>
      <w:r>
        <w:rPr>
          <w:i/>
          <w:color w:val="5A6C75"/>
          <w:sz w:val="21"/>
        </w:rPr>
        <w:t>Imaging, procedures, treatment history, and exception pathways</w:t>
      </w:r>
    </w:p>
    <w:tbl>
      <w:tblPr>
        <w:tblW w:type="auto" w:w="0"/>
        <w:jc w:val="center"/>
        <w:tblLayout w:type="fixed"/>
        <w:tblLook w:firstColumn="1" w:firstRow="1" w:lastColumn="0" w:lastRow="0" w:noHBand="0" w:noVBand="1" w:val="04A0"/>
      </w:tblPr>
      <w:tblGrid>
        <w:gridCol w:w="10224"/>
      </w:tblGrid>
      <w:tr>
        <w:tc>
          <w:tcPr>
            <w:tcW w:type="dxa" w:w="10224"/>
            <w:shd w:fill="EAF4F5"/>
            <w:tcMar>
              <w:top w:w="180" w:type="dxa"/>
              <w:start w:w="220" w:type="dxa"/>
              <w:bottom w:w="180" w:type="dxa"/>
              <w:end w:w="220" w:type="dxa"/>
            </w:tcMar>
            <w:tcBorders>
              <w:top w:val="single" w:sz="8" w:color="145A64"/>
              <w:left w:val="single" w:sz="8" w:color="145A64"/>
              <w:bottom w:val="single" w:sz="8" w:color="145A64"/>
              <w:right w:val="single" w:sz="8" w:color="145A64"/>
            </w:tcBorders>
          </w:tcPr>
          <w:p>
            <w:pPr>
              <w:jc w:val="center"/>
            </w:pPr>
            <w:r>
              <w:rPr>
                <w:rFonts w:ascii="Georgia" w:hAnsi="Georgia"/>
                <w:b/>
                <w:i/>
                <w:color w:val="20323D"/>
                <w:sz w:val="24"/>
              </w:rPr>
              <w:t>Has medical necessity been established for this service and patient?</w:t>
            </w:r>
          </w:p>
        </w:tc>
      </w:tr>
    </w:tbl>
    <w:p>
      <w:pPr>
        <w:spacing w:after="0"/>
      </w:pPr>
    </w:p>
    <w:p>
      <w:pPr>
        <w:spacing w:after="60"/>
      </w:pPr>
      <w:r>
        <w:rPr>
          <w:b/>
          <w:color w:val="145A64"/>
          <w:sz w:val="17"/>
        </w:rPr>
        <w:t xml:space="preserve">PURPOSE  </w:t>
      </w:r>
      <w:r>
        <w:rPr>
          <w:color w:val="1F2933"/>
          <w:sz w:val="20"/>
        </w:rPr>
        <w:t>Reviews diagnostic and procedural requests for current symptoms, conservative treatment, body-region matching, procedure history, contraindications, and urgent exceptions.</w:t>
      </w:r>
    </w:p>
    <w:p>
      <w:pPr>
        <w:spacing w:after="60"/>
      </w:pPr>
      <w:r>
        <w:rPr>
          <w:b/>
          <w:color w:val="145A64"/>
          <w:sz w:val="17"/>
        </w:rPr>
        <w:t xml:space="preserve">KEY EVIDENCE PRESSURE  </w:t>
      </w:r>
      <w:r>
        <w:rPr>
          <w:color w:val="1F2933"/>
          <w:sz w:val="20"/>
        </w:rPr>
        <w:t>Wrong body region; stale therapy; prescribed vs completed treatment; symptom-duration rules; identity mismatch; urgent exceptions; later addenda.</w:t>
      </w:r>
    </w:p>
    <w:p>
      <w:pPr>
        <w:spacing w:after="60"/>
      </w:pPr>
      <w:r>
        <w:rPr>
          <w:b/>
          <w:color w:val="145A64"/>
          <w:sz w:val="17"/>
        </w:rPr>
        <w:t xml:space="preserve">DECISION CLASSES  </w:t>
      </w:r>
      <w:r>
        <w:rPr>
          <w:color w:val="1F2933"/>
          <w:sz w:val="20"/>
        </w:rPr>
        <w:t>Submit/approve pathway; hold; correct; withdraw; escalate; release from hold</w:t>
      </w:r>
    </w:p>
    <w:tbl>
      <w:tblPr>
        <w:tblW w:type="auto" w:w="0"/>
        <w:jc w:val="center"/>
        <w:tblLook w:firstColumn="1" w:firstRow="1" w:lastColumn="0" w:lastRow="0" w:noHBand="0" w:noVBand="1" w:val="04A0"/>
      </w:tblPr>
      <w:tblGrid>
        <w:gridCol w:w="5112"/>
        <w:gridCol w:w="5112"/>
      </w:tblGrid>
      <w:tr>
        <w:tc>
          <w:tcPr>
            <w:tcW w:type="dxa" w:w="5112"/>
            <w:shd w:fill="F5F1E8"/>
            <w:tcMar>
              <w:top w:w="130" w:type="dxa"/>
              <w:start w:w="150" w:type="dxa"/>
              <w:bottom w:w="130" w:type="dxa"/>
              <w:end w:w="150" w:type="dxa"/>
            </w:tcMar>
            <w:tcBorders>
              <w:top w:val="single" w:sz="5" w:color="C7903E"/>
              <w:left w:val="single" w:sz="5" w:color="C7903E"/>
              <w:bottom w:val="single" w:sz="5" w:color="C7903E"/>
              <w:right w:val="single" w:sz="5" w:color="C7903E"/>
            </w:tcBorders>
          </w:tcPr>
          <w:p>
            <w:r>
              <w:rPr>
                <w:b/>
                <w:color w:val="C7903E"/>
                <w:sz w:val="16"/>
              </w:rPr>
              <w:t>FALSE-READY / FALSE-CLEAN PRESSURE</w:t>
            </w:r>
          </w:p>
          <w:p>
            <w:r>
              <w:rPr>
                <w:sz w:val="18"/>
              </w:rPr>
              <w:t>Complete-looking packets that fail patient-, region-, timing-, or treatment-specific criteria</w:t>
            </w:r>
          </w:p>
        </w:tc>
        <w:tc>
          <w:tcPr>
            <w:tcW w:type="dxa" w:w="5112"/>
            <w:shd w:fill="EAF4F5"/>
            <w:tcMar>
              <w:top w:w="130" w:type="dxa"/>
              <w:start w:w="150" w:type="dxa"/>
              <w:bottom w:w="130" w:type="dxa"/>
              <w:end w:w="150" w:type="dxa"/>
            </w:tcMar>
            <w:tcBorders>
              <w:top w:val="single" w:sz="5" w:color="145A64"/>
              <w:left w:val="single" w:sz="5" w:color="145A64"/>
              <w:bottom w:val="single" w:sz="5" w:color="145A64"/>
              <w:right w:val="single" w:sz="5" w:color="145A64"/>
            </w:tcBorders>
          </w:tcPr>
          <w:p>
            <w:r>
              <w:rPr>
                <w:b/>
                <w:color w:val="145A64"/>
                <w:sz w:val="16"/>
              </w:rPr>
              <w:t>COUNTERBALANCE PRESSURE</w:t>
            </w:r>
          </w:p>
          <w:p>
            <w:r>
              <w:rPr>
                <w:sz w:val="18"/>
              </w:rPr>
              <w:t>Current examinations and authoritative outside evidence resolve apparent gaps</w:t>
            </w:r>
          </w:p>
        </w:tc>
      </w:tr>
    </w:tbl>
    <w:p/>
    <w:p>
      <w:pPr>
        <w:pStyle w:val="Heading2"/>
      </w:pPr>
      <w:r>
        <w:t>What strong performance looks like</w:t>
      </w:r>
    </w:p>
    <w:p>
      <w:pPr>
        <w:pStyle w:val="ListBullet"/>
        <w:spacing w:after="40"/>
        <w:ind w:left="288" w:hanging="216"/>
      </w:pPr>
      <w:r>
        <w:t>Identifies the surface claim without inheriting it as truth.</w:t>
      </w:r>
    </w:p>
    <w:p>
      <w:pPr>
        <w:pStyle w:val="ListBullet"/>
        <w:spacing w:after="40"/>
        <w:ind w:left="288" w:hanging="216"/>
      </w:pPr>
      <w:r>
        <w:t>Finds the decisive current and authoritative evidence across the full source set.</w:t>
      </w:r>
    </w:p>
    <w:p>
      <w:pPr>
        <w:pStyle w:val="ListBullet"/>
        <w:spacing w:after="40"/>
        <w:ind w:left="288" w:hanging="216"/>
      </w:pPr>
      <w:r>
        <w:t>Explains contradictions, missing proof, and confidence level.</w:t>
      </w:r>
    </w:p>
    <w:p>
      <w:pPr>
        <w:pStyle w:val="ListBullet"/>
        <w:spacing w:after="40"/>
        <w:ind w:left="288" w:hanging="216"/>
      </w:pPr>
      <w:r>
        <w:t>Makes a proportionate decision and releases resolved apparent holds.</w:t>
      </w:r>
    </w:p>
    <w:p>
      <w:pPr>
        <w:pStyle w:val="ListBullet"/>
        <w:spacing w:after="40"/>
        <w:ind w:left="288" w:hanging="216"/>
      </w:pPr>
      <w:r>
        <w:t>Assigns owner actions without inventing unsupported facts.</w:t>
      </w:r>
    </w:p>
    <w:p>
      <w:pPr>
        <w:spacing w:before="80"/>
      </w:pPr>
      <w:r>
        <w:rPr>
          <w:b/>
          <w:color w:val="145A64"/>
        </w:rPr>
        <w:t xml:space="preserve">Package: </w:t>
      </w:r>
      <w:r>
        <w:t>30 source documents | 4 batch archives | system/task prompt | strict grading rubric | design notes</w:t>
      </w:r>
    </w:p>
    <w:p>
      <w:r>
        <w:br w:type="page"/>
      </w:r>
    </w:p>
    <w:p>
      <w:pPr>
        <w:spacing w:after="40"/>
      </w:pPr>
      <w:r>
        <w:rPr>
          <w:rFonts w:ascii="Arial" w:hAnsi="Arial"/>
          <w:b/>
          <w:color w:val="C7903E"/>
          <w:sz w:val="18"/>
        </w:rPr>
        <w:t>BENCHMARK 007</w:t>
      </w:r>
    </w:p>
    <w:p>
      <w:pPr>
        <w:pStyle w:val="Heading1"/>
        <w:spacing w:after="40"/>
      </w:pPr>
      <w:r>
        <w:t>Quality Measure Inclusion Validation</w:t>
      </w:r>
    </w:p>
    <w:p>
      <w:pPr>
        <w:spacing w:after="160"/>
      </w:pPr>
      <w:r>
        <w:rPr>
          <w:i/>
          <w:color w:val="5A6C75"/>
          <w:sz w:val="21"/>
        </w:rPr>
        <w:t>Hypertension measure denominator, exclusion, and numerator review</w:t>
      </w:r>
    </w:p>
    <w:tbl>
      <w:tblPr>
        <w:tblW w:type="auto" w:w="0"/>
        <w:jc w:val="center"/>
        <w:tblLayout w:type="fixed"/>
        <w:tblLook w:firstColumn="1" w:firstRow="1" w:lastColumn="0" w:lastRow="0" w:noHBand="0" w:noVBand="1" w:val="04A0"/>
      </w:tblPr>
      <w:tblGrid>
        <w:gridCol w:w="10224"/>
      </w:tblGrid>
      <w:tr>
        <w:tc>
          <w:tcPr>
            <w:tcW w:type="dxa" w:w="10224"/>
            <w:shd w:fill="EAF4F5"/>
            <w:tcMar>
              <w:top w:w="180" w:type="dxa"/>
              <w:start w:w="220" w:type="dxa"/>
              <w:bottom w:w="180" w:type="dxa"/>
              <w:end w:w="220" w:type="dxa"/>
            </w:tcMar>
            <w:tcBorders>
              <w:top w:val="single" w:sz="8" w:color="145A64"/>
              <w:left w:val="single" w:sz="8" w:color="145A64"/>
              <w:bottom w:val="single" w:sz="8" w:color="145A64"/>
              <w:right w:val="single" w:sz="8" w:color="145A64"/>
            </w:tcBorders>
          </w:tcPr>
          <w:p>
            <w:pPr>
              <w:jc w:val="center"/>
            </w:pPr>
            <w:r>
              <w:rPr>
                <w:rFonts w:ascii="Georgia" w:hAnsi="Georgia"/>
                <w:b/>
                <w:i/>
                <w:color w:val="20323D"/>
                <w:sz w:val="24"/>
              </w:rPr>
              <w:t>Has the patient earned inclusion, exclusion, compliance, or hold status?</w:t>
            </w:r>
          </w:p>
        </w:tc>
      </w:tr>
    </w:tbl>
    <w:p>
      <w:pPr>
        <w:spacing w:after="0"/>
      </w:pPr>
    </w:p>
    <w:p>
      <w:pPr>
        <w:spacing w:after="60"/>
      </w:pPr>
      <w:r>
        <w:rPr>
          <w:b/>
          <w:color w:val="145A64"/>
          <w:sz w:val="17"/>
        </w:rPr>
        <w:t xml:space="preserve">PURPOSE  </w:t>
      </w:r>
      <w:r>
        <w:rPr>
          <w:color w:val="1F2933"/>
          <w:sz w:val="20"/>
        </w:rPr>
        <w:t>Separates denominator membership, valid exclusions, and numerator compliance rather than inheriting a compressed dashboard status.</w:t>
      </w:r>
    </w:p>
    <w:p>
      <w:pPr>
        <w:spacing w:after="60"/>
      </w:pPr>
      <w:r>
        <w:rPr>
          <w:b/>
          <w:color w:val="145A64"/>
          <w:sz w:val="17"/>
        </w:rPr>
        <w:t xml:space="preserve">KEY EVIDENCE PRESSURE  </w:t>
      </w:r>
      <w:r>
        <w:rPr>
          <w:color w:val="1F2933"/>
          <w:sz w:val="20"/>
        </w:rPr>
        <w:t>Qualifying encounters; BP source rules; exclusion evidence; repeat readings; outside values; dates; stale status; denominator vs numerator conflation.</w:t>
      </w:r>
    </w:p>
    <w:p>
      <w:pPr>
        <w:spacing w:after="60"/>
      </w:pPr>
      <w:r>
        <w:rPr>
          <w:b/>
          <w:color w:val="145A64"/>
          <w:sz w:val="17"/>
        </w:rPr>
        <w:t xml:space="preserve">DECISION CLASSES  </w:t>
      </w:r>
      <w:r>
        <w:rPr>
          <w:color w:val="1F2933"/>
          <w:sz w:val="20"/>
        </w:rPr>
        <w:t>Include; exclude; compliant; noncompliant; hold; release</w:t>
      </w:r>
    </w:p>
    <w:tbl>
      <w:tblPr>
        <w:tblW w:type="auto" w:w="0"/>
        <w:jc w:val="center"/>
        <w:tblLook w:firstColumn="1" w:firstRow="1" w:lastColumn="0" w:lastRow="0" w:noHBand="0" w:noVBand="1" w:val="04A0"/>
      </w:tblPr>
      <w:tblGrid>
        <w:gridCol w:w="5112"/>
        <w:gridCol w:w="5112"/>
      </w:tblGrid>
      <w:tr>
        <w:tc>
          <w:tcPr>
            <w:tcW w:type="dxa" w:w="5112"/>
            <w:shd w:fill="F5F1E8"/>
            <w:tcMar>
              <w:top w:w="130" w:type="dxa"/>
              <w:start w:w="150" w:type="dxa"/>
              <w:bottom w:w="130" w:type="dxa"/>
              <w:end w:w="150" w:type="dxa"/>
            </w:tcMar>
            <w:tcBorders>
              <w:top w:val="single" w:sz="5" w:color="C7903E"/>
              <w:left w:val="single" w:sz="5" w:color="C7903E"/>
              <w:bottom w:val="single" w:sz="5" w:color="C7903E"/>
              <w:right w:val="single" w:sz="5" w:color="C7903E"/>
            </w:tcBorders>
          </w:tcPr>
          <w:p>
            <w:r>
              <w:rPr>
                <w:b/>
                <w:color w:val="C7903E"/>
                <w:sz w:val="16"/>
              </w:rPr>
              <w:t>FALSE-READY / FALSE-CLEAN PRESSURE</w:t>
            </w:r>
          </w:p>
          <w:p>
            <w:r>
              <w:rPr>
                <w:sz w:val="18"/>
              </w:rPr>
              <w:t>Dashboard classifications that collapse independent measure determinations</w:t>
            </w:r>
          </w:p>
        </w:tc>
        <w:tc>
          <w:tcPr>
            <w:tcW w:type="dxa" w:w="5112"/>
            <w:shd w:fill="EAF4F5"/>
            <w:tcMar>
              <w:top w:w="130" w:type="dxa"/>
              <w:start w:w="150" w:type="dxa"/>
              <w:bottom w:w="130" w:type="dxa"/>
              <w:end w:w="150" w:type="dxa"/>
            </w:tcMar>
            <w:tcBorders>
              <w:top w:val="single" w:sz="5" w:color="145A64"/>
              <w:left w:val="single" w:sz="5" w:color="145A64"/>
              <w:bottom w:val="single" w:sz="5" w:color="145A64"/>
              <w:right w:val="single" w:sz="5" w:color="145A64"/>
            </w:tcBorders>
          </w:tcPr>
          <w:p>
            <w:r>
              <w:rPr>
                <w:b/>
                <w:color w:val="145A64"/>
                <w:sz w:val="16"/>
              </w:rPr>
              <w:t>COUNTERBALANCE PRESSURE</w:t>
            </w:r>
          </w:p>
          <w:p>
            <w:r>
              <w:rPr>
                <w:sz w:val="18"/>
              </w:rPr>
              <w:t>Later valid evidence supports inclusion or compliance despite stale exclusions and holds</w:t>
            </w:r>
          </w:p>
        </w:tc>
      </w:tr>
    </w:tbl>
    <w:p/>
    <w:p>
      <w:pPr>
        <w:pStyle w:val="Heading2"/>
      </w:pPr>
      <w:r>
        <w:t>What strong performance looks like</w:t>
      </w:r>
    </w:p>
    <w:p>
      <w:pPr>
        <w:pStyle w:val="ListBullet"/>
        <w:spacing w:after="40"/>
        <w:ind w:left="288" w:hanging="216"/>
      </w:pPr>
      <w:r>
        <w:t>Identifies the surface claim without inheriting it as truth.</w:t>
      </w:r>
    </w:p>
    <w:p>
      <w:pPr>
        <w:pStyle w:val="ListBullet"/>
        <w:spacing w:after="40"/>
        <w:ind w:left="288" w:hanging="216"/>
      </w:pPr>
      <w:r>
        <w:t>Finds the decisive current and authoritative evidence across the full source set.</w:t>
      </w:r>
    </w:p>
    <w:p>
      <w:pPr>
        <w:pStyle w:val="ListBullet"/>
        <w:spacing w:after="40"/>
        <w:ind w:left="288" w:hanging="216"/>
      </w:pPr>
      <w:r>
        <w:t>Explains contradictions, missing proof, and confidence level.</w:t>
      </w:r>
    </w:p>
    <w:p>
      <w:pPr>
        <w:pStyle w:val="ListBullet"/>
        <w:spacing w:after="40"/>
        <w:ind w:left="288" w:hanging="216"/>
      </w:pPr>
      <w:r>
        <w:t>Makes a proportionate decision and releases resolved apparent holds.</w:t>
      </w:r>
    </w:p>
    <w:p>
      <w:pPr>
        <w:pStyle w:val="ListBullet"/>
        <w:spacing w:after="40"/>
        <w:ind w:left="288" w:hanging="216"/>
      </w:pPr>
      <w:r>
        <w:t>Assigns owner actions without inventing unsupported facts.</w:t>
      </w:r>
    </w:p>
    <w:p>
      <w:pPr>
        <w:spacing w:before="80"/>
      </w:pPr>
      <w:r>
        <w:rPr>
          <w:b/>
          <w:color w:val="145A64"/>
        </w:rPr>
        <w:t xml:space="preserve">Package: </w:t>
      </w:r>
      <w:r>
        <w:t>30 source documents | 4 batch archives | system/task prompt | strict grading rubric | design notes</w:t>
      </w:r>
    </w:p>
    <w:p>
      <w:r>
        <w:br w:type="page"/>
      </w:r>
    </w:p>
    <w:p>
      <w:pPr>
        <w:spacing w:after="40"/>
      </w:pPr>
      <w:r>
        <w:rPr>
          <w:rFonts w:ascii="Arial" w:hAnsi="Arial"/>
          <w:b/>
          <w:color w:val="C7903E"/>
          <w:sz w:val="18"/>
        </w:rPr>
        <w:t>BENCHMARK 008</w:t>
      </w:r>
    </w:p>
    <w:p>
      <w:pPr>
        <w:pStyle w:val="Heading1"/>
        <w:spacing w:after="40"/>
      </w:pPr>
      <w:r>
        <w:t>Medication Safety Verification</w:t>
      </w:r>
    </w:p>
    <w:p>
      <w:pPr>
        <w:spacing w:after="160"/>
      </w:pPr>
      <w:r>
        <w:rPr>
          <w:i/>
          <w:color w:val="5A6C75"/>
          <w:sz w:val="21"/>
        </w:rPr>
        <w:t>High-risk medication release, dispensing, and alert verification</w:t>
      </w:r>
    </w:p>
    <w:tbl>
      <w:tblPr>
        <w:tblW w:type="auto" w:w="0"/>
        <w:jc w:val="center"/>
        <w:tblLayout w:type="fixed"/>
        <w:tblLook w:firstColumn="1" w:firstRow="1" w:lastColumn="0" w:lastRow="0" w:noHBand="0" w:noVBand="1" w:val="04A0"/>
      </w:tblPr>
      <w:tblGrid>
        <w:gridCol w:w="10224"/>
      </w:tblGrid>
      <w:tr>
        <w:tc>
          <w:tcPr>
            <w:tcW w:type="dxa" w:w="10224"/>
            <w:shd w:fill="EAF4F5"/>
            <w:tcMar>
              <w:top w:w="180" w:type="dxa"/>
              <w:start w:w="220" w:type="dxa"/>
              <w:bottom w:w="180" w:type="dxa"/>
              <w:end w:w="220" w:type="dxa"/>
            </w:tcMar>
            <w:tcBorders>
              <w:top w:val="single" w:sz="8" w:color="145A64"/>
              <w:left w:val="single" w:sz="8" w:color="145A64"/>
              <w:bottom w:val="single" w:sz="8" w:color="145A64"/>
              <w:right w:val="single" w:sz="8" w:color="145A64"/>
            </w:tcBorders>
          </w:tcPr>
          <w:p>
            <w:pPr>
              <w:jc w:val="center"/>
            </w:pPr>
            <w:r>
              <w:rPr>
                <w:rFonts w:ascii="Georgia" w:hAnsi="Georgia"/>
                <w:b/>
                <w:i/>
                <w:color w:val="20323D"/>
                <w:sz w:val="24"/>
              </w:rPr>
              <w:t>Has the medication plan earned release or withholding?</w:t>
            </w:r>
          </w:p>
        </w:tc>
      </w:tr>
    </w:tbl>
    <w:p>
      <w:pPr>
        <w:spacing w:after="0"/>
      </w:pPr>
    </w:p>
    <w:p>
      <w:pPr>
        <w:spacing w:after="60"/>
      </w:pPr>
      <w:r>
        <w:rPr>
          <w:b/>
          <w:color w:val="145A64"/>
          <w:sz w:val="17"/>
        </w:rPr>
        <w:t xml:space="preserve">PURPOSE  </w:t>
      </w:r>
      <w:r>
        <w:rPr>
          <w:color w:val="1F2933"/>
          <w:sz w:val="20"/>
        </w:rPr>
        <w:t>Validates medication plans against current orders, renal function, weight, monitoring, outside prescriptions, recent events, discontinuations, and resolved allergy or duplicate alerts.</w:t>
      </w:r>
    </w:p>
    <w:p>
      <w:pPr>
        <w:spacing w:after="60"/>
      </w:pPr>
      <w:r>
        <w:rPr>
          <w:b/>
          <w:color w:val="145A64"/>
          <w:sz w:val="17"/>
        </w:rPr>
        <w:t xml:space="preserve">KEY EVIDENCE PRESSURE  </w:t>
      </w:r>
      <w:r>
        <w:rPr>
          <w:color w:val="1F2933"/>
          <w:sz w:val="20"/>
        </w:rPr>
        <w:t>Stale labs; claims vs active therapy; critical late values; interacting prescriptions; cancelled procedures; overdose history; delabeling; outside monitoring.</w:t>
      </w:r>
    </w:p>
    <w:p>
      <w:pPr>
        <w:spacing w:after="60"/>
      </w:pPr>
      <w:r>
        <w:rPr>
          <w:b/>
          <w:color w:val="145A64"/>
          <w:sz w:val="17"/>
        </w:rPr>
        <w:t xml:space="preserve">DECISION CLASSES  </w:t>
      </w:r>
      <w:r>
        <w:rPr>
          <w:color w:val="1F2933"/>
          <w:sz w:val="20"/>
        </w:rPr>
        <w:t>Release; hold; cancel; request information; urgent escalation; release from hold</w:t>
      </w:r>
    </w:p>
    <w:tbl>
      <w:tblPr>
        <w:tblW w:type="auto" w:w="0"/>
        <w:jc w:val="center"/>
        <w:tblLook w:firstColumn="1" w:firstRow="1" w:lastColumn="0" w:lastRow="0" w:noHBand="0" w:noVBand="1" w:val="04A0"/>
      </w:tblPr>
      <w:tblGrid>
        <w:gridCol w:w="5112"/>
        <w:gridCol w:w="5112"/>
      </w:tblGrid>
      <w:tr>
        <w:tc>
          <w:tcPr>
            <w:tcW w:type="dxa" w:w="5112"/>
            <w:shd w:fill="F5F1E8"/>
            <w:tcMar>
              <w:top w:w="130" w:type="dxa"/>
              <w:start w:w="150" w:type="dxa"/>
              <w:bottom w:w="130" w:type="dxa"/>
              <w:end w:w="150" w:type="dxa"/>
            </w:tcMar>
            <w:tcBorders>
              <w:top w:val="single" w:sz="5" w:color="C7903E"/>
              <w:left w:val="single" w:sz="5" w:color="C7903E"/>
              <w:bottom w:val="single" w:sz="5" w:color="C7903E"/>
              <w:right w:val="single" w:sz="5" w:color="C7903E"/>
            </w:tcBorders>
          </w:tcPr>
          <w:p>
            <w:r>
              <w:rPr>
                <w:b/>
                <w:color w:val="C7903E"/>
                <w:sz w:val="16"/>
              </w:rPr>
              <w:t>FALSE-READY / FALSE-CLEAN PRESSURE</w:t>
            </w:r>
          </w:p>
          <w:p>
            <w:r>
              <w:rPr>
                <w:sz w:val="18"/>
              </w:rPr>
              <w:t>Routine-looking refills and plans that are unsafe on current evidence</w:t>
            </w:r>
          </w:p>
        </w:tc>
        <w:tc>
          <w:tcPr>
            <w:tcW w:type="dxa" w:w="5112"/>
            <w:shd w:fill="EAF4F5"/>
            <w:tcMar>
              <w:top w:w="130" w:type="dxa"/>
              <w:start w:w="150" w:type="dxa"/>
              <w:bottom w:w="130" w:type="dxa"/>
              <w:end w:w="150" w:type="dxa"/>
            </w:tcMar>
            <w:tcBorders>
              <w:top w:val="single" w:sz="5" w:color="145A64"/>
              <w:left w:val="single" w:sz="5" w:color="145A64"/>
              <w:bottom w:val="single" w:sz="5" w:color="145A64"/>
              <w:right w:val="single" w:sz="5" w:color="145A64"/>
            </w:tcBorders>
          </w:tcPr>
          <w:p>
            <w:r>
              <w:rPr>
                <w:b/>
                <w:color w:val="145A64"/>
                <w:sz w:val="16"/>
              </w:rPr>
              <w:t>COUNTERBALANCE PRESSURE</w:t>
            </w:r>
          </w:p>
          <w:p>
            <w:r>
              <w:rPr>
                <w:sz w:val="18"/>
              </w:rPr>
              <w:t>Formal discontinuations, allergy testing, and matched labs resolve false alerts</w:t>
            </w:r>
          </w:p>
        </w:tc>
      </w:tr>
    </w:tbl>
    <w:p/>
    <w:p>
      <w:pPr>
        <w:pStyle w:val="Heading2"/>
      </w:pPr>
      <w:r>
        <w:t>What strong performance looks like</w:t>
      </w:r>
    </w:p>
    <w:p>
      <w:pPr>
        <w:pStyle w:val="ListBullet"/>
        <w:spacing w:after="40"/>
        <w:ind w:left="288" w:hanging="216"/>
      </w:pPr>
      <w:r>
        <w:t>Identifies the surface claim without inheriting it as truth.</w:t>
      </w:r>
    </w:p>
    <w:p>
      <w:pPr>
        <w:pStyle w:val="ListBullet"/>
        <w:spacing w:after="40"/>
        <w:ind w:left="288" w:hanging="216"/>
      </w:pPr>
      <w:r>
        <w:t>Finds the decisive current and authoritative evidence across the full source set.</w:t>
      </w:r>
    </w:p>
    <w:p>
      <w:pPr>
        <w:pStyle w:val="ListBullet"/>
        <w:spacing w:after="40"/>
        <w:ind w:left="288" w:hanging="216"/>
      </w:pPr>
      <w:r>
        <w:t>Explains contradictions, missing proof, and confidence level.</w:t>
      </w:r>
    </w:p>
    <w:p>
      <w:pPr>
        <w:pStyle w:val="ListBullet"/>
        <w:spacing w:after="40"/>
        <w:ind w:left="288" w:hanging="216"/>
      </w:pPr>
      <w:r>
        <w:t>Makes a proportionate decision and releases resolved apparent holds.</w:t>
      </w:r>
    </w:p>
    <w:p>
      <w:pPr>
        <w:pStyle w:val="ListBullet"/>
        <w:spacing w:after="40"/>
        <w:ind w:left="288" w:hanging="216"/>
      </w:pPr>
      <w:r>
        <w:t>Assigns owner actions without inventing unsupported facts.</w:t>
      </w:r>
    </w:p>
    <w:p>
      <w:pPr>
        <w:spacing w:before="80"/>
      </w:pPr>
      <w:r>
        <w:rPr>
          <w:b/>
          <w:color w:val="145A64"/>
        </w:rPr>
        <w:t xml:space="preserve">Package: </w:t>
      </w:r>
      <w:r>
        <w:t>30 source documents | 4 batch archives | system/task prompt | strict grading rubric | design notes</w:t>
      </w:r>
    </w:p>
    <w:p>
      <w:r>
        <w:br w:type="page"/>
      </w:r>
    </w:p>
    <w:p>
      <w:pPr>
        <w:spacing w:after="40"/>
      </w:pPr>
      <w:r>
        <w:rPr>
          <w:rFonts w:ascii="Arial" w:hAnsi="Arial"/>
          <w:b/>
          <w:color w:val="C7903E"/>
          <w:sz w:val="18"/>
        </w:rPr>
        <w:t>BENCHMARK 009</w:t>
      </w:r>
    </w:p>
    <w:p>
      <w:pPr>
        <w:pStyle w:val="Heading1"/>
        <w:spacing w:after="40"/>
      </w:pPr>
      <w:r>
        <w:t>Case Closure Readiness Audit</w:t>
      </w:r>
    </w:p>
    <w:p>
      <w:pPr>
        <w:spacing w:after="160"/>
      </w:pPr>
      <w:r>
        <w:rPr>
          <w:i/>
          <w:color w:val="5A6C75"/>
          <w:sz w:val="21"/>
        </w:rPr>
        <w:t>Patient safety, complaint, referral, privacy, communication, equipment, and follow-up cases</w:t>
      </w:r>
    </w:p>
    <w:tbl>
      <w:tblPr>
        <w:tblW w:type="auto" w:w="0"/>
        <w:jc w:val="center"/>
        <w:tblLayout w:type="fixed"/>
        <w:tblLook w:firstColumn="1" w:firstRow="1" w:lastColumn="0" w:lastRow="0" w:noHBand="0" w:noVBand="1" w:val="04A0"/>
      </w:tblPr>
      <w:tblGrid>
        <w:gridCol w:w="10224"/>
      </w:tblGrid>
      <w:tr>
        <w:tc>
          <w:tcPr>
            <w:tcW w:type="dxa" w:w="10224"/>
            <w:shd w:fill="EAF4F5"/>
            <w:tcMar>
              <w:top w:w="180" w:type="dxa"/>
              <w:start w:w="220" w:type="dxa"/>
              <w:bottom w:w="180" w:type="dxa"/>
              <w:end w:w="220" w:type="dxa"/>
            </w:tcMar>
            <w:tcBorders>
              <w:top w:val="single" w:sz="8" w:color="145A64"/>
              <w:left w:val="single" w:sz="8" w:color="145A64"/>
              <w:bottom w:val="single" w:sz="8" w:color="145A64"/>
              <w:right w:val="single" w:sz="8" w:color="145A64"/>
            </w:tcBorders>
          </w:tcPr>
          <w:p>
            <w:pPr>
              <w:jc w:val="center"/>
            </w:pPr>
            <w:r>
              <w:rPr>
                <w:rFonts w:ascii="Georgia" w:hAnsi="Georgia"/>
                <w:b/>
                <w:i/>
                <w:color w:val="20323D"/>
                <w:sz w:val="24"/>
              </w:rPr>
              <w:t>Has the case earned true resolution and closure?</w:t>
            </w:r>
          </w:p>
        </w:tc>
      </w:tr>
    </w:tbl>
    <w:p>
      <w:pPr>
        <w:spacing w:after="0"/>
      </w:pPr>
    </w:p>
    <w:p>
      <w:pPr>
        <w:spacing w:after="60"/>
      </w:pPr>
      <w:r>
        <w:rPr>
          <w:b/>
          <w:color w:val="145A64"/>
          <w:sz w:val="17"/>
        </w:rPr>
        <w:t xml:space="preserve">PURPOSE  </w:t>
      </w:r>
      <w:r>
        <w:rPr>
          <w:color w:val="1F2933"/>
          <w:sz w:val="20"/>
        </w:rPr>
        <w:t>Determines whether communication, corrective action, referral outcomes, source identity, privacy review, equipment resolution, and owner accountability support case closure.</w:t>
      </w:r>
    </w:p>
    <w:p>
      <w:pPr>
        <w:spacing w:after="60"/>
      </w:pPr>
      <w:r>
        <w:rPr>
          <w:b/>
          <w:color w:val="145A64"/>
          <w:sz w:val="17"/>
        </w:rPr>
        <w:t xml:space="preserve">KEY EVIDENCE PRESSURE  </w:t>
      </w:r>
      <w:r>
        <w:rPr>
          <w:color w:val="1F2933"/>
          <w:sz w:val="20"/>
        </w:rPr>
        <w:t>Attempted vs completed communication; planned vs verified action; wrong-patient evidence; final vendor reports; privacy obligations; owner/due-date gaps.</w:t>
      </w:r>
    </w:p>
    <w:p>
      <w:pPr>
        <w:spacing w:after="60"/>
      </w:pPr>
      <w:r>
        <w:rPr>
          <w:b/>
          <w:color w:val="145A64"/>
          <w:sz w:val="17"/>
        </w:rPr>
        <w:t xml:space="preserve">DECISION CLASSES  </w:t>
      </w:r>
      <w:r>
        <w:rPr>
          <w:color w:val="1F2933"/>
          <w:sz w:val="20"/>
        </w:rPr>
        <w:t>Close; hold; transfer; escalate; defer; release from hold</w:t>
      </w:r>
    </w:p>
    <w:tbl>
      <w:tblPr>
        <w:tblW w:type="auto" w:w="0"/>
        <w:jc w:val="center"/>
        <w:tblLook w:firstColumn="1" w:firstRow="1" w:lastColumn="0" w:lastRow="0" w:noHBand="0" w:noVBand="1" w:val="04A0"/>
      </w:tblPr>
      <w:tblGrid>
        <w:gridCol w:w="5112"/>
        <w:gridCol w:w="5112"/>
      </w:tblGrid>
      <w:tr>
        <w:tc>
          <w:tcPr>
            <w:tcW w:type="dxa" w:w="5112"/>
            <w:shd w:fill="F5F1E8"/>
            <w:tcMar>
              <w:top w:w="130" w:type="dxa"/>
              <w:start w:w="150" w:type="dxa"/>
              <w:bottom w:w="130" w:type="dxa"/>
              <w:end w:w="150" w:type="dxa"/>
            </w:tcMar>
            <w:tcBorders>
              <w:top w:val="single" w:sz="5" w:color="C7903E"/>
              <w:left w:val="single" w:sz="5" w:color="C7903E"/>
              <w:bottom w:val="single" w:sz="5" w:color="C7903E"/>
              <w:right w:val="single" w:sz="5" w:color="C7903E"/>
            </w:tcBorders>
          </w:tcPr>
          <w:p>
            <w:r>
              <w:rPr>
                <w:b/>
                <w:color w:val="C7903E"/>
                <w:sz w:val="16"/>
              </w:rPr>
              <w:t>FALSE-READY / FALSE-CLEAN PRESSURE</w:t>
            </w:r>
          </w:p>
          <w:p>
            <w:r>
              <w:rPr>
                <w:sz w:val="18"/>
              </w:rPr>
              <w:t>Ready-to-close labels without completed resolution evidence</w:t>
            </w:r>
          </w:p>
        </w:tc>
        <w:tc>
          <w:tcPr>
            <w:tcW w:type="dxa" w:w="5112"/>
            <w:shd w:fill="EAF4F5"/>
            <w:tcMar>
              <w:top w:w="130" w:type="dxa"/>
              <w:start w:w="150" w:type="dxa"/>
              <w:bottom w:w="130" w:type="dxa"/>
              <w:end w:w="150" w:type="dxa"/>
            </w:tcMar>
            <w:tcBorders>
              <w:top w:val="single" w:sz="5" w:color="145A64"/>
              <w:left w:val="single" w:sz="5" w:color="145A64"/>
              <w:bottom w:val="single" w:sz="5" w:color="145A64"/>
              <w:right w:val="single" w:sz="5" w:color="145A64"/>
            </w:tcBorders>
          </w:tcPr>
          <w:p>
            <w:r>
              <w:rPr>
                <w:b/>
                <w:color w:val="145A64"/>
                <w:sz w:val="16"/>
              </w:rPr>
              <w:t>COUNTERBALANCE PRESSURE</w:t>
            </w:r>
          </w:p>
          <w:p>
            <w:r>
              <w:rPr>
                <w:sz w:val="18"/>
              </w:rPr>
              <w:t>Matched final reports and confirmed resolution support closure despite stale holds</w:t>
            </w:r>
          </w:p>
        </w:tc>
      </w:tr>
    </w:tbl>
    <w:p/>
    <w:p>
      <w:pPr>
        <w:pStyle w:val="Heading2"/>
      </w:pPr>
      <w:r>
        <w:t>What strong performance looks like</w:t>
      </w:r>
    </w:p>
    <w:p>
      <w:pPr>
        <w:pStyle w:val="ListBullet"/>
        <w:spacing w:after="40"/>
        <w:ind w:left="288" w:hanging="216"/>
      </w:pPr>
      <w:r>
        <w:t>Identifies the surface claim without inheriting it as truth.</w:t>
      </w:r>
    </w:p>
    <w:p>
      <w:pPr>
        <w:pStyle w:val="ListBullet"/>
        <w:spacing w:after="40"/>
        <w:ind w:left="288" w:hanging="216"/>
      </w:pPr>
      <w:r>
        <w:t>Finds the decisive current and authoritative evidence across the full source set.</w:t>
      </w:r>
    </w:p>
    <w:p>
      <w:pPr>
        <w:pStyle w:val="ListBullet"/>
        <w:spacing w:after="40"/>
        <w:ind w:left="288" w:hanging="216"/>
      </w:pPr>
      <w:r>
        <w:t>Explains contradictions, missing proof, and confidence level.</w:t>
      </w:r>
    </w:p>
    <w:p>
      <w:pPr>
        <w:pStyle w:val="ListBullet"/>
        <w:spacing w:after="40"/>
        <w:ind w:left="288" w:hanging="216"/>
      </w:pPr>
      <w:r>
        <w:t>Makes a proportionate decision and releases resolved apparent holds.</w:t>
      </w:r>
    </w:p>
    <w:p>
      <w:pPr>
        <w:pStyle w:val="ListBullet"/>
        <w:spacing w:after="40"/>
        <w:ind w:left="288" w:hanging="216"/>
      </w:pPr>
      <w:r>
        <w:t>Assigns owner actions without inventing unsupported facts.</w:t>
      </w:r>
    </w:p>
    <w:p>
      <w:pPr>
        <w:spacing w:before="80"/>
      </w:pPr>
      <w:r>
        <w:rPr>
          <w:b/>
          <w:color w:val="145A64"/>
        </w:rPr>
        <w:t xml:space="preserve">Package: </w:t>
      </w:r>
      <w:r>
        <w:t>30 source documents | 4 batch archives | system/task prompt | strict grading rubric | design notes</w:t>
      </w:r>
    </w:p>
    <w:p>
      <w:r>
        <w:br w:type="page"/>
      </w:r>
    </w:p>
    <w:p>
      <w:pPr>
        <w:spacing w:after="40"/>
      </w:pPr>
      <w:r>
        <w:rPr>
          <w:rFonts w:ascii="Arial" w:hAnsi="Arial"/>
          <w:b/>
          <w:color w:val="C7903E"/>
          <w:sz w:val="18"/>
        </w:rPr>
        <w:t>BENCHMARK 010</w:t>
      </w:r>
    </w:p>
    <w:p>
      <w:pPr>
        <w:pStyle w:val="Heading1"/>
        <w:spacing w:after="40"/>
      </w:pPr>
      <w:r>
        <w:t>Clinical Coding Evidence Validation</w:t>
      </w:r>
    </w:p>
    <w:p>
      <w:pPr>
        <w:spacing w:after="160"/>
      </w:pPr>
      <w:r>
        <w:rPr>
          <w:i/>
          <w:color w:val="5A6C75"/>
          <w:sz w:val="21"/>
        </w:rPr>
        <w:t>Diagnosis and principal-diagnosis coding integrity</w:t>
      </w:r>
    </w:p>
    <w:tbl>
      <w:tblPr>
        <w:tblW w:type="auto" w:w="0"/>
        <w:jc w:val="center"/>
        <w:tblLayout w:type="fixed"/>
        <w:tblLook w:firstColumn="1" w:firstRow="1" w:lastColumn="0" w:lastRow="0" w:noHBand="0" w:noVBand="1" w:val="04A0"/>
      </w:tblPr>
      <w:tblGrid>
        <w:gridCol w:w="10224"/>
      </w:tblGrid>
      <w:tr>
        <w:tc>
          <w:tcPr>
            <w:tcW w:type="dxa" w:w="10224"/>
            <w:shd w:fill="EAF4F5"/>
            <w:tcMar>
              <w:top w:w="180" w:type="dxa"/>
              <w:start w:w="220" w:type="dxa"/>
              <w:bottom w:w="180" w:type="dxa"/>
              <w:end w:w="220" w:type="dxa"/>
            </w:tcMar>
            <w:tcBorders>
              <w:top w:val="single" w:sz="8" w:color="145A64"/>
              <w:left w:val="single" w:sz="8" w:color="145A64"/>
              <w:bottom w:val="single" w:sz="8" w:color="145A64"/>
              <w:right w:val="single" w:sz="8" w:color="145A64"/>
            </w:tcBorders>
          </w:tcPr>
          <w:p>
            <w:pPr>
              <w:jc w:val="center"/>
            </w:pPr>
            <w:r>
              <w:rPr>
                <w:rFonts w:ascii="Georgia" w:hAnsi="Georgia"/>
                <w:b/>
                <w:i/>
                <w:color w:val="20323D"/>
                <w:sz w:val="24"/>
              </w:rPr>
              <w:t>Has the diagnosis or principal-diagnosis assignment earned final coding?</w:t>
            </w:r>
          </w:p>
        </w:tc>
      </w:tr>
    </w:tbl>
    <w:p>
      <w:pPr>
        <w:spacing w:after="0"/>
      </w:pPr>
    </w:p>
    <w:p>
      <w:pPr>
        <w:spacing w:after="60"/>
      </w:pPr>
      <w:r>
        <w:rPr>
          <w:b/>
          <w:color w:val="145A64"/>
          <w:sz w:val="17"/>
        </w:rPr>
        <w:t xml:space="preserve">PURPOSE  </w:t>
      </w:r>
      <w:r>
        <w:rPr>
          <w:color w:val="1F2933"/>
          <w:sz w:val="20"/>
        </w:rPr>
        <w:t>Validates proposed coding against final patient-specific physician documentation, specialist conclusions, baseline trends, pathology, operative reports, addenda, and identity-correct evidence.</w:t>
      </w:r>
    </w:p>
    <w:p>
      <w:pPr>
        <w:spacing w:after="60"/>
      </w:pPr>
      <w:r>
        <w:rPr>
          <w:b/>
          <w:color w:val="145A64"/>
          <w:sz w:val="17"/>
        </w:rPr>
        <w:t xml:space="preserve">KEY EVIDENCE PRESSURE  </w:t>
      </w:r>
      <w:r>
        <w:rPr>
          <w:color w:val="1F2933"/>
          <w:sz w:val="20"/>
        </w:rPr>
        <w:t>Abnormal lab vs diagnosis; empiric treatment; draft vs final documentation; baseline comparison; wrong-patient attachments; expected postoperative support; unsigned queries.</w:t>
      </w:r>
    </w:p>
    <w:p>
      <w:pPr>
        <w:spacing w:after="60"/>
      </w:pPr>
      <w:r>
        <w:rPr>
          <w:b/>
          <w:color w:val="145A64"/>
          <w:sz w:val="17"/>
        </w:rPr>
        <w:t xml:space="preserve">DECISION CLASSES  </w:t>
      </w:r>
      <w:r>
        <w:rPr>
          <w:color w:val="1F2933"/>
          <w:sz w:val="20"/>
        </w:rPr>
        <w:t>Finalize; revise; remove; query; hold; escalate; release from hold</w:t>
      </w:r>
    </w:p>
    <w:tbl>
      <w:tblPr>
        <w:tblW w:type="auto" w:w="0"/>
        <w:jc w:val="center"/>
        <w:tblLook w:firstColumn="1" w:firstRow="1" w:lastColumn="0" w:lastRow="0" w:noHBand="0" w:noVBand="1" w:val="04A0"/>
      </w:tblPr>
      <w:tblGrid>
        <w:gridCol w:w="5112"/>
        <w:gridCol w:w="5112"/>
      </w:tblGrid>
      <w:tr>
        <w:tc>
          <w:tcPr>
            <w:tcW w:type="dxa" w:w="5112"/>
            <w:shd w:fill="F5F1E8"/>
            <w:tcMar>
              <w:top w:w="130" w:type="dxa"/>
              <w:start w:w="150" w:type="dxa"/>
              <w:bottom w:w="130" w:type="dxa"/>
              <w:end w:w="150" w:type="dxa"/>
            </w:tcMar>
            <w:tcBorders>
              <w:top w:val="single" w:sz="5" w:color="C7903E"/>
              <w:left w:val="single" w:sz="5" w:color="C7903E"/>
              <w:bottom w:val="single" w:sz="5" w:color="C7903E"/>
              <w:right w:val="single" w:sz="5" w:color="C7903E"/>
            </w:tcBorders>
          </w:tcPr>
          <w:p>
            <w:r>
              <w:rPr>
                <w:b/>
                <w:color w:val="C7903E"/>
                <w:sz w:val="16"/>
              </w:rPr>
              <w:t>FALSE-READY / FALSE-CLEAN PRESSURE</w:t>
            </w:r>
          </w:p>
          <w:p>
            <w:r>
              <w:rPr>
                <w:sz w:val="18"/>
              </w:rPr>
              <w:t>Queue-ready diagnoses unsupported by final documentation</w:t>
            </w:r>
          </w:p>
        </w:tc>
        <w:tc>
          <w:tcPr>
            <w:tcW w:type="dxa" w:w="5112"/>
            <w:shd w:fill="EAF4F5"/>
            <w:tcMar>
              <w:top w:w="130" w:type="dxa"/>
              <w:start w:w="150" w:type="dxa"/>
              <w:bottom w:w="130" w:type="dxa"/>
              <w:end w:w="150" w:type="dxa"/>
            </w:tcMar>
            <w:tcBorders>
              <w:top w:val="single" w:sz="5" w:color="145A64"/>
              <w:left w:val="single" w:sz="5" w:color="145A64"/>
              <w:bottom w:val="single" w:sz="5" w:color="145A64"/>
              <w:right w:val="single" w:sz="5" w:color="145A64"/>
            </w:tcBorders>
          </w:tcPr>
          <w:p>
            <w:r>
              <w:rPr>
                <w:b/>
                <w:color w:val="145A64"/>
                <w:sz w:val="16"/>
              </w:rPr>
              <w:t>COUNTERBALANCE PRESSURE</w:t>
            </w:r>
          </w:p>
          <w:p>
            <w:r>
              <w:rPr>
                <w:sz w:val="18"/>
              </w:rPr>
              <w:t>Signed addenda, pathology, and operative evidence support held diagnoses</w:t>
            </w:r>
          </w:p>
        </w:tc>
      </w:tr>
    </w:tbl>
    <w:p/>
    <w:p>
      <w:pPr>
        <w:pStyle w:val="Heading2"/>
      </w:pPr>
      <w:r>
        <w:t>What strong performance looks like</w:t>
      </w:r>
    </w:p>
    <w:p>
      <w:pPr>
        <w:pStyle w:val="ListBullet"/>
        <w:spacing w:after="40"/>
        <w:ind w:left="288" w:hanging="216"/>
      </w:pPr>
      <w:r>
        <w:t>Identifies the surface claim without inheriting it as truth.</w:t>
      </w:r>
    </w:p>
    <w:p>
      <w:pPr>
        <w:pStyle w:val="ListBullet"/>
        <w:spacing w:after="40"/>
        <w:ind w:left="288" w:hanging="216"/>
      </w:pPr>
      <w:r>
        <w:t>Finds the decisive current and authoritative evidence across the full source set.</w:t>
      </w:r>
    </w:p>
    <w:p>
      <w:pPr>
        <w:pStyle w:val="ListBullet"/>
        <w:spacing w:after="40"/>
        <w:ind w:left="288" w:hanging="216"/>
      </w:pPr>
      <w:r>
        <w:t>Explains contradictions, missing proof, and confidence level.</w:t>
      </w:r>
    </w:p>
    <w:p>
      <w:pPr>
        <w:pStyle w:val="ListBullet"/>
        <w:spacing w:after="40"/>
        <w:ind w:left="288" w:hanging="216"/>
      </w:pPr>
      <w:r>
        <w:t>Makes a proportionate decision and releases resolved apparent holds.</w:t>
      </w:r>
    </w:p>
    <w:p>
      <w:pPr>
        <w:pStyle w:val="ListBullet"/>
        <w:spacing w:after="40"/>
        <w:ind w:left="288" w:hanging="216"/>
      </w:pPr>
      <w:r>
        <w:t>Assigns owner actions without inventing unsupported facts.</w:t>
      </w:r>
    </w:p>
    <w:p>
      <w:pPr>
        <w:spacing w:before="80"/>
      </w:pPr>
      <w:r>
        <w:rPr>
          <w:b/>
          <w:color w:val="145A64"/>
        </w:rPr>
        <w:t xml:space="preserve">Package: </w:t>
      </w:r>
      <w:r>
        <w:t>30 source documents | 4 batch archives | system/task prompt | strict grading rubric | design notes</w:t>
      </w:r>
    </w:p>
    <w:p>
      <w:r>
        <w:br w:type="page"/>
      </w:r>
    </w:p>
    <w:p>
      <w:pPr>
        <w:spacing w:after="40"/>
      </w:pPr>
      <w:r>
        <w:rPr>
          <w:rFonts w:ascii="Arial" w:hAnsi="Arial"/>
          <w:b/>
          <w:color w:val="C7903E"/>
          <w:sz w:val="18"/>
        </w:rPr>
        <w:t>BENCHMARK 011</w:t>
      </w:r>
    </w:p>
    <w:p>
      <w:pPr>
        <w:pStyle w:val="Heading1"/>
        <w:spacing w:after="40"/>
      </w:pPr>
      <w:r>
        <w:t>Longitudinal Evidence Reconciliation</w:t>
      </w:r>
    </w:p>
    <w:p>
      <w:pPr>
        <w:spacing w:after="160"/>
      </w:pPr>
      <w:r>
        <w:rPr>
          <w:i/>
          <w:color w:val="5A6C75"/>
          <w:sz w:val="21"/>
        </w:rPr>
        <w:t>Whole-record reconciliation across hospital, clinic, specialist, rehabilitation, home, pharmacy, and portal records</w:t>
      </w:r>
    </w:p>
    <w:tbl>
      <w:tblPr>
        <w:tblW w:type="auto" w:w="0"/>
        <w:jc w:val="center"/>
        <w:tblLayout w:type="fixed"/>
        <w:tblLook w:firstColumn="1" w:firstRow="1" w:lastColumn="0" w:lastRow="0" w:noHBand="0" w:noVBand="1" w:val="04A0"/>
      </w:tblPr>
      <w:tblGrid>
        <w:gridCol w:w="10224"/>
      </w:tblGrid>
      <w:tr>
        <w:tc>
          <w:tcPr>
            <w:tcW w:type="dxa" w:w="10224"/>
            <w:shd w:fill="EAF4F5"/>
            <w:tcMar>
              <w:top w:w="180" w:type="dxa"/>
              <w:start w:w="220" w:type="dxa"/>
              <w:bottom w:w="180" w:type="dxa"/>
              <w:end w:w="220" w:type="dxa"/>
            </w:tcMar>
            <w:tcBorders>
              <w:top w:val="single" w:sz="8" w:color="145A64"/>
              <w:left w:val="single" w:sz="8" w:color="145A64"/>
              <w:bottom w:val="single" w:sz="8" w:color="145A64"/>
              <w:right w:val="single" w:sz="8" w:color="145A64"/>
            </w:tcBorders>
          </w:tcPr>
          <w:p>
            <w:pPr>
              <w:jc w:val="center"/>
            </w:pPr>
            <w:r>
              <w:rPr>
                <w:rFonts w:ascii="Georgia" w:hAnsi="Georgia"/>
                <w:b/>
                <w:i/>
                <w:color w:val="20323D"/>
                <w:sz w:val="24"/>
              </w:rPr>
              <w:t>Does the longitudinal record support the conclusion?</w:t>
            </w:r>
          </w:p>
        </w:tc>
      </w:tr>
    </w:tbl>
    <w:p>
      <w:pPr>
        <w:spacing w:after="0"/>
      </w:pPr>
    </w:p>
    <w:p>
      <w:pPr>
        <w:spacing w:after="60"/>
      </w:pPr>
      <w:r>
        <w:rPr>
          <w:b/>
          <w:color w:val="145A64"/>
          <w:sz w:val="17"/>
        </w:rPr>
        <w:t xml:space="preserve">PURPOSE  </w:t>
      </w:r>
      <w:r>
        <w:rPr>
          <w:color w:val="1F2933"/>
          <w:sz w:val="20"/>
        </w:rPr>
        <w:t>Determines whether a conclusion remains supported after the entire multi-month record is reconciled across hospital care, clinic follow-up, specialists, rehabilitation, home health, pharmacy, outside records, and patient communication.</w:t>
      </w:r>
    </w:p>
    <w:p>
      <w:pPr>
        <w:spacing w:after="60"/>
      </w:pPr>
      <w:r>
        <w:rPr>
          <w:b/>
          <w:color w:val="145A64"/>
          <w:sz w:val="17"/>
        </w:rPr>
        <w:t xml:space="preserve">KEY EVIDENCE PRESSURE  </w:t>
      </w:r>
      <w:r>
        <w:rPr>
          <w:color w:val="1F2933"/>
          <w:sz w:val="20"/>
        </w:rPr>
        <w:t>Copied-forward diagnoses; repeated but unsupported causality; service discharge vs recovery; contextually unreliable measures; recurrence after closure; stale holds resolved by current evidence.</w:t>
      </w:r>
    </w:p>
    <w:p>
      <w:pPr>
        <w:spacing w:after="60"/>
      </w:pPr>
      <w:r>
        <w:rPr>
          <w:b/>
          <w:color w:val="145A64"/>
          <w:sz w:val="17"/>
        </w:rPr>
        <w:t xml:space="preserve">DECISION CLASSES  </w:t>
      </w:r>
      <w:r>
        <w:rPr>
          <w:color w:val="1F2933"/>
          <w:sz w:val="20"/>
        </w:rPr>
        <w:t>Supported; supported with revision; not supported; unresolved; release from hold; keep open/hold</w:t>
      </w:r>
    </w:p>
    <w:tbl>
      <w:tblPr>
        <w:tblW w:type="auto" w:w="0"/>
        <w:jc w:val="center"/>
        <w:tblLook w:firstColumn="1" w:firstRow="1" w:lastColumn="0" w:lastRow="0" w:noHBand="0" w:noVBand="1" w:val="04A0"/>
      </w:tblPr>
      <w:tblGrid>
        <w:gridCol w:w="5112"/>
        <w:gridCol w:w="5112"/>
      </w:tblGrid>
      <w:tr>
        <w:tc>
          <w:tcPr>
            <w:tcW w:type="dxa" w:w="5112"/>
            <w:shd w:fill="F5F1E8"/>
            <w:tcMar>
              <w:top w:w="130" w:type="dxa"/>
              <w:start w:w="150" w:type="dxa"/>
              <w:bottom w:w="130" w:type="dxa"/>
              <w:end w:w="150" w:type="dxa"/>
            </w:tcMar>
            <w:tcBorders>
              <w:top w:val="single" w:sz="5" w:color="C7903E"/>
              <w:left w:val="single" w:sz="5" w:color="C7903E"/>
              <w:bottom w:val="single" w:sz="5" w:color="C7903E"/>
              <w:right w:val="single" w:sz="5" w:color="C7903E"/>
            </w:tcBorders>
          </w:tcPr>
          <w:p>
            <w:r>
              <w:rPr>
                <w:b/>
                <w:color w:val="C7903E"/>
                <w:sz w:val="16"/>
              </w:rPr>
              <w:t>FALSE-READY / FALSE-CLEAN PRESSURE</w:t>
            </w:r>
          </w:p>
          <w:p>
            <w:r>
              <w:rPr>
                <w:sz w:val="18"/>
              </w:rPr>
              <w:t>Repeated or copied conclusions appear established without whole-record support</w:t>
            </w:r>
          </w:p>
        </w:tc>
        <w:tc>
          <w:tcPr>
            <w:tcW w:type="dxa" w:w="5112"/>
            <w:shd w:fill="EAF4F5"/>
            <w:tcMar>
              <w:top w:w="130" w:type="dxa"/>
              <w:start w:w="150" w:type="dxa"/>
              <w:bottom w:w="130" w:type="dxa"/>
              <w:end w:w="150" w:type="dxa"/>
            </w:tcMar>
            <w:tcBorders>
              <w:top w:val="single" w:sz="5" w:color="145A64"/>
              <w:left w:val="single" w:sz="5" w:color="145A64"/>
              <w:bottom w:val="single" w:sz="5" w:color="145A64"/>
              <w:right w:val="single" w:sz="5" w:color="145A64"/>
            </w:tcBorders>
          </w:tcPr>
          <w:p>
            <w:r>
              <w:rPr>
                <w:b/>
                <w:color w:val="145A64"/>
                <w:sz w:val="16"/>
              </w:rPr>
              <w:t>COUNTERBALANCE PRESSURE</w:t>
            </w:r>
          </w:p>
          <w:p>
            <w:r>
              <w:rPr>
                <w:sz w:val="18"/>
              </w:rPr>
              <w:t>Current functional, specialist, pharmacy, testing, and home evidence resolves stale restrictions</w:t>
            </w:r>
          </w:p>
        </w:tc>
      </w:tr>
    </w:tbl>
    <w:p/>
    <w:p>
      <w:pPr>
        <w:pStyle w:val="Heading2"/>
      </w:pPr>
      <w:r>
        <w:t>What strong performance looks like</w:t>
      </w:r>
    </w:p>
    <w:p>
      <w:pPr>
        <w:pStyle w:val="ListBullet"/>
        <w:spacing w:after="40"/>
        <w:ind w:left="288" w:hanging="216"/>
      </w:pPr>
      <w:r>
        <w:t>Separates repeated documentation from independent confirmation.</w:t>
      </w:r>
    </w:p>
    <w:p>
      <w:pPr>
        <w:pStyle w:val="ListBullet"/>
        <w:spacing w:after="40"/>
        <w:ind w:left="288" w:hanging="216"/>
      </w:pPr>
      <w:r>
        <w:t>Reconstructs the chronology across settings without assuming the newest note automatically wins.</w:t>
      </w:r>
    </w:p>
    <w:p>
      <w:pPr>
        <w:pStyle w:val="ListBullet"/>
        <w:spacing w:after="40"/>
        <w:ind w:left="288" w:hanging="216"/>
      </w:pPr>
      <w:r>
        <w:t>Distinguishes condition, severity, cause, recovery, closure, eligibility, and safety as separate claims.</w:t>
      </w:r>
    </w:p>
    <w:p>
      <w:pPr>
        <w:pStyle w:val="ListBullet"/>
        <w:spacing w:after="40"/>
        <w:ind w:left="288" w:hanging="216"/>
      </w:pPr>
      <w:r>
        <w:t>Revises unsupported conclusions while releasing stale holds supported by current evidence.</w:t>
      </w:r>
    </w:p>
    <w:p>
      <w:pPr>
        <w:pStyle w:val="ListBullet"/>
        <w:spacing w:after="40"/>
        <w:ind w:left="288" w:hanging="216"/>
      </w:pPr>
      <w:r>
        <w:t>Assigns downstream problem-list, summary, restriction, closure, and follow-up corrections.</w:t>
      </w:r>
    </w:p>
    <w:p>
      <w:pPr>
        <w:spacing w:before="80"/>
      </w:pPr>
      <w:r>
        <w:rPr>
          <w:b/>
          <w:color w:val="145A64"/>
        </w:rPr>
        <w:t xml:space="preserve">Package: </w:t>
      </w:r>
      <w:r>
        <w:t>30 source documents | 4 batch archives | system/task prompt | strict grading rubric | design notes</w:t>
      </w:r>
    </w:p>
    <w:p>
      <w:r>
        <w:br w:type="page"/>
      </w:r>
    </w:p>
    <w:p>
      <w:pPr>
        <w:spacing w:after="40"/>
      </w:pPr>
      <w:r>
        <w:rPr>
          <w:rFonts w:ascii="Arial" w:hAnsi="Arial"/>
          <w:b/>
          <w:color w:val="C7903E"/>
          <w:sz w:val="18"/>
        </w:rPr>
        <w:t>BENCHMARK 012</w:t>
      </w:r>
    </w:p>
    <w:p>
      <w:pPr>
        <w:pStyle w:val="Heading1"/>
        <w:spacing w:after="40"/>
      </w:pPr>
      <w:r>
        <w:t>Clinical Guideline Applicability Audit</w:t>
      </w:r>
    </w:p>
    <w:p>
      <w:pPr>
        <w:spacing w:after="160"/>
      </w:pPr>
      <w:r>
        <w:rPr>
          <w:i/>
          <w:color w:val="5A6C75"/>
          <w:sz w:val="21"/>
        </w:rPr>
        <w:t>Patient-specific guideline population, eligibility, exclusion, version, and safety-gate validation</w:t>
      </w:r>
    </w:p>
    <w:tbl>
      <w:tblPr>
        <w:tblW w:type="auto" w:w="0"/>
        <w:jc w:val="center"/>
        <w:tblLayout w:type="fixed"/>
        <w:tblLook w:firstColumn="1" w:firstRow="1" w:lastColumn="0" w:lastRow="0" w:noHBand="0" w:noVBand="1" w:val="04A0"/>
      </w:tblPr>
      <w:tblGrid>
        <w:gridCol w:w="10224"/>
      </w:tblGrid>
      <w:tr>
        <w:tc>
          <w:tcPr>
            <w:tcW w:type="dxa" w:w="10224"/>
            <w:shd w:fill="EAF4F5"/>
            <w:tcMar>
              <w:top w:w="180" w:type="dxa"/>
              <w:start w:w="220" w:type="dxa"/>
              <w:bottom w:w="180" w:type="dxa"/>
              <w:end w:w="220" w:type="dxa"/>
            </w:tcMar>
            <w:tcBorders>
              <w:top w:val="single" w:sz="8" w:color="145A64"/>
              <w:left w:val="single" w:sz="8" w:color="145A64"/>
              <w:bottom w:val="single" w:sz="8" w:color="145A64"/>
              <w:right w:val="single" w:sz="8" w:color="145A64"/>
            </w:tcBorders>
          </w:tcPr>
          <w:p>
            <w:pPr>
              <w:jc w:val="center"/>
            </w:pPr>
            <w:r>
              <w:rPr>
                <w:rFonts w:ascii="Georgia" w:hAnsi="Georgia"/>
                <w:b/>
                <w:i/>
                <w:color w:val="20323D"/>
                <w:sz w:val="24"/>
              </w:rPr>
              <w:t>Does the evidence actually justify applying this rule?</w:t>
            </w:r>
          </w:p>
        </w:tc>
      </w:tr>
    </w:tbl>
    <w:p>
      <w:pPr>
        <w:spacing w:after="0"/>
      </w:pPr>
    </w:p>
    <w:p>
      <w:pPr>
        <w:spacing w:after="60"/>
      </w:pPr>
      <w:r>
        <w:rPr>
          <w:b/>
          <w:color w:val="145A64"/>
          <w:sz w:val="17"/>
        </w:rPr>
        <w:t xml:space="preserve">PURPOSE  </w:t>
      </w:r>
      <w:r>
        <w:rPr>
          <w:color w:val="1F2933"/>
          <w:sz w:val="20"/>
        </w:rPr>
        <w:t>Determines whether patient-specific evidence establishes entry into the active guideline population and satisfies inclusion pathways, exclusions, setting, chronicity, and safety prerequisites.</w:t>
      </w:r>
    </w:p>
    <w:p>
      <w:pPr>
        <w:spacing w:after="60"/>
      </w:pPr>
      <w:r>
        <w:rPr>
          <w:b/>
          <w:color w:val="145A64"/>
          <w:sz w:val="17"/>
        </w:rPr>
        <w:t xml:space="preserve">KEY EVIDENCE PRESSURE  </w:t>
      </w:r>
      <w:r>
        <w:rPr>
          <w:color w:val="1F2933"/>
          <w:sz w:val="20"/>
        </w:rPr>
        <w:t>Unconfirmed qualifying diagnosis; independent eligibility pathways; wrong guideline version; acute vs chronic abnormalities; excluded populations; disease eligibility vs medication-safety gates.</w:t>
      </w:r>
    </w:p>
    <w:p>
      <w:pPr>
        <w:spacing w:after="60"/>
      </w:pPr>
      <w:r>
        <w:rPr>
          <w:b/>
          <w:color w:val="145A64"/>
          <w:sz w:val="17"/>
        </w:rPr>
        <w:t xml:space="preserve">DECISION CLASSES  </w:t>
      </w:r>
      <w:r>
        <w:rPr>
          <w:color w:val="1F2933"/>
          <w:sz w:val="20"/>
        </w:rPr>
        <w:t>Applicable; applicable with conditions; not applicable; insufficient evidence; defer pending verification; correctly withheld</w:t>
      </w:r>
    </w:p>
    <w:tbl>
      <w:tblPr>
        <w:tblW w:type="auto" w:w="0"/>
        <w:jc w:val="center"/>
        <w:tblLook w:firstColumn="1" w:firstRow="1" w:lastColumn="0" w:lastRow="0" w:noHBand="0" w:noVBand="1" w:val="04A0"/>
      </w:tblPr>
      <w:tblGrid>
        <w:gridCol w:w="5112"/>
        <w:gridCol w:w="5112"/>
      </w:tblGrid>
      <w:tr>
        <w:tc>
          <w:tcPr>
            <w:tcW w:type="dxa" w:w="5112"/>
            <w:shd w:fill="F5F1E8"/>
            <w:tcMar>
              <w:top w:w="130" w:type="dxa"/>
              <w:start w:w="150" w:type="dxa"/>
              <w:bottom w:w="130" w:type="dxa"/>
              <w:end w:w="150" w:type="dxa"/>
            </w:tcMar>
            <w:tcBorders>
              <w:top w:val="single" w:sz="5" w:color="C7903E"/>
              <w:left w:val="single" w:sz="5" w:color="C7903E"/>
              <w:bottom w:val="single" w:sz="5" w:color="C7903E"/>
              <w:right w:val="single" w:sz="5" w:color="C7903E"/>
            </w:tcBorders>
          </w:tcPr>
          <w:p>
            <w:r>
              <w:rPr>
                <w:b/>
                <w:color w:val="C7903E"/>
                <w:sz w:val="16"/>
              </w:rPr>
              <w:t>FALSE-READY / FALSE-CLEAN PRESSURE</w:t>
            </w:r>
          </w:p>
          <w:p>
            <w:r>
              <w:rPr>
                <w:sz w:val="18"/>
              </w:rPr>
              <w:t>Correctly quoted guidelines applied before patient-specific population entry is proven</w:t>
            </w:r>
          </w:p>
        </w:tc>
        <w:tc>
          <w:tcPr>
            <w:tcW w:type="dxa" w:w="5112"/>
            <w:shd w:fill="EAF4F5"/>
            <w:tcMar>
              <w:top w:w="130" w:type="dxa"/>
              <w:start w:w="150" w:type="dxa"/>
              <w:bottom w:w="130" w:type="dxa"/>
              <w:end w:w="150" w:type="dxa"/>
            </w:tcMar>
            <w:tcBorders>
              <w:top w:val="single" w:sz="5" w:color="145A64"/>
              <w:left w:val="single" w:sz="5" w:color="145A64"/>
              <w:bottom w:val="single" w:sz="5" w:color="145A64"/>
              <w:right w:val="single" w:sz="5" w:color="145A64"/>
            </w:tcBorders>
          </w:tcPr>
          <w:p>
            <w:r>
              <w:rPr>
                <w:b/>
                <w:color w:val="145A64"/>
                <w:sz w:val="16"/>
              </w:rPr>
              <w:t>COUNTERBALANCE PRESSURE</w:t>
            </w:r>
          </w:p>
          <w:p>
            <w:r>
              <w:rPr>
                <w:sz w:val="18"/>
              </w:rPr>
              <w:t>Less familiar independent pathways support recommendations the dashboard denied</w:t>
            </w:r>
          </w:p>
        </w:tc>
      </w:tr>
    </w:tbl>
    <w:p/>
    <w:p>
      <w:pPr>
        <w:pStyle w:val="Heading2"/>
      </w:pPr>
      <w:r>
        <w:t>What strong performance looks like</w:t>
      </w:r>
    </w:p>
    <w:p>
      <w:pPr>
        <w:pStyle w:val="ListBullet"/>
        <w:spacing w:after="40"/>
        <w:ind w:left="288" w:hanging="216"/>
      </w:pPr>
      <w:r>
        <w:t>Identifies the active guideline and proves population entry before applying the rule.</w:t>
      </w:r>
    </w:p>
    <w:p>
      <w:pPr>
        <w:pStyle w:val="ListBullet"/>
        <w:spacing w:after="40"/>
        <w:ind w:left="288" w:hanging="216"/>
      </w:pPr>
      <w:r>
        <w:t>Separates diagnosis, eligibility, exclusion, safety, and implementation confidence.</w:t>
      </w:r>
    </w:p>
    <w:p>
      <w:pPr>
        <w:pStyle w:val="ListBullet"/>
        <w:spacing w:after="40"/>
        <w:ind w:left="288" w:hanging="216"/>
      </w:pPr>
      <w:r>
        <w:t>Recognizes alternate eligibility pathways and avoids single-threshold denial.</w:t>
      </w:r>
    </w:p>
    <w:p>
      <w:pPr>
        <w:pStyle w:val="ListBullet"/>
        <w:spacing w:after="40"/>
        <w:ind w:left="288" w:hanging="216"/>
      </w:pPr>
      <w:r>
        <w:t>Rejects inapplicable rules while identifying the correct alternate pathway.</w:t>
      </w:r>
    </w:p>
    <w:p>
      <w:pPr>
        <w:pStyle w:val="ListBullet"/>
        <w:spacing w:after="40"/>
        <w:ind w:left="288" w:hanging="216"/>
      </w:pPr>
      <w:r>
        <w:t>Distinguishes future potential eligibility from current safe implementation.</w:t>
      </w:r>
    </w:p>
    <w:p>
      <w:pPr>
        <w:spacing w:before="80"/>
      </w:pPr>
      <w:r>
        <w:rPr>
          <w:b/>
          <w:color w:val="145A64"/>
        </w:rPr>
        <w:t xml:space="preserve">Package: </w:t>
      </w:r>
      <w:r>
        <w:t>30 source documents | 4 batch archives | system/task prompt | strict grading rubric | design notes</w:t>
      </w:r>
    </w:p>
    <w:p>
      <w:r>
        <w:br w:type="page"/>
      </w:r>
    </w:p>
    <w:p>
      <w:pPr>
        <w:pStyle w:val="Heading1"/>
        <w:keepNext/>
      </w:pPr>
      <w:r>
        <w:t>Cross-Benchmark Failure Taxonomy</w:t>
      </w:r>
    </w:p>
    <w:tbl>
      <w:tblPr>
        <w:tblW w:type="auto" w:w="0"/>
        <w:jc w:val="center"/>
        <w:tblLook w:firstColumn="1" w:firstRow="1" w:lastColumn="0" w:lastRow="0" w:noHBand="0" w:noVBand="1" w:val="04A0"/>
      </w:tblPr>
      <w:tblGrid>
        <w:gridCol w:w="5112"/>
        <w:gridCol w:w="5112"/>
      </w:tblGrid>
      <w:tr>
        <w:tc>
          <w:tcPr>
            <w:tcW w:type="dxa" w:w="5112"/>
            <w:shd w:fill="145A64"/>
            <w:tcMar>
              <w:top w:w="85" w:type="dxa"/>
              <w:start w:w="100" w:type="dxa"/>
              <w:bottom w:w="85" w:type="dxa"/>
              <w:end w:w="100" w:type="dxa"/>
            </w:tcMar>
          </w:tcPr>
          <w:p>
            <w:r>
              <w:rPr>
                <w:b/>
                <w:color w:val="FFFFFF"/>
                <w:sz w:val="17"/>
              </w:rPr>
              <w:t>Label trust</w:t>
            </w:r>
          </w:p>
        </w:tc>
        <w:tc>
          <w:tcPr>
            <w:tcW w:type="dxa" w:w="5112"/>
            <w:shd w:fill="EAF4F5"/>
            <w:tcMar>
              <w:top w:w="85" w:type="dxa"/>
              <w:start w:w="120" w:type="dxa"/>
              <w:bottom w:w="85" w:type="dxa"/>
              <w:end w:w="120" w:type="dxa"/>
            </w:tcMar>
          </w:tcPr>
          <w:p>
            <w:r>
              <w:rPr>
                <w:sz w:val="18"/>
              </w:rPr>
              <w:t>Treating green, complete, ready, compliant, safe, or closed as proof.</w:t>
            </w:r>
          </w:p>
        </w:tc>
      </w:tr>
      <w:tr>
        <w:tc>
          <w:tcPr>
            <w:tcW w:type="dxa" w:w="5112"/>
            <w:shd w:fill="145A64"/>
            <w:tcMar>
              <w:top w:w="85" w:type="dxa"/>
              <w:start w:w="100" w:type="dxa"/>
              <w:bottom w:w="85" w:type="dxa"/>
              <w:end w:w="100" w:type="dxa"/>
            </w:tcMar>
          </w:tcPr>
          <w:p>
            <w:r>
              <w:rPr>
                <w:b/>
                <w:color w:val="FFFFFF"/>
                <w:sz w:val="17"/>
              </w:rPr>
              <w:t>Signature trust</w:t>
            </w:r>
          </w:p>
        </w:tc>
        <w:tc>
          <w:tcPr>
            <w:tcW w:type="dxa" w:w="5112"/>
            <w:shd w:fill="F7F9F9"/>
            <w:tcMar>
              <w:top w:w="85" w:type="dxa"/>
              <w:start w:w="120" w:type="dxa"/>
              <w:bottom w:w="85" w:type="dxa"/>
              <w:end w:w="120" w:type="dxa"/>
            </w:tcMar>
          </w:tcPr>
          <w:p>
            <w:r>
              <w:rPr>
                <w:sz w:val="18"/>
              </w:rPr>
              <w:t>Assuming signed documentation is correct, sufficient, current, or internally consistent.</w:t>
            </w:r>
          </w:p>
        </w:tc>
      </w:tr>
      <w:tr>
        <w:tc>
          <w:tcPr>
            <w:tcW w:type="dxa" w:w="5112"/>
            <w:shd w:fill="145A64"/>
            <w:tcMar>
              <w:top w:w="85" w:type="dxa"/>
              <w:start w:w="100" w:type="dxa"/>
              <w:bottom w:w="85" w:type="dxa"/>
              <w:end w:w="100" w:type="dxa"/>
            </w:tcMar>
          </w:tcPr>
          <w:p>
            <w:r>
              <w:rPr>
                <w:b/>
                <w:color w:val="FFFFFF"/>
                <w:sz w:val="17"/>
              </w:rPr>
              <w:t>Temporal / longitudinal failure</w:t>
            </w:r>
          </w:p>
        </w:tc>
        <w:tc>
          <w:tcPr>
            <w:tcW w:type="dxa" w:w="5112"/>
            <w:shd w:fill="EAF4F5"/>
            <w:tcMar>
              <w:top w:w="85" w:type="dxa"/>
              <w:start w:w="120" w:type="dxa"/>
              <w:bottom w:w="85" w:type="dxa"/>
              <w:end w:w="120" w:type="dxa"/>
            </w:tcMar>
          </w:tcPr>
          <w:p>
            <w:r>
              <w:rPr>
                <w:sz w:val="18"/>
              </w:rPr>
              <w:t>Ignoring later evidence or allowing copied conclusions, recurrence, and stale statuses to survive whole-record review.</w:t>
            </w:r>
          </w:p>
        </w:tc>
      </w:tr>
      <w:tr>
        <w:tc>
          <w:tcPr>
            <w:tcW w:type="dxa" w:w="5112"/>
            <w:shd w:fill="145A64"/>
            <w:tcMar>
              <w:top w:w="85" w:type="dxa"/>
              <w:start w:w="100" w:type="dxa"/>
              <w:bottom w:w="85" w:type="dxa"/>
              <w:end w:w="100" w:type="dxa"/>
            </w:tcMar>
          </w:tcPr>
          <w:p>
            <w:r>
              <w:rPr>
                <w:b/>
                <w:color w:val="FFFFFF"/>
                <w:sz w:val="17"/>
              </w:rPr>
              <w:t>Provenance failure</w:t>
            </w:r>
          </w:p>
        </w:tc>
        <w:tc>
          <w:tcPr>
            <w:tcW w:type="dxa" w:w="5112"/>
            <w:shd w:fill="F7F9F9"/>
            <w:tcMar>
              <w:top w:w="85" w:type="dxa"/>
              <w:start w:w="120" w:type="dxa"/>
              <w:bottom w:w="85" w:type="dxa"/>
              <w:end w:w="120" w:type="dxa"/>
            </w:tcMar>
          </w:tcPr>
          <w:p>
            <w:r>
              <w:rPr>
                <w:sz w:val="18"/>
              </w:rPr>
              <w:t>Using wrong-patient, wrong-date, wrong-body-region, spouse, or copied-forward evidence.</w:t>
            </w:r>
          </w:p>
        </w:tc>
      </w:tr>
      <w:tr>
        <w:tc>
          <w:tcPr>
            <w:tcW w:type="dxa" w:w="5112"/>
            <w:shd w:fill="145A64"/>
            <w:tcMar>
              <w:top w:w="85" w:type="dxa"/>
              <w:start w:w="100" w:type="dxa"/>
              <w:bottom w:w="85" w:type="dxa"/>
              <w:end w:w="100" w:type="dxa"/>
            </w:tcMar>
          </w:tcPr>
          <w:p>
            <w:r>
              <w:rPr>
                <w:b/>
                <w:color w:val="FFFFFF"/>
                <w:sz w:val="17"/>
              </w:rPr>
              <w:t>Criteria / applicability failure</w:t>
            </w:r>
          </w:p>
        </w:tc>
        <w:tc>
          <w:tcPr>
            <w:tcW w:type="dxa" w:w="5112"/>
            <w:shd w:fill="EAF4F5"/>
            <w:tcMar>
              <w:top w:w="85" w:type="dxa"/>
              <w:start w:w="120" w:type="dxa"/>
              <w:bottom w:w="85" w:type="dxa"/>
              <w:end w:w="120" w:type="dxa"/>
            </w:tcMar>
          </w:tcPr>
          <w:p>
            <w:r>
              <w:rPr>
                <w:sz w:val="18"/>
              </w:rPr>
              <w:t>Replacing exact policy, protocol, measure, coding, population-entry, or safety requirements with a plausible shortcut.</w:t>
            </w:r>
          </w:p>
        </w:tc>
      </w:tr>
      <w:tr>
        <w:tc>
          <w:tcPr>
            <w:tcW w:type="dxa" w:w="5112"/>
            <w:shd w:fill="145A64"/>
            <w:tcMar>
              <w:top w:w="85" w:type="dxa"/>
              <w:start w:w="100" w:type="dxa"/>
              <w:bottom w:w="85" w:type="dxa"/>
              <w:end w:w="100" w:type="dxa"/>
            </w:tcMar>
          </w:tcPr>
          <w:p>
            <w:r>
              <w:rPr>
                <w:b/>
                <w:color w:val="FFFFFF"/>
                <w:sz w:val="17"/>
              </w:rPr>
              <w:t>Attempt-completion collapse</w:t>
            </w:r>
          </w:p>
        </w:tc>
        <w:tc>
          <w:tcPr>
            <w:tcW w:type="dxa" w:w="5112"/>
            <w:shd w:fill="F7F9F9"/>
            <w:tcMar>
              <w:top w:w="85" w:type="dxa"/>
              <w:start w:w="120" w:type="dxa"/>
              <w:bottom w:w="85" w:type="dxa"/>
              <w:end w:w="120" w:type="dxa"/>
            </w:tcMar>
          </w:tcPr>
          <w:p>
            <w:r>
              <w:rPr>
                <w:sz w:val="18"/>
              </w:rPr>
              <w:t>Treating ordered, scheduled, prescribed, contacted, or initiated as completed.</w:t>
            </w:r>
          </w:p>
        </w:tc>
      </w:tr>
      <w:tr>
        <w:tc>
          <w:tcPr>
            <w:tcW w:type="dxa" w:w="5112"/>
            <w:shd w:fill="145A64"/>
            <w:tcMar>
              <w:top w:w="85" w:type="dxa"/>
              <w:start w:w="100" w:type="dxa"/>
              <w:bottom w:w="85" w:type="dxa"/>
              <w:end w:w="100" w:type="dxa"/>
            </w:tcMar>
          </w:tcPr>
          <w:p>
            <w:r>
              <w:rPr>
                <w:b/>
                <w:color w:val="FFFFFF"/>
                <w:sz w:val="17"/>
              </w:rPr>
              <w:t>Source hierarchy failure</w:t>
            </w:r>
          </w:p>
        </w:tc>
        <w:tc>
          <w:tcPr>
            <w:tcW w:type="dxa" w:w="5112"/>
            <w:shd w:fill="EAF4F5"/>
            <w:tcMar>
              <w:top w:w="85" w:type="dxa"/>
              <w:start w:w="120" w:type="dxa"/>
              <w:bottom w:w="85" w:type="dxa"/>
              <w:end w:w="120" w:type="dxa"/>
            </w:tcMar>
          </w:tcPr>
          <w:p>
            <w:r>
              <w:rPr>
                <w:sz w:val="18"/>
              </w:rPr>
              <w:t>Allowing dashboards, scratchpads, drafts, or claims data to override final authoritative evidence.</w:t>
            </w:r>
          </w:p>
        </w:tc>
      </w:tr>
      <w:tr>
        <w:tc>
          <w:tcPr>
            <w:tcW w:type="dxa" w:w="5112"/>
            <w:shd w:fill="145A64"/>
            <w:tcMar>
              <w:top w:w="85" w:type="dxa"/>
              <w:start w:w="100" w:type="dxa"/>
              <w:bottom w:w="85" w:type="dxa"/>
              <w:end w:w="100" w:type="dxa"/>
            </w:tcMar>
          </w:tcPr>
          <w:p>
            <w:r>
              <w:rPr>
                <w:b/>
                <w:color w:val="FFFFFF"/>
                <w:sz w:val="17"/>
              </w:rPr>
              <w:t>Over-escalation</w:t>
            </w:r>
          </w:p>
        </w:tc>
        <w:tc>
          <w:tcPr>
            <w:tcW w:type="dxa" w:w="5112"/>
            <w:shd w:fill="F7F9F9"/>
            <w:tcMar>
              <w:top w:w="85" w:type="dxa"/>
              <w:start w:w="120" w:type="dxa"/>
              <w:bottom w:w="85" w:type="dxa"/>
              <w:end w:w="120" w:type="dxa"/>
            </w:tcMar>
          </w:tcPr>
          <w:p>
            <w:r>
              <w:rPr>
                <w:sz w:val="18"/>
              </w:rPr>
              <w:t>Holding or escalating everything instead of recognizing supported release and closure.</w:t>
            </w:r>
          </w:p>
        </w:tc>
      </w:tr>
      <w:tr>
        <w:tc>
          <w:tcPr>
            <w:tcW w:type="dxa" w:w="5112"/>
            <w:shd w:fill="145A64"/>
            <w:tcMar>
              <w:top w:w="85" w:type="dxa"/>
              <w:start w:w="100" w:type="dxa"/>
              <w:bottom w:w="85" w:type="dxa"/>
              <w:end w:w="100" w:type="dxa"/>
            </w:tcMar>
          </w:tcPr>
          <w:p>
            <w:r>
              <w:rPr>
                <w:b/>
                <w:color w:val="FFFFFF"/>
                <w:sz w:val="17"/>
              </w:rPr>
              <w:t>Under-escalation</w:t>
            </w:r>
          </w:p>
        </w:tc>
        <w:tc>
          <w:tcPr>
            <w:tcW w:type="dxa" w:w="5112"/>
            <w:shd w:fill="EAF4F5"/>
            <w:tcMar>
              <w:top w:w="85" w:type="dxa"/>
              <w:start w:w="120" w:type="dxa"/>
              <w:bottom w:w="85" w:type="dxa"/>
              <w:end w:w="120" w:type="dxa"/>
            </w:tcMar>
          </w:tcPr>
          <w:p>
            <w:r>
              <w:rPr>
                <w:sz w:val="18"/>
              </w:rPr>
              <w:t>Accepting surface completeness despite material evidence gaps or patient-safety risk.</w:t>
            </w:r>
          </w:p>
        </w:tc>
      </w:tr>
      <w:tr>
        <w:tc>
          <w:tcPr>
            <w:tcW w:type="dxa" w:w="5112"/>
            <w:shd w:fill="145A64"/>
            <w:tcMar>
              <w:top w:w="85" w:type="dxa"/>
              <w:start w:w="100" w:type="dxa"/>
              <w:bottom w:w="85" w:type="dxa"/>
              <w:end w:w="100" w:type="dxa"/>
            </w:tcMar>
          </w:tcPr>
          <w:p>
            <w:r>
              <w:rPr>
                <w:b/>
                <w:color w:val="FFFFFF"/>
                <w:sz w:val="17"/>
              </w:rPr>
              <w:t>Unsupported confidence</w:t>
            </w:r>
          </w:p>
        </w:tc>
        <w:tc>
          <w:tcPr>
            <w:tcW w:type="dxa" w:w="5112"/>
            <w:shd w:fill="F7F9F9"/>
            <w:tcMar>
              <w:top w:w="85" w:type="dxa"/>
              <w:start w:w="120" w:type="dxa"/>
              <w:bottom w:w="85" w:type="dxa"/>
              <w:end w:w="120" w:type="dxa"/>
            </w:tcMar>
          </w:tcPr>
          <w:p>
            <w:r>
              <w:rPr>
                <w:sz w:val="18"/>
              </w:rPr>
              <w:t>Presenting an uncertain conclusion as definitive without explaining remaining gaps.</w:t>
            </w:r>
          </w:p>
        </w:tc>
      </w:tr>
    </w:tbl>
    <w:p>
      <w:pPr>
        <w:pStyle w:val="Heading1"/>
        <w:keepNext/>
      </w:pPr>
      <w:r>
        <w:t>Skills Demonstrated</w:t>
      </w:r>
    </w:p>
    <w:p>
      <w:pPr>
        <w:pStyle w:val="ListBullet"/>
        <w:spacing w:after="60"/>
        <w:ind w:left="288" w:hanging="216"/>
      </w:pPr>
      <w:r>
        <w:t>Healthcare workflow and documentation analysis across inpatient, outpatient, payer, research, population health, pharmacy, quality, coding, longitudinal care, and guideline-applicability domains.</w:t>
      </w:r>
    </w:p>
    <w:p>
      <w:pPr>
        <w:pStyle w:val="ListBullet"/>
        <w:spacing w:after="60"/>
        <w:ind w:left="288" w:hanging="216"/>
      </w:pPr>
      <w:r>
        <w:t>Multi-document source reconciliation and evidence hierarchy design.</w:t>
      </w:r>
    </w:p>
    <w:p>
      <w:pPr>
        <w:pStyle w:val="ListBullet"/>
        <w:spacing w:after="60"/>
        <w:ind w:left="288" w:hanging="216"/>
      </w:pPr>
      <w:r>
        <w:t>Creation of realistic synthetic records with temporal, provenance, identity, and criteria dependencies.</w:t>
      </w:r>
    </w:p>
    <w:p>
      <w:pPr>
        <w:pStyle w:val="ListBullet"/>
        <w:spacing w:after="60"/>
        <w:ind w:left="288" w:hanging="216"/>
      </w:pPr>
      <w:r>
        <w:t>Structured AI evaluation using explicit reasoning chains and strict grading rubrics.</w:t>
      </w:r>
    </w:p>
    <w:p>
      <w:pPr>
        <w:pStyle w:val="ListBullet"/>
        <w:spacing w:after="60"/>
        <w:ind w:left="288" w:hanging="216"/>
      </w:pPr>
      <w:r>
        <w:t>Failure-mode analysis, including tempting shortcuts and counterbalance cases.</w:t>
      </w:r>
    </w:p>
    <w:p>
      <w:pPr>
        <w:pStyle w:val="ListBullet"/>
        <w:spacing w:after="60"/>
        <w:ind w:left="288" w:hanging="216"/>
      </w:pPr>
      <w:r>
        <w:t>Translation of nursing judgment into reusable benchmark methodology.</w:t>
      </w:r>
    </w:p>
    <w:p>
      <w:pPr>
        <w:pStyle w:val="ListBullet"/>
        <w:spacing w:after="60"/>
        <w:ind w:left="288" w:hanging="216"/>
      </w:pPr>
      <w:r>
        <w:t>Clear portfolio documentation for evaluators, product teams, and hiring managers.</w:t>
      </w:r>
    </w:p>
    <w:p>
      <w:r>
        <w:br w:type="page"/>
      </w:r>
    </w:p>
    <w:p>
      <w:pPr>
        <w:pStyle w:val="Heading1"/>
        <w:keepNext/>
      </w:pPr>
      <w:r>
        <w:t>Relationship to HORB and UCM</w:t>
      </w:r>
    </w:p>
    <w:tbl>
      <w:tblPr>
        <w:tblW w:type="auto" w:w="0"/>
        <w:jc w:val="center"/>
        <w:tblLook w:firstColumn="1" w:firstRow="1" w:lastColumn="0" w:lastRow="0" w:noHBand="0" w:noVBand="1" w:val="04A0"/>
      </w:tblPr>
      <w:tblGrid>
        <w:gridCol w:w="3408"/>
        <w:gridCol w:w="3408"/>
        <w:gridCol w:w="3408"/>
      </w:tblGrid>
      <w:tr>
        <w:tc>
          <w:tcPr>
            <w:tcW w:type="dxa" w:w="3408"/>
            <w:shd w:fill="20323D"/>
            <w:tcMar>
              <w:top w:w="160" w:type="dxa"/>
              <w:start w:w="130" w:type="dxa"/>
              <w:bottom w:w="160" w:type="dxa"/>
              <w:end w:w="130" w:type="dxa"/>
            </w:tcMar>
          </w:tcPr>
          <w:p>
            <w:pPr>
              <w:jc w:val="center"/>
            </w:pPr>
            <w:r>
              <w:rPr>
                <w:rFonts w:ascii="Georgia" w:hAnsi="Georgia"/>
                <w:b/>
                <w:color w:val="FFFFFF"/>
                <w:sz w:val="34"/>
              </w:rPr>
              <w:t>HORB</w:t>
            </w:r>
          </w:p>
          <w:p>
            <w:pPr>
              <w:jc w:val="center"/>
            </w:pPr>
            <w:r>
              <w:rPr>
                <w:b/>
                <w:color w:val="DDE9EB"/>
                <w:sz w:val="18"/>
              </w:rPr>
              <w:t>Operational Reasoning</w:t>
            </w:r>
          </w:p>
          <w:p>
            <w:pPr>
              <w:jc w:val="center"/>
            </w:pPr>
            <w:r>
              <w:rPr>
                <w:i/>
                <w:color w:val="FFFFFF"/>
                <w:sz w:val="18"/>
              </w:rPr>
              <w:t>Can the AI reason through realistic healthcare operations?</w:t>
            </w:r>
          </w:p>
        </w:tc>
        <w:tc>
          <w:tcPr>
            <w:tcW w:type="dxa" w:w="3408"/>
            <w:shd w:fill="145A64"/>
            <w:tcMar>
              <w:top w:w="160" w:type="dxa"/>
              <w:start w:w="130" w:type="dxa"/>
              <w:bottom w:w="160" w:type="dxa"/>
              <w:end w:w="130" w:type="dxa"/>
            </w:tcMar>
          </w:tcPr>
          <w:p>
            <w:pPr>
              <w:jc w:val="center"/>
            </w:pPr>
            <w:r>
              <w:rPr>
                <w:rFonts w:ascii="Georgia" w:hAnsi="Georgia"/>
                <w:b/>
                <w:color w:val="FFFFFF"/>
                <w:sz w:val="34"/>
              </w:rPr>
              <w:t>EIED</w:t>
            </w:r>
          </w:p>
          <w:p>
            <w:pPr>
              <w:jc w:val="center"/>
            </w:pPr>
            <w:r>
              <w:rPr>
                <w:b/>
                <w:color w:val="DDE9EB"/>
                <w:sz w:val="18"/>
              </w:rPr>
              <w:t>Evidence Integrity</w:t>
            </w:r>
          </w:p>
          <w:p>
            <w:pPr>
              <w:jc w:val="center"/>
            </w:pPr>
            <w:r>
              <w:rPr>
                <w:i/>
                <w:color w:val="FFFFFF"/>
                <w:sz w:val="18"/>
              </w:rPr>
              <w:t>Has the AI earned the right to reach this conclusion?</w:t>
            </w:r>
          </w:p>
        </w:tc>
        <w:tc>
          <w:tcPr>
            <w:tcW w:type="dxa" w:w="3408"/>
            <w:shd w:fill="20323D"/>
            <w:tcMar>
              <w:top w:w="160" w:type="dxa"/>
              <w:start w:w="130" w:type="dxa"/>
              <w:bottom w:w="160" w:type="dxa"/>
              <w:end w:w="130" w:type="dxa"/>
            </w:tcMar>
          </w:tcPr>
          <w:p>
            <w:pPr>
              <w:jc w:val="center"/>
            </w:pPr>
            <w:r>
              <w:rPr>
                <w:rFonts w:ascii="Georgia" w:hAnsi="Georgia"/>
                <w:b/>
                <w:color w:val="FFFFFF"/>
                <w:sz w:val="34"/>
              </w:rPr>
              <w:t>UCM</w:t>
            </w:r>
          </w:p>
          <w:p>
            <w:pPr>
              <w:jc w:val="center"/>
            </w:pPr>
            <w:r>
              <w:rPr>
                <w:b/>
                <w:color w:val="DDE9EB"/>
                <w:sz w:val="18"/>
              </w:rPr>
              <w:t>Uncertainty Management</w:t>
            </w:r>
          </w:p>
          <w:p>
            <w:pPr>
              <w:jc w:val="center"/>
            </w:pPr>
            <w:r>
              <w:rPr>
                <w:i/>
                <w:color w:val="FFFFFF"/>
                <w:sz w:val="18"/>
              </w:rPr>
              <w:t>Has the AI exceeded what it can justify?</w:t>
            </w:r>
          </w:p>
        </w:tc>
      </w:tr>
    </w:tbl>
    <w:p>
      <w:pPr>
        <w:spacing w:before="200"/>
      </w:pPr>
      <w:r>
        <w:t>Together, the suites form a portfolio framework for evaluating healthcare AI across operational reasoning, evidence-supported decision-making, and epistemic restraint.</w:t>
      </w:r>
    </w:p>
    <w:p>
      <w:pPr>
        <w:pStyle w:val="Heading1"/>
        <w:keepNext/>
      </w:pPr>
      <w:r>
        <w:t>Scope and Limitations</w:t>
      </w:r>
    </w:p>
    <w:p>
      <w:pPr>
        <w:pStyle w:val="ListBullet"/>
        <w:spacing w:after="60"/>
        <w:ind w:left="288" w:hanging="216"/>
      </w:pPr>
      <w:r>
        <w:t>All people, organizations, records, and scenarios are fictional and synthetic.</w:t>
      </w:r>
    </w:p>
    <w:p>
      <w:pPr>
        <w:pStyle w:val="ListBullet"/>
        <w:spacing w:after="60"/>
        <w:ind w:left="288" w:hanging="216"/>
      </w:pPr>
      <w:r>
        <w:t>EIED is an independent portfolio and evaluation-design project, not clinical, regulatory, payer, coding, legal, or research guidance.</w:t>
      </w:r>
    </w:p>
    <w:p>
      <w:pPr>
        <w:pStyle w:val="ListBullet"/>
        <w:spacing w:after="60"/>
        <w:ind w:left="288" w:hanging="216"/>
      </w:pPr>
      <w:r>
        <w:t>The suite has not been presented as a psychometrically validated public leaderboard benchmark.</w:t>
      </w:r>
    </w:p>
    <w:p>
      <w:pPr>
        <w:pStyle w:val="ListBullet"/>
        <w:spacing w:after="60"/>
        <w:ind w:left="288" w:hanging="216"/>
      </w:pPr>
      <w:r>
        <w:t>Performance should be interpreted against the provided task instructions and grading rubrics.</w:t>
      </w:r>
    </w:p>
    <w:p>
      <w:pPr>
        <w:pStyle w:val="ListBullet"/>
        <w:spacing w:after="60"/>
        <w:ind w:left="288" w:hanging="216"/>
      </w:pPr>
      <w:r>
        <w:t>Future work may include formal model testing, inter-rater review, scoring calibration, and versioned benchmark releases.</w:t>
      </w:r>
    </w:p>
    <w:p>
      <w:pPr>
        <w:pStyle w:val="Heading1"/>
        <w:keepNext/>
      </w:pPr>
      <w:r>
        <w:t>About Meredith Reese, RN</w:t>
      </w:r>
    </w:p>
    <w:p>
      <w:r>
        <w:t>Meredith Reese is a Registered Nurse with experience across PCU, ICU, Neuro Trauma ICU, and hospital float nursing. Her benchmark work translates practical healthcare judgment—documentation review, prioritization, workflow constraints, evidence reconciliation, and interdisciplinary communication—into structured AI evaluation tasks.</w:t>
      </w:r>
    </w:p>
    <w:p>
      <w:r>
        <w:t>Her healthcare AI portfolio includes HORB, focused on operational reasoning; EIED, focused on evidence integrity and decision justification; and UCM, focused on uncertainty and confidence boundaries.</w:t>
      </w:r>
    </w:p>
    <w:p>
      <w:r>
        <w:rPr>
          <w:b/>
          <w:color w:val="145A64"/>
        </w:rPr>
        <w:t xml:space="preserve">GitHub: </w:t>
      </w:r>
      <w:hyperlink r:id="rId11">
        <w:r>
          <w:rPr>
            <w:color w:val="145A64"/>
            <w:u w:val="single"/>
          </w:rPr>
          <w:t>github.com/reesemeres-jpg</w:t>
        </w:r>
      </w:hyperlink>
    </w:p>
    <w:p>
      <w:pPr>
        <w:pStyle w:val="Heading1"/>
        <w:keepNext/>
      </w:pPr>
      <w:r>
        <w:t>Version Information</w:t>
      </w:r>
    </w:p>
    <w:p>
      <w:pPr>
        <w:spacing w:after="60"/>
      </w:pPr>
      <w:r>
        <w:rPr>
          <w:b/>
          <w:color w:val="145A64"/>
          <w:sz w:val="17"/>
        </w:rPr>
        <w:t xml:space="preserve">VERSION  </w:t>
      </w:r>
      <w:r>
        <w:rPr>
          <w:color w:val="1F2933"/>
          <w:sz w:val="20"/>
        </w:rPr>
        <w:t>1.0</w:t>
      </w:r>
    </w:p>
    <w:p>
      <w:pPr>
        <w:spacing w:after="60"/>
      </w:pPr>
      <w:r>
        <w:rPr>
          <w:b/>
          <w:color w:val="145A64"/>
          <w:sz w:val="17"/>
        </w:rPr>
        <w:t xml:space="preserve">STATUS  </w:t>
      </w:r>
      <w:r>
        <w:rPr>
          <w:color w:val="1F2933"/>
          <w:sz w:val="20"/>
        </w:rPr>
        <w:t>Final v1.0 portfolio release</w:t>
      </w:r>
    </w:p>
    <w:p>
      <w:pPr>
        <w:spacing w:after="60"/>
      </w:pPr>
      <w:r>
        <w:rPr>
          <w:b/>
          <w:color w:val="145A64"/>
          <w:sz w:val="17"/>
        </w:rPr>
        <w:t xml:space="preserve">RELEASE DATE  </w:t>
      </w:r>
      <w:r>
        <w:rPr>
          <w:color w:val="1F2933"/>
          <w:sz w:val="20"/>
        </w:rPr>
        <w:t>July 2026</w:t>
      </w:r>
    </w:p>
    <w:p>
      <w:pPr>
        <w:spacing w:after="60"/>
      </w:pPr>
      <w:r>
        <w:rPr>
          <w:b/>
          <w:color w:val="145A64"/>
          <w:sz w:val="17"/>
        </w:rPr>
        <w:t xml:space="preserve">AUTHOR  </w:t>
      </w:r>
      <w:r>
        <w:rPr>
          <w:color w:val="1F2933"/>
          <w:sz w:val="20"/>
        </w:rPr>
        <w:t>Meredith Reese, RN</w:t>
      </w:r>
    </w:p>
    <w:p>
      <w:pPr>
        <w:spacing w:after="60"/>
      </w:pPr>
      <w:r>
        <w:rPr>
          <w:b/>
          <w:color w:val="145A64"/>
          <w:sz w:val="17"/>
        </w:rPr>
        <w:t xml:space="preserve">CONTENTS  </w:t>
      </w:r>
      <w:r>
        <w:rPr>
          <w:color w:val="1F2933"/>
          <w:sz w:val="20"/>
        </w:rPr>
        <w:t>12 benchmarks, 360 fictional source documents, 48 batch archives, 12 prompts, 12 strict grading rubrics, and 12 design notes</w:t>
      </w:r>
    </w:p>
    <w:tbl>
      <w:tblPr>
        <w:tblW w:type="auto" w:w="0"/>
        <w:jc w:val="center"/>
        <w:tblLayout w:type="fixed"/>
        <w:tblLook w:firstColumn="1" w:firstRow="1" w:lastColumn="0" w:lastRow="0" w:noHBand="0" w:noVBand="1" w:val="04A0"/>
      </w:tblPr>
      <w:tblGrid>
        <w:gridCol w:w="10224"/>
      </w:tblGrid>
      <w:tr>
        <w:tc>
          <w:tcPr>
            <w:tcW w:type="dxa" w:w="10224"/>
            <w:shd w:fill="EAF4F5"/>
            <w:tcMar>
              <w:top w:w="180" w:type="dxa"/>
              <w:start w:w="220" w:type="dxa"/>
              <w:bottom w:w="180" w:type="dxa"/>
              <w:end w:w="220" w:type="dxa"/>
            </w:tcMar>
            <w:tcBorders>
              <w:top w:val="single" w:sz="8" w:color="145A64"/>
              <w:left w:val="single" w:sz="8" w:color="145A64"/>
              <w:bottom w:val="single" w:sz="8" w:color="145A64"/>
              <w:right w:val="single" w:sz="8" w:color="145A64"/>
            </w:tcBorders>
          </w:tcPr>
          <w:p>
            <w:pPr>
              <w:jc w:val="center"/>
            </w:pPr>
            <w:r>
              <w:rPr>
                <w:rFonts w:ascii="Georgia" w:hAnsi="Georgia"/>
                <w:b/>
                <w:i/>
                <w:color w:val="20323D"/>
                <w:sz w:val="28"/>
              </w:rPr>
              <w:t>Determine whether the evidence earns the decision.</w:t>
            </w:r>
          </w:p>
        </w:tc>
      </w:tr>
    </w:tbl>
    <w:p>
      <w:pPr>
        <w:spacing w:after="0"/>
      </w:pPr>
    </w:p>
    <w:sectPr w:rsidR="00FC693F" w:rsidRPr="0006063C" w:rsidSect="00034616">
      <w:headerReference w:type="default" r:id="rId9"/>
      <w:footerReference w:type="default" r:id="rId10"/>
      <w:pgSz w:w="12240" w:h="15840"/>
      <w:pgMar w:top="1008" w:right="1008" w:bottom="936" w:left="1008"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6C75"/>
        <w:sz w:val="16"/>
      </w:rPr>
      <w:t xml:space="preserve">Meredith Reese, RN   |   </w:t>
    </w:r>
    <w:r>
      <w:rPr>
        <w:rFonts w:ascii="Arial" w:hAnsi="Arial"/>
        <w:color w:val="5A6C75"/>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6C75"/>
        <w:sz w:val="16"/>
      </w:rPr>
      <w:t>EIED v1.0  |  Evidence Integrity &amp; Eligibility Determination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Georgia" w:hAnsi="Georgia"/>
      <w:b/>
      <w:bCs/>
      <w:color w:val="145A64"/>
      <w:sz w:val="4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Georgia" w:hAnsi="Georgia"/>
      <w:b/>
      <w:bCs/>
      <w:color w:val="20323D"/>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Georgia" w:hAnsi="Georgia"/>
      <w:b/>
      <w:bCs/>
      <w:color w:val="C7903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145A6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el">
    <w:name w:val="Label"/>
    <w:pPr>
      <w:spacing w:after="20"/>
    </w:pPr>
    <w:rPr>
      <w:rFonts w:ascii="Arial" w:hAnsi="Arial"/>
      <w:b/>
      <w:color w:val="145A6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reesemeres-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