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Georgia" w:hAnsi="Georgia"/>
          <w:b/>
          <w:color w:val="145A64"/>
          <w:sz w:val="56"/>
        </w:rPr>
        <w:t>EIED</w:t>
      </w:r>
    </w:p>
    <w:p>
      <w:pPr>
        <w:spacing w:after="40"/>
        <w:jc w:val="center"/>
      </w:pPr>
      <w:r>
        <w:rPr>
          <w:rFonts w:ascii="Georgia" w:hAnsi="Georgia"/>
          <w:b/>
          <w:color w:val="20323D"/>
          <w:sz w:val="34"/>
        </w:rPr>
        <w:t>Evidence Integrity &amp; Eligibility Determination</w:t>
      </w:r>
    </w:p>
    <w:p>
      <w:pPr>
        <w:spacing w:after="100"/>
        <w:jc w:val="center"/>
      </w:pPr>
      <w:r>
        <w:rPr>
          <w:color w:val="5A6C75"/>
          <w:sz w:val="17"/>
        </w:rPr>
        <w:t>Healthcare AI Benchmark Suite | Version 1.0 | Meredith Reese, RN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EAF4F5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8" w:color="145A64"/>
              <w:left w:val="single" w:sz="8" w:color="145A64"/>
              <w:bottom w:val="single" w:sz="8" w:color="145A64"/>
              <w:right w:val="single" w:sz="8" w:color="145A64"/>
            </w:tcBorders>
          </w:tcPr>
          <w:p>
            <w:pPr>
              <w:jc w:val="center"/>
            </w:pPr>
            <w:r>
              <w:rPr>
                <w:rFonts w:ascii="Georgia" w:hAnsi="Georgia"/>
                <w:b/>
                <w:i/>
                <w:color w:val="20323D"/>
                <w:sz w:val="22"/>
              </w:rPr>
              <w:t>Has the AI earned the right to reach this conclusion?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E4E6"/>
              <w:left w:val="single" w:sz="4" w:color="D5E4E6"/>
              <w:bottom w:val="single" w:sz="4" w:color="D5E4E6"/>
              <w:right w:val="single" w:sz="4" w:color="D5E4E6"/>
            </w:tcBorders>
            <w:shd w:fill="F7F9F9"/>
          </w:tcPr>
          <w:p>
            <w:r>
              <w:rPr>
                <w:b/>
                <w:color w:val="145A64"/>
                <w:sz w:val="16"/>
              </w:rPr>
              <w:t>WHAT IT TESTS</w:t>
            </w:r>
          </w:p>
          <w:p>
            <w:pPr>
              <w:spacing w:after="0"/>
            </w:pPr>
            <w:r>
              <w:rPr>
                <w:sz w:val="16"/>
              </w:rPr>
              <w:t>Whether an AI can distinguish evidence from assumption and determine if a healthcare decision is supported by sufficient, current, internally consistent, patient-specific, and authoritative evidence.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E4E6"/>
              <w:left w:val="single" w:sz="4" w:color="D5E4E6"/>
              <w:bottom w:val="single" w:sz="4" w:color="D5E4E6"/>
              <w:right w:val="single" w:sz="4" w:color="D5E4E6"/>
            </w:tcBorders>
            <w:shd w:fill="EAF4F5"/>
          </w:tcPr>
          <w:p>
            <w:r>
              <w:rPr>
                <w:b/>
                <w:color w:val="145A64"/>
                <w:sz w:val="16"/>
              </w:rPr>
              <w:t>SUITE AT A GLANCE</w:t>
            </w:r>
          </w:p>
          <w:p>
            <w:pPr>
              <w:pStyle w:val="ListBullet"/>
              <w:spacing w:after="0"/>
              <w:ind w:left="230" w:hanging="173"/>
            </w:pPr>
            <w:r>
              <w:rPr>
                <w:sz w:val="16"/>
              </w:rPr>
              <w:t>12 original benchmarks</w:t>
            </w:r>
          </w:p>
          <w:p>
            <w:pPr>
              <w:pStyle w:val="ListBullet"/>
              <w:spacing w:after="0"/>
              <w:ind w:left="230" w:hanging="173"/>
            </w:pPr>
            <w:r>
              <w:rPr>
                <w:sz w:val="16"/>
              </w:rPr>
              <w:t>360 fictional source documents</w:t>
            </w:r>
          </w:p>
          <w:p>
            <w:pPr>
              <w:pStyle w:val="ListBullet"/>
              <w:spacing w:after="0"/>
              <w:ind w:left="230" w:hanging="173"/>
            </w:pPr>
            <w:r>
              <w:rPr>
                <w:sz w:val="16"/>
              </w:rPr>
              <w:t>48 batch archives</w:t>
            </w:r>
          </w:p>
          <w:p>
            <w:pPr>
              <w:pStyle w:val="ListBullet"/>
              <w:spacing w:after="0"/>
              <w:ind w:left="230" w:hanging="173"/>
            </w:pPr>
            <w:r>
              <w:rPr>
                <w:sz w:val="16"/>
              </w:rPr>
              <w:t>12 strict rubrics + 12 design notes</w:t>
            </w:r>
          </w:p>
        </w:tc>
      </w:tr>
    </w:tbl>
    <w:p>
      <w:pPr>
        <w:spacing w:after="40"/>
      </w:pPr>
      <w:r>
        <w:rPr>
          <w:b/>
          <w:color w:val="145A64"/>
          <w:sz w:val="16"/>
        </w:rPr>
        <w:t xml:space="preserve">REASONING FRAMEWORK  </w:t>
      </w:r>
      <w:r>
        <w:rPr>
          <w:rFonts w:ascii="Georgia" w:hAnsi="Georgia"/>
          <w:b/>
          <w:color w:val="20323D"/>
          <w:sz w:val="22"/>
        </w:rPr>
        <w:t>Claim → Evidence → Confidence → Decision</w:t>
      </w:r>
    </w:p>
    <w:p>
      <w:pPr>
        <w:spacing w:after="80"/>
      </w:pPr>
      <w:r>
        <w:rPr>
          <w:b/>
          <w:color w:val="C7903E"/>
          <w:sz w:val="16"/>
        </w:rPr>
        <w:t xml:space="preserve">Signature principle: </w:t>
      </w:r>
      <w:r>
        <w:rPr>
          <w:i/>
          <w:sz w:val="17"/>
        </w:rPr>
        <w:t>Labels are claims—not evidence.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FFFFFF"/>
            <w:tcMar>
              <w:top w:w="60" w:type="dxa"/>
              <w:start w:w="85" w:type="dxa"/>
              <w:bottom w:w="60" w:type="dxa"/>
              <w:end w:w="85" w:type="dxa"/>
            </w:tcMar>
            <w:tcBorders>
              <w:bottom w:val="single" w:sz="3" w:color="D9E3E5"/>
            </w:tcBorders>
          </w:tcPr>
          <w:p>
            <w:pPr>
              <w:spacing w:after="0"/>
            </w:pPr>
            <w:r>
              <w:rPr>
                <w:b/>
                <w:color w:val="C7903E"/>
                <w:sz w:val="15"/>
              </w:rPr>
              <w:t xml:space="preserve">001  </w:t>
            </w:r>
            <w:r>
              <w:rPr>
                <w:b/>
                <w:color w:val="20323D"/>
                <w:sz w:val="15"/>
              </w:rPr>
              <w:t>Discharge Documentation Closure Eligibility Audit</w:t>
            </w:r>
          </w:p>
          <w:p>
            <w:pPr>
              <w:spacing w:after="0"/>
            </w:pPr>
            <w:r>
              <w:rPr>
                <w:color w:val="5A6C75"/>
                <w:sz w:val="14"/>
              </w:rPr>
              <w:t>Clinical documentation integrity and care-transition closure</w:t>
            </w:r>
          </w:p>
        </w:tc>
        <w:tc>
          <w:tcPr>
            <w:tcW w:type="dxa" w:w="5400"/>
            <w:shd w:fill="F7F9F9"/>
            <w:tcMar>
              <w:top w:w="60" w:type="dxa"/>
              <w:start w:w="85" w:type="dxa"/>
              <w:bottom w:w="60" w:type="dxa"/>
              <w:end w:w="85" w:type="dxa"/>
            </w:tcMar>
            <w:tcBorders>
              <w:bottom w:val="single" w:sz="3" w:color="D9E3E5"/>
            </w:tcBorders>
          </w:tcPr>
          <w:p>
            <w:pPr>
              <w:spacing w:after="0"/>
            </w:pPr>
            <w:r>
              <w:rPr>
                <w:b/>
                <w:color w:val="C7903E"/>
                <w:sz w:val="15"/>
              </w:rPr>
              <w:t xml:space="preserve">007  </w:t>
            </w:r>
            <w:r>
              <w:rPr>
                <w:b/>
                <w:color w:val="20323D"/>
                <w:sz w:val="15"/>
              </w:rPr>
              <w:t>Quality Measure Inclusion Validation</w:t>
            </w:r>
          </w:p>
          <w:p>
            <w:pPr>
              <w:spacing w:after="0"/>
            </w:pPr>
            <w:r>
              <w:rPr>
                <w:color w:val="5A6C75"/>
                <w:sz w:val="14"/>
              </w:rPr>
              <w:t>Hypertension quality-measure denominator, exclusion, and numerator review</w:t>
            </w:r>
          </w:p>
        </w:tc>
      </w:tr>
      <w:tr>
        <w:tc>
          <w:tcPr>
            <w:tcW w:type="dxa" w:w="5400"/>
            <w:shd w:fill="F7F9F9"/>
            <w:tcMar>
              <w:top w:w="60" w:type="dxa"/>
              <w:start w:w="85" w:type="dxa"/>
              <w:bottom w:w="60" w:type="dxa"/>
              <w:end w:w="85" w:type="dxa"/>
            </w:tcMar>
            <w:tcBorders>
              <w:bottom w:val="single" w:sz="3" w:color="D9E3E5"/>
            </w:tcBorders>
          </w:tcPr>
          <w:p>
            <w:pPr>
              <w:spacing w:after="0"/>
            </w:pPr>
            <w:r>
              <w:rPr>
                <w:b/>
                <w:color w:val="C7903E"/>
                <w:sz w:val="15"/>
              </w:rPr>
              <w:t xml:space="preserve">002  </w:t>
            </w:r>
            <w:r>
              <w:rPr>
                <w:b/>
                <w:color w:val="20323D"/>
                <w:sz w:val="15"/>
              </w:rPr>
              <w:t>Prior Authorization Evidence Review</w:t>
            </w:r>
          </w:p>
          <w:p>
            <w:pPr>
              <w:spacing w:after="0"/>
            </w:pPr>
            <w:r>
              <w:rPr>
                <w:color w:val="5A6C75"/>
                <w:sz w:val="14"/>
              </w:rPr>
              <w:t>Payer criteria, imaging, specialty medication, and DME authorization</w:t>
            </w:r>
          </w:p>
        </w:tc>
        <w:tc>
          <w:tcPr>
            <w:tcW w:type="dxa" w:w="5400"/>
            <w:shd w:fill="FFFFFF"/>
            <w:tcMar>
              <w:top w:w="60" w:type="dxa"/>
              <w:start w:w="85" w:type="dxa"/>
              <w:bottom w:w="60" w:type="dxa"/>
              <w:end w:w="85" w:type="dxa"/>
            </w:tcMar>
            <w:tcBorders>
              <w:bottom w:val="single" w:sz="3" w:color="D9E3E5"/>
            </w:tcBorders>
          </w:tcPr>
          <w:p>
            <w:pPr>
              <w:spacing w:after="0"/>
            </w:pPr>
            <w:r>
              <w:rPr>
                <w:b/>
                <w:color w:val="C7903E"/>
                <w:sz w:val="15"/>
              </w:rPr>
              <w:t xml:space="preserve">008  </w:t>
            </w:r>
            <w:r>
              <w:rPr>
                <w:b/>
                <w:color w:val="20323D"/>
                <w:sz w:val="15"/>
              </w:rPr>
              <w:t>Medication Safety Verification</w:t>
            </w:r>
          </w:p>
          <w:p>
            <w:pPr>
              <w:spacing w:after="0"/>
            </w:pPr>
            <w:r>
              <w:rPr>
                <w:color w:val="5A6C75"/>
                <w:sz w:val="14"/>
              </w:rPr>
              <w:t>High-risk medication release, dispensing, and alert verification</w:t>
            </w:r>
          </w:p>
        </w:tc>
      </w:tr>
      <w:tr>
        <w:tc>
          <w:tcPr>
            <w:tcW w:type="dxa" w:w="5400"/>
            <w:shd w:fill="FFFFFF"/>
            <w:tcMar>
              <w:top w:w="60" w:type="dxa"/>
              <w:start w:w="85" w:type="dxa"/>
              <w:bottom w:w="60" w:type="dxa"/>
              <w:end w:w="85" w:type="dxa"/>
            </w:tcMar>
            <w:tcBorders>
              <w:bottom w:val="single" w:sz="3" w:color="D9E3E5"/>
            </w:tcBorders>
          </w:tcPr>
          <w:p>
            <w:pPr>
              <w:spacing w:after="0"/>
            </w:pPr>
            <w:r>
              <w:rPr>
                <w:b/>
                <w:color w:val="C7903E"/>
                <w:sz w:val="15"/>
              </w:rPr>
              <w:t xml:space="preserve">003  </w:t>
            </w:r>
            <w:r>
              <w:rPr>
                <w:b/>
                <w:color w:val="20323D"/>
                <w:sz w:val="15"/>
              </w:rPr>
              <w:t>Clinical Trial Eligibility Validation</w:t>
            </w:r>
          </w:p>
          <w:p>
            <w:pPr>
              <w:spacing w:after="0"/>
            </w:pPr>
            <w:r>
              <w:rPr>
                <w:color w:val="5A6C75"/>
                <w:sz w:val="14"/>
              </w:rPr>
              <w:t>Oncology research screening and protocol eligibility</w:t>
            </w:r>
          </w:p>
        </w:tc>
        <w:tc>
          <w:tcPr>
            <w:tcW w:type="dxa" w:w="5400"/>
            <w:shd w:fill="F7F9F9"/>
            <w:tcMar>
              <w:top w:w="60" w:type="dxa"/>
              <w:start w:w="85" w:type="dxa"/>
              <w:bottom w:w="60" w:type="dxa"/>
              <w:end w:w="85" w:type="dxa"/>
            </w:tcMar>
            <w:tcBorders>
              <w:bottom w:val="single" w:sz="3" w:color="D9E3E5"/>
            </w:tcBorders>
          </w:tcPr>
          <w:p>
            <w:pPr>
              <w:spacing w:after="0"/>
            </w:pPr>
            <w:r>
              <w:rPr>
                <w:b/>
                <w:color w:val="C7903E"/>
                <w:sz w:val="15"/>
              </w:rPr>
              <w:t xml:space="preserve">009  </w:t>
            </w:r>
            <w:r>
              <w:rPr>
                <w:b/>
                <w:color w:val="20323D"/>
                <w:sz w:val="15"/>
              </w:rPr>
              <w:t>Case Closure Readiness Audit</w:t>
            </w:r>
          </w:p>
          <w:p>
            <w:pPr>
              <w:spacing w:after="0"/>
            </w:pPr>
            <w:r>
              <w:rPr>
                <w:color w:val="5A6C75"/>
                <w:sz w:val="14"/>
              </w:rPr>
              <w:t>Patient safety, communication, privacy, equipment, referral, and follow-up cases</w:t>
            </w:r>
          </w:p>
        </w:tc>
      </w:tr>
      <w:tr>
        <w:tc>
          <w:tcPr>
            <w:tcW w:type="dxa" w:w="5400"/>
            <w:shd w:fill="F7F9F9"/>
            <w:tcMar>
              <w:top w:w="60" w:type="dxa"/>
              <w:start w:w="85" w:type="dxa"/>
              <w:bottom w:w="60" w:type="dxa"/>
              <w:end w:w="85" w:type="dxa"/>
            </w:tcMar>
            <w:tcBorders>
              <w:bottom w:val="single" w:sz="3" w:color="D9E3E5"/>
            </w:tcBorders>
          </w:tcPr>
          <w:p>
            <w:pPr>
              <w:spacing w:after="0"/>
            </w:pPr>
            <w:r>
              <w:rPr>
                <w:b/>
                <w:color w:val="C7903E"/>
                <w:sz w:val="15"/>
              </w:rPr>
              <w:t xml:space="preserve">004  </w:t>
            </w:r>
            <w:r>
              <w:rPr>
                <w:b/>
                <w:color w:val="20323D"/>
                <w:sz w:val="15"/>
              </w:rPr>
              <w:t>Registry Enrollment Audit</w:t>
            </w:r>
          </w:p>
          <w:p>
            <w:pPr>
              <w:spacing w:after="0"/>
            </w:pPr>
            <w:r>
              <w:rPr>
                <w:color w:val="5A6C75"/>
                <w:sz w:val="14"/>
              </w:rPr>
              <w:t>Population health registry and colorectal screening outreach</w:t>
            </w:r>
          </w:p>
        </w:tc>
        <w:tc>
          <w:tcPr>
            <w:tcW w:type="dxa" w:w="5400"/>
            <w:shd w:fill="FFFFFF"/>
            <w:tcMar>
              <w:top w:w="60" w:type="dxa"/>
              <w:start w:w="85" w:type="dxa"/>
              <w:bottom w:w="60" w:type="dxa"/>
              <w:end w:w="85" w:type="dxa"/>
            </w:tcMar>
            <w:tcBorders>
              <w:bottom w:val="single" w:sz="3" w:color="D9E3E5"/>
            </w:tcBorders>
          </w:tcPr>
          <w:p>
            <w:pPr>
              <w:spacing w:after="0"/>
            </w:pPr>
            <w:r>
              <w:rPr>
                <w:b/>
                <w:color w:val="C7903E"/>
                <w:sz w:val="15"/>
              </w:rPr>
              <w:t xml:space="preserve">010  </w:t>
            </w:r>
            <w:r>
              <w:rPr>
                <w:b/>
                <w:color w:val="20323D"/>
                <w:sz w:val="15"/>
              </w:rPr>
              <w:t>Clinical Coding Evidence Validation</w:t>
            </w:r>
          </w:p>
          <w:p>
            <w:pPr>
              <w:spacing w:after="0"/>
            </w:pPr>
            <w:r>
              <w:rPr>
                <w:color w:val="5A6C75"/>
                <w:sz w:val="14"/>
              </w:rPr>
              <w:t>Diagnosis and principal-diagnosis coding integrity</w:t>
            </w:r>
          </w:p>
        </w:tc>
      </w:tr>
      <w:tr>
        <w:tc>
          <w:tcPr>
            <w:tcW w:type="dxa" w:w="5400"/>
            <w:shd w:fill="FFFFFF"/>
            <w:tcMar>
              <w:top w:w="60" w:type="dxa"/>
              <w:start w:w="85" w:type="dxa"/>
              <w:bottom w:w="60" w:type="dxa"/>
              <w:end w:w="85" w:type="dxa"/>
            </w:tcMar>
            <w:tcBorders>
              <w:bottom w:val="single" w:sz="3" w:color="D9E3E5"/>
            </w:tcBorders>
          </w:tcPr>
          <w:p>
            <w:pPr>
              <w:spacing w:after="0"/>
            </w:pPr>
            <w:r>
              <w:rPr>
                <w:b/>
                <w:color w:val="C7903E"/>
                <w:sz w:val="15"/>
              </w:rPr>
              <w:t xml:space="preserve">005  </w:t>
            </w:r>
            <w:r>
              <w:rPr>
                <w:b/>
                <w:color w:val="20323D"/>
                <w:sz w:val="15"/>
              </w:rPr>
              <w:t>Medical Necessity Documentation Review - Post-Acute Services</w:t>
            </w:r>
          </w:p>
          <w:p>
            <w:pPr>
              <w:spacing w:after="0"/>
            </w:pPr>
            <w:r>
              <w:rPr>
                <w:color w:val="5A6C75"/>
                <w:sz w:val="14"/>
              </w:rPr>
              <w:t>Home health, DME, wound therapy, oxygen, infusion, and outpatient therapy</w:t>
            </w:r>
          </w:p>
        </w:tc>
        <w:tc>
          <w:tcPr>
            <w:tcW w:type="dxa" w:w="5400"/>
            <w:shd w:fill="F7F9F9"/>
            <w:tcMar>
              <w:top w:w="60" w:type="dxa"/>
              <w:start w:w="85" w:type="dxa"/>
              <w:bottom w:w="60" w:type="dxa"/>
              <w:end w:w="85" w:type="dxa"/>
            </w:tcMar>
            <w:tcBorders>
              <w:bottom w:val="single" w:sz="3" w:color="D9E3E5"/>
            </w:tcBorders>
          </w:tcPr>
          <w:p>
            <w:pPr>
              <w:spacing w:after="0"/>
            </w:pPr>
            <w:r>
              <w:rPr>
                <w:b/>
                <w:color w:val="C7903E"/>
                <w:sz w:val="15"/>
              </w:rPr>
              <w:t xml:space="preserve">011  </w:t>
            </w:r>
            <w:r>
              <w:rPr>
                <w:b/>
                <w:color w:val="20323D"/>
                <w:sz w:val="15"/>
              </w:rPr>
              <w:t>Longitudinal Evidence Reconciliation</w:t>
            </w:r>
          </w:p>
          <w:p>
            <w:pPr>
              <w:spacing w:after="0"/>
            </w:pPr>
            <w:r>
              <w:rPr>
                <w:color w:val="5A6C75"/>
                <w:sz w:val="14"/>
              </w:rPr>
              <w:t>Whole-record reconciliation across multi-setting longitudinal care</w:t>
            </w:r>
          </w:p>
        </w:tc>
      </w:tr>
      <w:tr>
        <w:tc>
          <w:tcPr>
            <w:tcW w:type="dxa" w:w="5400"/>
            <w:shd w:fill="FFFFFF"/>
            <w:tcMar>
              <w:top w:w="60" w:type="dxa"/>
              <w:start w:w="85" w:type="dxa"/>
              <w:bottom w:w="60" w:type="dxa"/>
              <w:end w:w="85" w:type="dxa"/>
            </w:tcMar>
            <w:tcBorders>
              <w:bottom w:val="single" w:sz="3" w:color="D9E3E5"/>
            </w:tcBorders>
          </w:tcPr>
          <w:p>
            <w:pPr>
              <w:spacing w:after="0"/>
            </w:pPr>
            <w:r>
              <w:rPr>
                <w:b/>
                <w:color w:val="C7903E"/>
                <w:sz w:val="15"/>
              </w:rPr>
              <w:t xml:space="preserve">006  </w:t>
            </w:r>
            <w:r>
              <w:rPr>
                <w:b/>
                <w:color w:val="20323D"/>
                <w:sz w:val="15"/>
              </w:rPr>
              <w:t>Medical Necessity Documentation Review - Utilization Management</w:t>
            </w:r>
          </w:p>
          <w:p>
            <w:pPr>
              <w:spacing w:after="0"/>
            </w:pPr>
            <w:r>
              <w:rPr>
                <w:color w:val="5A6C75"/>
                <w:sz w:val="14"/>
              </w:rPr>
              <w:t>Imaging, procedures, treatment history, and exception pathways</w:t>
            </w:r>
          </w:p>
        </w:tc>
        <w:tc>
          <w:tcPr>
            <w:tcW w:type="dxa" w:w="5400"/>
            <w:shd w:fill="F7F9F9"/>
            <w:tcMar>
              <w:top w:w="60" w:type="dxa"/>
              <w:start w:w="85" w:type="dxa"/>
              <w:bottom w:w="60" w:type="dxa"/>
              <w:end w:w="85" w:type="dxa"/>
            </w:tcMar>
            <w:tcBorders>
              <w:bottom w:val="single" w:sz="3" w:color="D9E3E5"/>
            </w:tcBorders>
          </w:tcPr>
          <w:p>
            <w:pPr>
              <w:spacing w:after="0"/>
            </w:pPr>
            <w:r>
              <w:rPr>
                <w:b/>
                <w:color w:val="C7903E"/>
                <w:sz w:val="15"/>
              </w:rPr>
              <w:t xml:space="preserve">012  </w:t>
            </w:r>
            <w:r>
              <w:rPr>
                <w:b/>
                <w:color w:val="20323D"/>
                <w:sz w:val="15"/>
              </w:rPr>
              <w:t>Clinical Guideline Applicability Audit</w:t>
            </w:r>
          </w:p>
          <w:p>
            <w:pPr>
              <w:spacing w:after="0"/>
            </w:pPr>
            <w:r>
              <w:rPr>
                <w:color w:val="5A6C75"/>
                <w:sz w:val="14"/>
              </w:rPr>
              <w:t>Guideline population, eligibility, exclusion, version, and safety gates</w:t>
            </w:r>
          </w:p>
        </w:tc>
      </w:tr>
    </w:tbl>
    <w:p>
      <w:pPr>
        <w:spacing w:before="60" w:after="40"/>
      </w:pPr>
      <w:r>
        <w:rPr>
          <w:b/>
          <w:color w:val="145A64"/>
          <w:sz w:val="16"/>
        </w:rPr>
        <w:t>DESIGN STRENGTHS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shd w:fill="F7F9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145A64"/>
                <w:sz w:val="15"/>
              </w:rPr>
              <w:t>Balanced</w:t>
            </w:r>
          </w:p>
          <w:p>
            <w:pPr>
              <w:spacing w:after="0"/>
              <w:jc w:val="center"/>
            </w:pPr>
            <w:r>
              <w:rPr>
                <w:sz w:val="13"/>
              </w:rPr>
              <w:t>False-ready and false-hold cases punish blanket approval and blanket escalation.</w:t>
            </w:r>
          </w:p>
        </w:tc>
        <w:tc>
          <w:tcPr>
            <w:tcW w:type="dxa" w:w="3600"/>
            <w:shd w:fill="EAF4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145A64"/>
                <w:sz w:val="15"/>
              </w:rPr>
              <w:t>Multi-document</w:t>
            </w:r>
          </w:p>
          <w:p>
            <w:pPr>
              <w:spacing w:after="0"/>
              <w:jc w:val="center"/>
            </w:pPr>
            <w:r>
              <w:rPr>
                <w:sz w:val="13"/>
              </w:rPr>
              <w:t>Every task requires source reconciliation across realistic healthcare artifacts.</w:t>
            </w:r>
          </w:p>
        </w:tc>
        <w:tc>
          <w:tcPr>
            <w:tcW w:type="dxa" w:w="3600"/>
            <w:shd w:fill="F7F9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145A64"/>
                <w:sz w:val="15"/>
              </w:rPr>
              <w:t>Explicit</w:t>
            </w:r>
          </w:p>
          <w:p>
            <w:pPr>
              <w:spacing w:after="0"/>
              <w:jc w:val="center"/>
            </w:pPr>
            <w:r>
              <w:rPr>
                <w:sz w:val="13"/>
              </w:rPr>
              <w:t>Strict rubrics and design notes document evidence, timing, hierarchy, confidence, and failure modes.</w:t>
            </w:r>
          </w:p>
        </w:tc>
      </w:tr>
    </w:tbl>
    <w:p>
      <w:pPr>
        <w:spacing w:before="80" w:after="0"/>
        <w:jc w:val="center"/>
      </w:pPr>
      <w:r>
        <w:rPr>
          <w:color w:val="5A6C75"/>
          <w:sz w:val="15"/>
        </w:rPr>
        <w:t xml:space="preserve">Independent portfolio project by Meredith Reese, RN  |  </w:t>
      </w:r>
      <w:hyperlink r:id="rId11">
        <w:r>
          <w:rPr>
            <w:color w:val="145A64"/>
          </w:rPr>
          <w:t>github.com/reesemeres-jpg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605" w:right="720" w:bottom="547" w:left="720" w:header="360" w:footer="36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6C75"/>
        <w:sz w:val="16"/>
      </w:rPr>
      <w:t xml:space="preserve">Meredith Reese, RN   |   </w:t>
    </w:r>
    <w:r>
      <w:rPr>
        <w:rFonts w:ascii="Arial" w:hAnsi="Arial"/>
        <w:color w:val="5A6C75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6C75"/>
        <w:sz w:val="16"/>
      </w:rPr>
      <w:t>EIED v1.0  |  Evidence Integrity &amp; Eligibility Determination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60"/>
      <w:outlineLvl w:val="0"/>
    </w:pPr>
    <w:rPr>
      <w:rFonts w:asciiTheme="majorHAnsi" w:eastAsiaTheme="majorEastAsia" w:hAnsiTheme="majorHAnsi" w:cstheme="majorBidi" w:ascii="Georgia" w:hAnsi="Georgia"/>
      <w:b/>
      <w:bCs/>
      <w:color w:val="145A64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Georgia" w:hAnsi="Georgia"/>
      <w:b/>
      <w:bCs/>
      <w:color w:val="20323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Georgia" w:hAnsi="Georgia"/>
      <w:b/>
      <w:bCs/>
      <w:color w:val="C7903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45A6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el">
    <w:name w:val="Label"/>
    <w:pPr>
      <w:spacing w:after="20"/>
    </w:pPr>
    <w:rPr>
      <w:rFonts w:ascii="Arial" w:hAnsi="Arial"/>
      <w:b/>
      <w:color w:val="145A64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reesemeres-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