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pPr>
      <w:r>
        <w:rPr>
          <w:rFonts w:ascii="Arial" w:cs="Arial" w:eastAsia="Arial" w:hAnsi="Arial"/>
          <w:b/>
          <w:bCs/>
          <w:color w:val="1F4E79"/>
          <w:sz w:val="56"/>
          <w:szCs w:val="56"/>
        </w:rPr>
        <w:t xml:space="preserve">NIST Cybersecurity Framework 2.0</w:t>
      </w:r>
    </w:p>
    <w:p>
      <w:pPr>
        <w:spacing w:before="0" w:after="120"/>
      </w:pPr>
      <w:r>
        <w:rPr>
          <w:rFonts w:ascii="Arial" w:cs="Arial" w:eastAsia="Arial" w:hAnsi="Arial"/>
          <w:color w:val="555555"/>
          <w:sz w:val="28"/>
          <w:szCs w:val="28"/>
        </w:rPr>
        <w:t xml:space="preserve">Crosswalk to ISO 27001 | PCI-DSS v4 | SOC 2 Type II | ISO 42001</w:t>
      </w:r>
    </w:p>
    <w:p>
      <w:pPr>
        <w:spacing w:before="0" w:after="80"/>
      </w:pPr>
      <w:r>
        <w:rPr>
          <w:rFonts w:ascii="Arial" w:cs="Arial" w:eastAsia="Arial" w:hAnsi="Arial"/>
          <w:i/>
          <w:iCs/>
          <w:color w:val="777777"/>
          <w:sz w:val="22"/>
          <w:szCs w:val="22"/>
        </w:rPr>
        <w:t xml:space="preserve">AWS Compliance as Code — Auditor &amp; Training Reference</w:t>
      </w:r>
    </w:p>
    <w:p>
      <w:pPr>
        <w:spacing w:before="80" w:after="80"/>
      </w:pPr>
      <w:r>
        <w:rPr>
          <w:rFonts w:ascii="Arial" w:cs="Arial" w:eastAsia="Arial" w:hAnsi="Arial"/>
          <w:color w:val="999999"/>
          <w:sz w:val="18"/>
          <w:szCs w:val="18"/>
        </w:rPr>
        <w:t xml:space="preserve">Document date: March 25, 2026  |  Framework version: NIST CSF 2.0 (February 2024)</w:t>
      </w:r>
    </w:p>
    <w:p>
      <w:r>
        <w:br w:type="page"/>
      </w:r>
    </w:p>
    <w:p>
      <w:pPr>
        <w:pStyle w:val="Heading1"/>
        <w:spacing w:before="320" w:after="160"/>
      </w:pPr>
      <w:r>
        <w:rPr>
          <w:rFonts w:ascii="Arial" w:cs="Arial" w:eastAsia="Arial" w:hAnsi="Arial"/>
          <w:b/>
          <w:bCs/>
          <w:color w:val="1F4E79"/>
          <w:sz w:val="32"/>
          <w:szCs w:val="32"/>
        </w:rPr>
        <w:t xml:space="preserve">1. Purpose and Scope</w:t>
      </w:r>
    </w:p>
    <w:p>
      <w:pPr>
        <w:spacing w:before="80" w:after="80"/>
      </w:pPr>
      <w:r>
        <w:rPr>
          <w:rFonts w:ascii="Arial" w:cs="Arial" w:eastAsia="Arial" w:hAnsi="Arial"/>
          <w:color w:val="1A1A1A"/>
          <w:sz w:val="20"/>
          <w:szCs w:val="20"/>
        </w:rPr>
        <w:t xml:space="preserve">This document maps the four compliance frameworks already monitored by the AWS Compliance as Code system — ISO/IEC 27001:2022, PCI-DSS v4.0, SOC 2 Type II, and ISO 42001:2023 — to the NIST Cybersecurity Framework version 2.0 (NIST CSF 2.0), published in February 2024.</w:t>
      </w:r>
    </w:p>
    <w:p>
      <w:pPr>
        <w:spacing w:before="60" w:after="60"/>
      </w:pPr>
      <w:r>
        <w:t xml:space="preserve"/>
      </w:r>
    </w:p>
    <w:p>
      <w:pPr>
        <w:spacing w:before="80" w:after="80"/>
      </w:pPr>
      <w:r>
        <w:rPr>
          <w:rFonts w:ascii="Arial" w:cs="Arial" w:eastAsia="Arial" w:hAnsi="Arial"/>
          <w:color w:val="1A1A1A"/>
          <w:sz w:val="20"/>
          <w:szCs w:val="20"/>
        </w:rPr>
        <w:t xml:space="preserve">The crosswalk serves two audiences:</w:t>
      </w:r>
    </w:p>
    <w:p>
      <w:pPr>
        <w:pStyle w:val="ListParagraph"/>
        <w:numPr>
          <w:ilvl w:val="0"/>
          <w:numId w:val="2"/>
        </w:numPr>
        <w:spacing w:before="40" w:after="40"/>
      </w:pPr>
      <w:r>
        <w:rPr>
          <w:rFonts w:ascii="Arial" w:cs="Arial" w:eastAsia="Arial" w:hAnsi="Arial"/>
          <w:color w:val="1A1A1A"/>
          <w:sz w:val="20"/>
          <w:szCs w:val="20"/>
        </w:rPr>
        <w:t xml:space="preserve">Auditors — to demonstrate that existing evidence collection satisfies NIST CSF 2.0 subcategories, even though CSF is not currently a named framework in the system.</w:t>
      </w:r>
    </w:p>
    <w:p>
      <w:pPr>
        <w:pStyle w:val="ListParagraph"/>
        <w:numPr>
          <w:ilvl w:val="0"/>
          <w:numId w:val="2"/>
        </w:numPr>
        <w:spacing w:before="40" w:after="40"/>
      </w:pPr>
      <w:r>
        <w:rPr>
          <w:rFonts w:ascii="Arial" w:cs="Arial" w:eastAsia="Arial" w:hAnsi="Arial"/>
          <w:color w:val="1A1A1A"/>
          <w:sz w:val="20"/>
          <w:szCs w:val="20"/>
        </w:rPr>
        <w:t xml:space="preserve">Compliance team members — to understand how each AWS evidence signal (CloudTrail, Config, IAM, Security Hub) relates to the six CSF functions, and where genuine gaps exist.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r>
              <w:rPr>
                <w:rFonts w:ascii="Arial" w:cs="Arial" w:eastAsia="Arial" w:hAnsi="Arial"/>
                <w:i/>
                <w:iCs/>
                <w:color w:val="1A1A1A"/>
                <w:sz w:val="19"/>
                <w:szCs w:val="19"/>
              </w:rPr>
              <w:t xml:space="preserve">Important: This crosswalk covers the subcategories addressable by automated AWS evidence. Controls requiring policy documents, physical security, or manual runbooks are flagged with N/A in the AWS Signal column and identified as gap areas.</w:t>
            </w:r>
          </w:p>
        </w:tc>
      </w:tr>
    </w:tbl>
    <w:p>
      <w:pPr>
        <w:spacing w:before="60" w:after="60"/>
      </w:pPr>
      <w:r>
        <w:t xml:space="preserve"/>
      </w:r>
    </w:p>
    <w:p>
      <w:r>
        <w:br w:type="page"/>
      </w:r>
    </w:p>
    <w:p>
      <w:pPr>
        <w:pStyle w:val="Heading1"/>
        <w:spacing w:before="320" w:after="160"/>
      </w:pPr>
      <w:r>
        <w:rPr>
          <w:rFonts w:ascii="Arial" w:cs="Arial" w:eastAsia="Arial" w:hAnsi="Arial"/>
          <w:b/>
          <w:bCs/>
          <w:color w:val="1F4E79"/>
          <w:sz w:val="32"/>
          <w:szCs w:val="32"/>
        </w:rPr>
        <w:t xml:space="preserve">2. What Is NIST CSF 2.0?</w:t>
      </w:r>
    </w:p>
    <w:p>
      <w:pPr>
        <w:spacing w:before="80" w:after="80"/>
      </w:pPr>
      <w:r>
        <w:rPr>
          <w:rFonts w:ascii="Arial" w:cs="Arial" w:eastAsia="Arial" w:hAnsi="Arial"/>
          <w:color w:val="1A1A1A"/>
          <w:sz w:val="20"/>
          <w:szCs w:val="20"/>
        </w:rPr>
        <w:t xml:space="preserve">The NIST Cybersecurity Framework is a voluntary framework developed by the US National Institute of Standards and Technology. Version 2.0 was released in February 2024 and introduced a sixth function — Govern — to address organisational risk management and accountability at the leadership level.</w:t>
      </w:r>
    </w:p>
    <w:p>
      <w:pPr>
        <w:spacing w:before="60" w:after="60"/>
      </w:pPr>
      <w:r>
        <w:t xml:space="preserve"/>
      </w:r>
    </w:p>
    <w:p>
      <w:pPr>
        <w:pStyle w:val="Heading2"/>
        <w:spacing w:before="240" w:after="120"/>
      </w:pPr>
      <w:r>
        <w:rPr>
          <w:rFonts w:ascii="Arial" w:cs="Arial" w:eastAsia="Arial" w:hAnsi="Arial"/>
          <w:b/>
          <w:bCs/>
          <w:color w:val="1F4E79"/>
          <w:sz w:val="26"/>
          <w:szCs w:val="26"/>
        </w:rPr>
        <w:t xml:space="preserve">2.1 The Six Functions</w:t>
      </w:r>
    </w:p>
    <w:p>
      <w:pPr>
        <w:spacing w:before="80" w:after="80"/>
      </w:pPr>
      <w:r>
        <w:rPr>
          <w:rFonts w:ascii="Arial" w:cs="Arial" w:eastAsia="Arial" w:hAnsi="Arial"/>
          <w:color w:val="1A1A1A"/>
          <w:sz w:val="20"/>
          <w:szCs w:val="20"/>
        </w:rPr>
        <w:t xml:space="preserve">CSF 2.0 organises cybersecurity outcomes into six high-level functions. Think of them as the 'what' of cybersecurity, not the 'how'. Each function contains categories and subcategories that get increasingly specific.</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4500"/>
        <w:gridCol w:w="1100"/>
        <w:gridCol w:w="2160"/>
      </w:tblGrid>
      <w:tr>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Function</w:t>
            </w:r>
          </w:p>
        </w:tc>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Code</w:t>
            </w:r>
          </w:p>
        </w:tc>
        <w:tc>
          <w:tcPr>
            <w:tcW w:type="dxa" w:w="4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It Covers</w:t>
            </w:r>
          </w:p>
        </w:tc>
        <w:tc>
          <w:tcPr>
            <w:tcW w:type="dxa" w:w="11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New in 2.0?</w:t>
            </w:r>
          </w:p>
        </w:tc>
        <w:tc>
          <w:tcPr>
            <w:tcW w:type="dxa" w:w="21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Question</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GOVERN</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GV</w:t>
            </w:r>
          </w:p>
        </w:tc>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Organisational risk strategy, roles, policies, supply chain</w:t>
            </w:r>
          </w:p>
        </w:tc>
        <w:tc>
          <w:tcPr>
            <w:tcW w:type="dxa" w:w="11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jc w:val="center"/>
            </w:pPr>
            <w:r>
              <w:rPr>
                <w:rFonts w:ascii="Arial" w:cs="Arial" w:eastAsia="Arial" w:hAnsi="Arial"/>
                <w:b/>
                <w:bCs/>
                <w:sz w:val="18"/>
                <w:szCs w:val="18"/>
              </w:rPr>
              <w:t xml:space="preserve">YES — new function</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i/>
                <w:iCs/>
                <w:sz w:val="17"/>
                <w:szCs w:val="17"/>
              </w:rPr>
              <w:t xml:space="preserve">How do we manage cybersecurity as an organisation?</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IDENTIFY</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ID</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Asset inventory, risk assessment, improvement planning</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 (expanded)</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sz w:val="17"/>
                <w:szCs w:val="17"/>
              </w:rPr>
              <w:t xml:space="preserve">What do we have and what are the risks?</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PROTECT</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PR</w:t>
            </w:r>
          </w:p>
        </w:tc>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Identity management, access control, data protection, training</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 (expanded)</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i/>
                <w:iCs/>
                <w:sz w:val="17"/>
                <w:szCs w:val="17"/>
              </w:rPr>
              <w:t xml:space="preserve">How do we stop threats from succeeding?</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DETECT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DE</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Continuous monitoring, anomaly detection, event analysis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 (expanded)</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sz w:val="17"/>
                <w:szCs w:val="17"/>
              </w:rPr>
              <w:t xml:space="preserve">How do we know when something goes wrong?</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RESPOND</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RS</w:t>
            </w:r>
          </w:p>
        </w:tc>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Incident response, analysis, containment, communications</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i/>
                <w:iCs/>
                <w:sz w:val="17"/>
                <w:szCs w:val="17"/>
              </w:rPr>
              <w:t xml:space="preserve">What do we do when something goes wrong?</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RECOVER</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RC</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Recovery planning, restoration, post-incident communications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sz w:val="17"/>
                <w:szCs w:val="17"/>
              </w:rPr>
              <w:t xml:space="preserve">How do we get back to normal?</w:t>
            </w:r>
          </w:p>
        </w:tc>
      </w:tr>
    </w:tbl>
    <w:p>
      <w:pPr>
        <w:spacing w:before="60" w:after="60"/>
      </w:pPr>
      <w:r>
        <w:t xml:space="preserve"/>
      </w:r>
    </w:p>
    <w:p>
      <w:pPr>
        <w:spacing w:before="80" w:after="80"/>
      </w:pPr>
      <w:r>
        <w:rPr>
          <w:rFonts w:ascii="Arial" w:cs="Arial" w:eastAsia="Arial" w:hAnsi="Arial"/>
          <w:color w:val="1A1A1A"/>
          <w:sz w:val="20"/>
          <w:szCs w:val="20"/>
        </w:rPr>
        <w:t xml:space="preserve">Each function is further broken down into Categories (broad outcomes) and Subcategories (specific technical or process activities). This crosswalk maps at the subcategory level wherever possible, since that is where auditors look for evidence.</w:t>
      </w:r>
    </w:p>
    <w:p>
      <w:pPr>
        <w:spacing w:before="60" w:after="60"/>
      </w:pPr>
      <w:r>
        <w:t xml:space="preserve"/>
      </w:r>
    </w:p>
    <w:p>
      <w:r>
        <w:br w:type="page"/>
      </w:r>
    </w:p>
    <w:p>
      <w:pPr>
        <w:pStyle w:val="Heading1"/>
        <w:spacing w:before="320" w:after="160"/>
      </w:pPr>
      <w:r>
        <w:rPr>
          <w:rFonts w:ascii="Arial" w:cs="Arial" w:eastAsia="Arial" w:hAnsi="Arial"/>
          <w:b/>
          <w:bCs/>
          <w:color w:val="1F4E79"/>
          <w:sz w:val="32"/>
          <w:szCs w:val="32"/>
        </w:rPr>
        <w:t xml:space="preserve">3. Coverage Summary</w:t>
      </w:r>
    </w:p>
    <w:p>
      <w:pPr>
        <w:spacing w:before="80" w:after="80"/>
      </w:pPr>
      <w:r>
        <w:rPr>
          <w:rFonts w:ascii="Arial" w:cs="Arial" w:eastAsia="Arial" w:hAnsi="Arial"/>
          <w:color w:val="1A1A1A"/>
          <w:sz w:val="20"/>
          <w:szCs w:val="20"/>
        </w:rPr>
        <w:t xml:space="preserve">The table below shows how many NIST CSF 2.0 subcategories within each function are addressed by the existing AWS evidence signals, and where gaps remain. A subcategory is counted as 'covered' when at least one existing framework control (ISO 27001, PCI-DSS, SOC 2, or ISO 42001) maps to it AND an AWS evidence signal actively collects relevant data.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3000"/>
        <w:gridCol w:w="1560"/>
        <w:gridCol w:w="1560"/>
        <w:gridCol w:w="1640"/>
      </w:tblGrid>
      <w:tr>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Function</w:t>
            </w:r>
          </w:p>
        </w:tc>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Code</w:t>
            </w:r>
          </w:p>
        </w:tc>
        <w:tc>
          <w:tcPr>
            <w:tcW w:type="dxa" w:w="3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It Covers</w:t>
            </w:r>
          </w:p>
        </w:tc>
        <w:tc>
          <w:tcPr>
            <w:tcW w:type="dxa" w:w="15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Subcategories Mapped</w:t>
            </w:r>
          </w:p>
        </w:tc>
        <w:tc>
          <w:tcPr>
            <w:tcW w:type="dxa" w:w="15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AWS Evidence Covered</w:t>
            </w:r>
          </w:p>
        </w:tc>
        <w:tc>
          <w:tcPr>
            <w:tcW w:type="dxa" w:w="16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Gaps / Manual Controls</w:t>
            </w:r>
          </w:p>
        </w:tc>
      </w:tr>
      <w:tr>
        <w:tc>
          <w:tcPr>
            <w:tcW w:type="dxa" w:w="900"/>
            <w:tcBorders>
              <w:top w:val="single" w:color="CCCCCC" w:sz="4"/>
              <w:left w:val="single" w:color="CCCCCC" w:sz="4"/>
              <w:bottom w:val="single" w:color="CCCCCC" w:sz="4"/>
              <w:right w:val="single" w:color="CCCCCC" w:sz="4"/>
            </w:tcBorders>
            <w:shd w:fill="5B2C6F" w:val="clear"/>
            <w:tcMar>
              <w:top w:type="dxa" w:w="80"/>
              <w:left w:type="dxa" w:w="120"/>
              <w:bottom w:type="dxa" w:w="80"/>
              <w:right w:type="dxa" w:w="120"/>
            </w:tcMar>
          </w:tcPr>
          <w:p>
            <w:r>
              <w:rPr>
                <w:rFonts w:ascii="Arial" w:cs="Arial" w:eastAsia="Arial" w:hAnsi="Arial"/>
                <w:b/>
                <w:bCs/>
                <w:color w:val="FFFFFF"/>
                <w:sz w:val="17"/>
                <w:szCs w:val="17"/>
              </w:rPr>
              <w:t xml:space="preserve">GOVERN</w:t>
            </w:r>
          </w:p>
        </w:tc>
        <w:tc>
          <w:tcPr>
            <w:tcW w:type="dxa" w:w="700"/>
            <w:tcBorders>
              <w:top w:val="single" w:color="CCCCCC" w:sz="4"/>
              <w:left w:val="single" w:color="CCCCCC" w:sz="4"/>
              <w:bottom w:val="single" w:color="CCCCCC" w:sz="4"/>
              <w:right w:val="single" w:color="CCCCCC" w:sz="4"/>
            </w:tcBorders>
            <w:shd w:fill="5B2C6F"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GV</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7"/>
                <w:szCs w:val="17"/>
              </w:rPr>
              <w:t xml:space="preserve">Policies, roles, risk management, supply chain</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sz w:val="17"/>
                <w:szCs w:val="17"/>
              </w:rPr>
              <w:t xml:space="preserve">4</w:t>
            </w:r>
          </w:p>
        </w:tc>
        <w:tc>
          <w:tcPr>
            <w:tcW w:type="dxa" w:w="15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jc w:val="center"/>
            </w:pPr>
            <w:r>
              <w:rPr>
                <w:rFonts w:ascii="Arial" w:cs="Arial" w:eastAsia="Arial" w:hAnsi="Arial"/>
                <w:b/>
                <w:bCs/>
                <w:color w:val="1E6B3C"/>
                <w:sz w:val="17"/>
                <w:szCs w:val="17"/>
              </w:rPr>
              <w:t xml:space="preserve">3</w:t>
            </w:r>
          </w:p>
        </w:tc>
        <w:tc>
          <w:tcPr>
            <w:tcW w:type="dxa" w:w="164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pPr>
              <w:jc w:val="center"/>
            </w:pPr>
            <w:r>
              <w:rPr>
                <w:rFonts w:ascii="Arial" w:cs="Arial" w:eastAsia="Arial" w:hAnsi="Arial"/>
                <w:b/>
                <w:bCs/>
                <w:color w:val="7B241C"/>
                <w:sz w:val="17"/>
                <w:szCs w:val="17"/>
              </w:rPr>
              <w:t xml:space="preserve">1</w:t>
            </w:r>
          </w:p>
        </w:tc>
      </w:tr>
      <w:tr>
        <w:tc>
          <w:tcPr>
            <w:tcW w:type="dxa" w:w="900"/>
            <w:tcBorders>
              <w:top w:val="single" w:color="CCCCCC" w:sz="4"/>
              <w:left w:val="single" w:color="CCCCCC" w:sz="4"/>
              <w:bottom w:val="single" w:color="CCCCCC" w:sz="4"/>
              <w:right w:val="single" w:color="CCCCCC" w:sz="4"/>
            </w:tcBorders>
            <w:shd w:fill="1E6B3C" w:val="clear"/>
            <w:tcMar>
              <w:top w:type="dxa" w:w="80"/>
              <w:left w:type="dxa" w:w="120"/>
              <w:bottom w:type="dxa" w:w="80"/>
              <w:right w:type="dxa" w:w="120"/>
            </w:tcMar>
          </w:tcPr>
          <w:p>
            <w:r>
              <w:rPr>
                <w:rFonts w:ascii="Arial" w:cs="Arial" w:eastAsia="Arial" w:hAnsi="Arial"/>
                <w:b/>
                <w:bCs/>
                <w:color w:val="FFFFFF"/>
                <w:sz w:val="17"/>
                <w:szCs w:val="17"/>
              </w:rPr>
              <w:t xml:space="preserve">IDENTIFY</w:t>
            </w:r>
          </w:p>
        </w:tc>
        <w:tc>
          <w:tcPr>
            <w:tcW w:type="dxa" w:w="700"/>
            <w:tcBorders>
              <w:top w:val="single" w:color="CCCCCC" w:sz="4"/>
              <w:left w:val="single" w:color="CCCCCC" w:sz="4"/>
              <w:bottom w:val="single" w:color="CCCCCC" w:sz="4"/>
              <w:right w:val="single" w:color="CCCCCC" w:sz="4"/>
            </w:tcBorders>
            <w:shd w:fill="1E6B3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ID</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Asset inventory, risk assessment, vulnerability mgmt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17"/>
                <w:szCs w:val="17"/>
              </w:rPr>
              <w:t xml:space="preserve">4</w:t>
            </w:r>
          </w:p>
        </w:tc>
        <w:tc>
          <w:tcPr>
            <w:tcW w:type="dxa" w:w="15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jc w:val="center"/>
            </w:pPr>
            <w:r>
              <w:rPr>
                <w:rFonts w:ascii="Arial" w:cs="Arial" w:eastAsia="Arial" w:hAnsi="Arial"/>
                <w:b/>
                <w:bCs/>
                <w:color w:val="1E6B3C"/>
                <w:sz w:val="17"/>
                <w:szCs w:val="17"/>
              </w:rPr>
              <w:t xml:space="preserve">4</w:t>
            </w:r>
          </w:p>
        </w:tc>
        <w:tc>
          <w:tcPr>
            <w:tcW w:type="dxa" w:w="164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jc w:val="center"/>
            </w:pPr>
            <w:r>
              <w:rPr>
                <w:rFonts w:ascii="Arial" w:cs="Arial" w:eastAsia="Arial" w:hAnsi="Arial"/>
                <w:b w:val="false"/>
                <w:bCs w:val="false"/>
                <w:color w:val="1E6B3C"/>
                <w:sz w:val="17"/>
                <w:szCs w:val="17"/>
              </w:rPr>
              <w:t xml:space="preserve">0</w:t>
            </w:r>
          </w:p>
        </w:tc>
      </w:tr>
      <w:tr>
        <w:tc>
          <w:tcPr>
            <w:tcW w:type="dxa" w:w="900"/>
            <w:tcBorders>
              <w:top w:val="single" w:color="CCCCCC" w:sz="4"/>
              <w:left w:val="single" w:color="CCCCCC" w:sz="4"/>
              <w:bottom w:val="single" w:color="CCCCCC" w:sz="4"/>
              <w:right w:val="single" w:color="CCCCCC" w:sz="4"/>
            </w:tcBorders>
            <w:shd w:fill="7D4E00" w:val="clear"/>
            <w:tcMar>
              <w:top w:type="dxa" w:w="80"/>
              <w:left w:type="dxa" w:w="120"/>
              <w:bottom w:type="dxa" w:w="80"/>
              <w:right w:type="dxa" w:w="120"/>
            </w:tcMar>
          </w:tcPr>
          <w:p>
            <w:r>
              <w:rPr>
                <w:rFonts w:ascii="Arial" w:cs="Arial" w:eastAsia="Arial" w:hAnsi="Arial"/>
                <w:b/>
                <w:bCs/>
                <w:color w:val="FFFFFF"/>
                <w:sz w:val="17"/>
                <w:szCs w:val="17"/>
              </w:rPr>
              <w:t xml:space="preserve">PROTECT</w:t>
            </w:r>
          </w:p>
        </w:tc>
        <w:tc>
          <w:tcPr>
            <w:tcW w:type="dxa" w:w="700"/>
            <w:tcBorders>
              <w:top w:val="single" w:color="CCCCCC" w:sz="4"/>
              <w:left w:val="single" w:color="CCCCCC" w:sz="4"/>
              <w:bottom w:val="single" w:color="CCCCCC" w:sz="4"/>
              <w:right w:val="single" w:color="CCCCCC" w:sz="4"/>
            </w:tcBorders>
            <w:shd w:fill="7D4E0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PR</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7"/>
                <w:szCs w:val="17"/>
              </w:rPr>
              <w:t xml:space="preserve">Identity mgmt, data protection, network segmentation</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sz w:val="17"/>
                <w:szCs w:val="17"/>
              </w:rPr>
              <w:t xml:space="preserve">7</w:t>
            </w:r>
          </w:p>
        </w:tc>
        <w:tc>
          <w:tcPr>
            <w:tcW w:type="dxa" w:w="15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jc w:val="center"/>
            </w:pPr>
            <w:r>
              <w:rPr>
                <w:rFonts w:ascii="Arial" w:cs="Arial" w:eastAsia="Arial" w:hAnsi="Arial"/>
                <w:b/>
                <w:bCs/>
                <w:color w:val="1E6B3C"/>
                <w:sz w:val="17"/>
                <w:szCs w:val="17"/>
              </w:rPr>
              <w:t xml:space="preserve">7</w:t>
            </w:r>
          </w:p>
        </w:tc>
        <w:tc>
          <w:tcPr>
            <w:tcW w:type="dxa" w:w="164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jc w:val="center"/>
            </w:pPr>
            <w:r>
              <w:rPr>
                <w:rFonts w:ascii="Arial" w:cs="Arial" w:eastAsia="Arial" w:hAnsi="Arial"/>
                <w:b w:val="false"/>
                <w:bCs w:val="false"/>
                <w:color w:val="1E6B3C"/>
                <w:sz w:val="17"/>
                <w:szCs w:val="17"/>
              </w:rPr>
              <w:t xml:space="preserve">0</w:t>
            </w:r>
          </w:p>
        </w:tc>
      </w:tr>
      <w:tr>
        <w:tc>
          <w:tcPr>
            <w:tcW w:type="dxa" w:w="900"/>
            <w:tcBorders>
              <w:top w:val="single" w:color="CCCCCC" w:sz="4"/>
              <w:left w:val="single" w:color="CCCCCC" w:sz="4"/>
              <w:bottom w:val="single" w:color="CCCCCC" w:sz="4"/>
              <w:right w:val="single" w:color="CCCCCC" w:sz="4"/>
            </w:tcBorders>
            <w:shd w:fill="0E6655" w:val="clear"/>
            <w:tcMar>
              <w:top w:type="dxa" w:w="80"/>
              <w:left w:type="dxa" w:w="120"/>
              <w:bottom w:type="dxa" w:w="80"/>
              <w:right w:type="dxa" w:w="120"/>
            </w:tcMar>
          </w:tcPr>
          <w:p>
            <w:r>
              <w:rPr>
                <w:rFonts w:ascii="Arial" w:cs="Arial" w:eastAsia="Arial" w:hAnsi="Arial"/>
                <w:b/>
                <w:bCs/>
                <w:color w:val="FFFFFF"/>
                <w:sz w:val="17"/>
                <w:szCs w:val="17"/>
              </w:rPr>
              <w:t xml:space="preserve">DETECT</w:t>
            </w:r>
          </w:p>
        </w:tc>
        <w:tc>
          <w:tcPr>
            <w:tcW w:type="dxa" w:w="700"/>
            <w:tcBorders>
              <w:top w:val="single" w:color="CCCCCC" w:sz="4"/>
              <w:left w:val="single" w:color="CCCCCC" w:sz="4"/>
              <w:bottom w:val="single" w:color="CCCCCC" w:sz="4"/>
              <w:right w:val="single" w:color="CCCCCC" w:sz="4"/>
            </w:tcBorders>
            <w:shd w:fill="0E6655"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Continuous monitoring, anomaly detection, log integrity</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17"/>
                <w:szCs w:val="17"/>
              </w:rPr>
              <w:t xml:space="preserve">5</w:t>
            </w:r>
          </w:p>
        </w:tc>
        <w:tc>
          <w:tcPr>
            <w:tcW w:type="dxa" w:w="15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jc w:val="center"/>
            </w:pPr>
            <w:r>
              <w:rPr>
                <w:rFonts w:ascii="Arial" w:cs="Arial" w:eastAsia="Arial" w:hAnsi="Arial"/>
                <w:b/>
                <w:bCs/>
                <w:color w:val="1E6B3C"/>
                <w:sz w:val="17"/>
                <w:szCs w:val="17"/>
              </w:rPr>
              <w:t xml:space="preserve">5</w:t>
            </w:r>
          </w:p>
        </w:tc>
        <w:tc>
          <w:tcPr>
            <w:tcW w:type="dxa" w:w="164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jc w:val="center"/>
            </w:pPr>
            <w:r>
              <w:rPr>
                <w:rFonts w:ascii="Arial" w:cs="Arial" w:eastAsia="Arial" w:hAnsi="Arial"/>
                <w:b w:val="false"/>
                <w:bCs w:val="false"/>
                <w:color w:val="1E6B3C"/>
                <w:sz w:val="17"/>
                <w:szCs w:val="17"/>
              </w:rPr>
              <w:t xml:space="preserve">0</w:t>
            </w:r>
          </w:p>
        </w:tc>
      </w:tr>
      <w:tr>
        <w:tc>
          <w:tcPr>
            <w:tcW w:type="dxa" w:w="900"/>
            <w:tcBorders>
              <w:top w:val="single" w:color="CCCCCC" w:sz="4"/>
              <w:left w:val="single" w:color="CCCCCC" w:sz="4"/>
              <w:bottom w:val="single" w:color="CCCCCC" w:sz="4"/>
              <w:right w:val="single" w:color="CCCCCC" w:sz="4"/>
            </w:tcBorders>
            <w:shd w:fill="7B241C" w:val="clear"/>
            <w:tcMar>
              <w:top w:type="dxa" w:w="80"/>
              <w:left w:type="dxa" w:w="120"/>
              <w:bottom w:type="dxa" w:w="80"/>
              <w:right w:type="dxa" w:w="120"/>
            </w:tcMar>
          </w:tcPr>
          <w:p>
            <w:r>
              <w:rPr>
                <w:rFonts w:ascii="Arial" w:cs="Arial" w:eastAsia="Arial" w:hAnsi="Arial"/>
                <w:b/>
                <w:bCs/>
                <w:color w:val="FFFFFF"/>
                <w:sz w:val="17"/>
                <w:szCs w:val="17"/>
              </w:rPr>
              <w:t xml:space="preserve">RESPOND</w:t>
            </w:r>
          </w:p>
        </w:tc>
        <w:tc>
          <w:tcPr>
            <w:tcW w:type="dxa" w:w="700"/>
            <w:tcBorders>
              <w:top w:val="single" w:color="CCCCCC" w:sz="4"/>
              <w:left w:val="single" w:color="CCCCCC" w:sz="4"/>
              <w:bottom w:val="single" w:color="CCCCCC" w:sz="4"/>
              <w:right w:val="single" w:color="CCCCCC" w:sz="4"/>
            </w:tcBorders>
            <w:shd w:fill="7B241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RS</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7"/>
                <w:szCs w:val="17"/>
              </w:rPr>
              <w:t xml:space="preserve">Incident analysis, reporting, containment</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sz w:val="17"/>
                <w:szCs w:val="17"/>
              </w:rPr>
              <w:t xml:space="preserve">3</w:t>
            </w:r>
          </w:p>
        </w:tc>
        <w:tc>
          <w:tcPr>
            <w:tcW w:type="dxa" w:w="15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jc w:val="center"/>
            </w:pPr>
            <w:r>
              <w:rPr>
                <w:rFonts w:ascii="Arial" w:cs="Arial" w:eastAsia="Arial" w:hAnsi="Arial"/>
                <w:b/>
                <w:bCs/>
                <w:color w:val="1E6B3C"/>
                <w:sz w:val="17"/>
                <w:szCs w:val="17"/>
              </w:rPr>
              <w:t xml:space="preserve">2</w:t>
            </w:r>
          </w:p>
        </w:tc>
        <w:tc>
          <w:tcPr>
            <w:tcW w:type="dxa" w:w="164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pPr>
              <w:jc w:val="center"/>
            </w:pPr>
            <w:r>
              <w:rPr>
                <w:rFonts w:ascii="Arial" w:cs="Arial" w:eastAsia="Arial" w:hAnsi="Arial"/>
                <w:b/>
                <w:bCs/>
                <w:color w:val="7B241C"/>
                <w:sz w:val="17"/>
                <w:szCs w:val="17"/>
              </w:rPr>
              <w:t xml:space="preserve">1</w:t>
            </w:r>
          </w:p>
        </w:tc>
      </w:tr>
      <w:tr>
        <w:tc>
          <w:tcPr>
            <w:tcW w:type="dxa" w:w="900"/>
            <w:tcBorders>
              <w:top w:val="single" w:color="CCCCCC" w:sz="4"/>
              <w:left w:val="single" w:color="CCCCCC" w:sz="4"/>
              <w:bottom w:val="single" w:color="CCCCCC" w:sz="4"/>
              <w:right w:val="single" w:color="CCCCCC" w:sz="4"/>
            </w:tcBorders>
            <w:shd w:fill="154360" w:val="clear"/>
            <w:tcMar>
              <w:top w:type="dxa" w:w="80"/>
              <w:left w:type="dxa" w:w="120"/>
              <w:bottom w:type="dxa" w:w="80"/>
              <w:right w:type="dxa" w:w="120"/>
            </w:tcMar>
          </w:tcPr>
          <w:p>
            <w:r>
              <w:rPr>
                <w:rFonts w:ascii="Arial" w:cs="Arial" w:eastAsia="Arial" w:hAnsi="Arial"/>
                <w:b/>
                <w:bCs/>
                <w:color w:val="FFFFFF"/>
                <w:sz w:val="17"/>
                <w:szCs w:val="17"/>
              </w:rPr>
              <w:t xml:space="preserve">RECOVER</w:t>
            </w:r>
          </w:p>
        </w:tc>
        <w:tc>
          <w:tcPr>
            <w:tcW w:type="dxa" w:w="700"/>
            <w:tcBorders>
              <w:top w:val="single" w:color="CCCCCC" w:sz="4"/>
              <w:left w:val="single" w:color="CCCCCC" w:sz="4"/>
              <w:bottom w:val="single" w:color="CCCCCC" w:sz="4"/>
              <w:right w:val="single" w:color="CCCCCC" w:sz="4"/>
            </w:tcBorders>
            <w:shd w:fill="15436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RC</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Recovery planning, communications, post-incident review</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17"/>
                <w:szCs w:val="17"/>
              </w:rPr>
              <w:t xml:space="preserve">2</w:t>
            </w:r>
          </w:p>
        </w:tc>
        <w:tc>
          <w:tcPr>
            <w:tcW w:type="dxa" w:w="15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jc w:val="center"/>
            </w:pPr>
            <w:r>
              <w:rPr>
                <w:rFonts w:ascii="Arial" w:cs="Arial" w:eastAsia="Arial" w:hAnsi="Arial"/>
                <w:b/>
                <w:bCs/>
                <w:color w:val="1E6B3C"/>
                <w:sz w:val="17"/>
                <w:szCs w:val="17"/>
              </w:rPr>
              <w:t xml:space="preserve">1</w:t>
            </w:r>
          </w:p>
        </w:tc>
        <w:tc>
          <w:tcPr>
            <w:tcW w:type="dxa" w:w="164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pPr>
              <w:jc w:val="center"/>
            </w:pPr>
            <w:r>
              <w:rPr>
                <w:rFonts w:ascii="Arial" w:cs="Arial" w:eastAsia="Arial" w:hAnsi="Arial"/>
                <w:b/>
                <w:bCs/>
                <w:color w:val="7B241C"/>
                <w:sz w:val="17"/>
                <w:szCs w:val="17"/>
              </w:rPr>
              <w:t xml:space="preserve">1</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r>
              <w:rPr>
                <w:rFonts w:ascii="Arial" w:cs="Arial" w:eastAsia="Arial" w:hAnsi="Arial"/>
                <w:i/>
                <w:iCs/>
                <w:color w:val="1A1A1A"/>
                <w:sz w:val="19"/>
                <w:szCs w:val="19"/>
              </w:rPr>
              <w:t xml:space="preserve">Note on gap counts: Gaps in this table refer to subcategories that require policy documents, DR runbooks, physical controls, or vendor management practices that are outside the scope of automated AWS evidence collection. These gaps are expected and do not represent compliance failures — they represent controls that must be evidenced through documentation rather than tooling.</w:t>
            </w:r>
          </w:p>
        </w:tc>
      </w:tr>
    </w:tbl>
    <w:p>
      <w:pPr>
        <w:spacing w:before="60" w:after="60"/>
      </w:pPr>
      <w:r>
        <w:t xml:space="preserve"/>
      </w:r>
    </w:p>
    <w:p>
      <w:r>
        <w:br w:type="page"/>
      </w:r>
    </w:p>
    <w:p>
      <w:pPr>
        <w:pStyle w:val="Heading1"/>
        <w:spacing w:before="320" w:after="160"/>
      </w:pPr>
      <w:r>
        <w:rPr>
          <w:rFonts w:ascii="Arial" w:cs="Arial" w:eastAsia="Arial" w:hAnsi="Arial"/>
          <w:b/>
          <w:bCs/>
          <w:color w:val="1F4E79"/>
          <w:sz w:val="32"/>
          <w:szCs w:val="32"/>
        </w:rPr>
        <w:t xml:space="preserve">4. Detailed Crosswalk — Subcategory Mapping</w:t>
      </w:r>
    </w:p>
    <w:p>
      <w:pPr>
        <w:spacing w:before="80" w:after="80"/>
      </w:pPr>
      <w:r>
        <w:rPr>
          <w:rFonts w:ascii="Arial" w:cs="Arial" w:eastAsia="Arial" w:hAnsi="Arial"/>
          <w:color w:val="1A1A1A"/>
          <w:sz w:val="20"/>
          <w:szCs w:val="20"/>
        </w:rPr>
        <w:t xml:space="preserve">The table below maps each NIST CSF 2.0 subcategory in scope to its corresponding controls across ISO 27001, PCI-DSS v4.0, SOC 2 Type II, and ISO 42001. The final two columns connect each subcategory to the AWS evidence signal that provides automated coverage, and include a plain-language note for training purposes.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200"/>
              <w:bottom w:type="dxa" w:w="120"/>
              <w:right w:type="dxa" w:w="200"/>
            </w:tcMar>
          </w:tcPr>
          <w:p>
            <w:r>
              <w:rPr>
                <w:rFonts w:ascii="Arial" w:cs="Arial" w:eastAsia="Arial" w:hAnsi="Arial"/>
                <w:i/>
                <w:iCs/>
                <w:color w:val="1A1A1A"/>
                <w:sz w:val="19"/>
                <w:szCs w:val="19"/>
              </w:rPr>
              <w:t xml:space="preserve">How to read this table: Each row is one NIST CSF 2.0 subcategory. If an existing framework control cell contains an ID (e.g. A.5.16), that framework independently requires the same security outcome. The AWS Signal column tells you exactly which automated check in the compliance system covers it.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800"/>
        <w:gridCol w:w="900"/>
        <w:gridCol w:w="700"/>
        <w:gridCol w:w="700"/>
        <w:gridCol w:w="700"/>
        <w:gridCol w:w="1360"/>
        <w:gridCol w:w="1300"/>
      </w:tblGrid>
      <w:tr>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Function</w:t>
            </w:r>
          </w:p>
        </w:tc>
        <w:tc>
          <w:tcPr>
            <w:tcW w:type="dxa" w:w="1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CSF 2.0 Sub-category</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Outcome Description</w:t>
            </w:r>
          </w:p>
        </w:tc>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ISO 27001</w:t>
            </w:r>
          </w:p>
        </w:tc>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PCI-DSS v4</w:t>
            </w:r>
          </w:p>
        </w:tc>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SOC 2</w:t>
            </w:r>
          </w:p>
        </w:tc>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ISO 42001</w:t>
            </w:r>
          </w:p>
        </w:tc>
        <w:tc>
          <w:tcPr>
            <w:tcW w:type="dxa" w:w="13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AWS Evidence Signal</w:t>
            </w:r>
          </w:p>
        </w:tc>
        <w:tc>
          <w:tcPr>
            <w:tcW w:type="dxa" w:w="13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Training Notes</w:t>
            </w:r>
          </w:p>
        </w:tc>
      </w:tr>
      <w:tr>
        <w:tc>
          <w:tcPr>
            <w:tcW w:type="dxa" w:w="900"/>
            <w:tcBorders>
              <w:top w:val="single" w:color="CCCCCC" w:sz="4"/>
              <w:left w:val="single" w:color="CCCCCC" w:sz="4"/>
              <w:bottom w:val="single" w:color="CCCCCC" w:sz="4"/>
              <w:right w:val="single" w:color="CCCCCC" w:sz="4"/>
            </w:tcBorders>
            <w:shd w:fill="5B2C6F"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GV</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GV.OC-01</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Organizational mission understood, communicated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A.5.1, A.5.2</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4.1, 4.2</w:t>
            </w:r>
          </w:p>
        </w:tc>
        <w:tc>
          <w:tcPr>
            <w:tcW w:type="dxa" w:w="136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val="false"/>
                <w:bCs w:val="false"/>
                <w:color w:val="7D4E00"/>
                <w:sz w:val="16"/>
                <w:szCs w:val="16"/>
              </w:rPr>
              <w:t xml:space="preserve">N/A — policy doc control</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Partially addressed by ISO 42001 controls in scope. Gap for PCI/SOC 2.</w:t>
            </w:r>
          </w:p>
        </w:tc>
      </w:tr>
      <w:tr>
        <w:tc>
          <w:tcPr>
            <w:tcW w:type="dxa" w:w="900"/>
            <w:tcBorders>
              <w:top w:val="single" w:color="CCCCCC" w:sz="4"/>
              <w:left w:val="single" w:color="CCCCCC" w:sz="4"/>
              <w:bottom w:val="single" w:color="CCCCCC" w:sz="4"/>
              <w:right w:val="single" w:color="CCCCCC" w:sz="4"/>
            </w:tcBorders>
            <w:shd w:fill="5B2C6F"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GV</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GV.RM-01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Risk management objectives established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6.1.2, 8.2</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12.3.1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CC3.1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6.1</w:t>
            </w:r>
          </w:p>
        </w:tc>
        <w:tc>
          <w:tcPr>
            <w:tcW w:type="dxa" w:w="136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val="false"/>
                <w:bCs w:val="false"/>
                <w:color w:val="7D4E00"/>
                <w:sz w:val="16"/>
                <w:szCs w:val="16"/>
              </w:rPr>
              <w:t xml:space="preserve">N/A — governance control</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SOC 2 CC3.1 and ISO 27001 risk management directly map here.</w:t>
            </w:r>
          </w:p>
        </w:tc>
      </w:tr>
      <w:tr>
        <w:tc>
          <w:tcPr>
            <w:tcW w:type="dxa" w:w="900"/>
            <w:tcBorders>
              <w:top w:val="single" w:color="CCCCCC" w:sz="4"/>
              <w:left w:val="single" w:color="CCCCCC" w:sz="4"/>
              <w:bottom w:val="single" w:color="CCCCCC" w:sz="4"/>
              <w:right w:val="single" w:color="CCCCCC" w:sz="4"/>
            </w:tcBorders>
            <w:shd w:fill="5B2C6F"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GV</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GV.RM-06</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Risk responses tracked and communicated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8.3</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12.3.2</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CC3.2</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6.2</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GitHub Issues (automated gap tracking)</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Your automated GitHub Issues workflow directly satisfies this subcategory.</w:t>
            </w:r>
          </w:p>
        </w:tc>
      </w:tr>
      <w:tr>
        <w:tc>
          <w:tcPr>
            <w:tcW w:type="dxa" w:w="900"/>
            <w:tcBorders>
              <w:top w:val="single" w:color="CCCCCC" w:sz="4"/>
              <w:left w:val="single" w:color="CCCCCC" w:sz="4"/>
              <w:bottom w:val="single" w:color="CCCCCC" w:sz="4"/>
              <w:right w:val="single" w:color="CCCCCC" w:sz="4"/>
            </w:tcBorders>
            <w:shd w:fill="5B2C6F"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GV</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GV.SC-01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Cybersecurity supply chain risk management</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A.5.19, A.5.20</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12.8.1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CC9.2</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8.4</w:t>
            </w:r>
          </w:p>
        </w:tc>
        <w:tc>
          <w:tcPr>
            <w:tcW w:type="dxa" w:w="136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val="false"/>
                <w:bCs w:val="false"/>
                <w:color w:val="7D4E00"/>
                <w:sz w:val="16"/>
                <w:szCs w:val="16"/>
              </w:rPr>
              <w:t xml:space="preserve">N/A — vendor control</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OIDC credential approach (no third-party key storage) partially addresses this.</w:t>
            </w:r>
          </w:p>
        </w:tc>
      </w:tr>
      <w:tr>
        <w:tc>
          <w:tcPr>
            <w:tcW w:type="dxa" w:w="900"/>
            <w:tcBorders>
              <w:top w:val="single" w:color="CCCCCC" w:sz="4"/>
              <w:left w:val="single" w:color="CCCCCC" w:sz="4"/>
              <w:bottom w:val="single" w:color="CCCCCC" w:sz="4"/>
              <w:right w:val="single" w:color="CCCCCC" w:sz="4"/>
            </w:tcBorders>
            <w:shd w:fill="1E6B3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ID</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ID.AM-01</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Inventories of hardware assets maintained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A.8.1</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2.2.1</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CC6.1</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8.1</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aws_config_rules: all_rules_compliant</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AWS Config continuously inventories resources and detects drift.</w:t>
            </w:r>
          </w:p>
        </w:tc>
      </w:tr>
      <w:tr>
        <w:tc>
          <w:tcPr>
            <w:tcW w:type="dxa" w:w="900"/>
            <w:tcBorders>
              <w:top w:val="single" w:color="CCCCCC" w:sz="4"/>
              <w:left w:val="single" w:color="CCCCCC" w:sz="4"/>
              <w:bottom w:val="single" w:color="CCCCCC" w:sz="4"/>
              <w:right w:val="single" w:color="CCCCCC" w:sz="4"/>
            </w:tcBorders>
            <w:shd w:fill="1E6B3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ID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ID.AM-02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Inventories of software and services maintained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A.8.9</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6.3.3</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CC6.6</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8.2</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aws_config_rules: compliance_rate_above_90pct</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Config rules track software compliance state across the account.</w:t>
            </w:r>
          </w:p>
        </w:tc>
      </w:tr>
      <w:tr>
        <w:tc>
          <w:tcPr>
            <w:tcW w:type="dxa" w:w="900"/>
            <w:tcBorders>
              <w:top w:val="single" w:color="CCCCCC" w:sz="4"/>
              <w:left w:val="single" w:color="CCCCCC" w:sz="4"/>
              <w:bottom w:val="single" w:color="CCCCCC" w:sz="4"/>
              <w:right w:val="single" w:color="CCCCCC" w:sz="4"/>
            </w:tcBorders>
            <w:shd w:fill="1E6B3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ID</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ID.RA-01</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Vulnerabilities in assets identified and documented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A.8.8</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11.3.1, 11.3.2</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CC7.1</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6.6.2</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aws_securityhub_findings: security_hub_enabled</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Security Hub aggregates findings from multiple AWS services (Inspector, GuardDuty, etc.).</w:t>
            </w:r>
          </w:p>
        </w:tc>
      </w:tr>
      <w:tr>
        <w:tc>
          <w:tcPr>
            <w:tcW w:type="dxa" w:w="900"/>
            <w:tcBorders>
              <w:top w:val="single" w:color="CCCCCC" w:sz="4"/>
              <w:left w:val="single" w:color="CCCCCC" w:sz="4"/>
              <w:bottom w:val="single" w:color="CCCCCC" w:sz="4"/>
              <w:right w:val="single" w:color="CCCCCC" w:sz="4"/>
            </w:tcBorders>
            <w:shd w:fill="1E6B3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ID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ID.RA-04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Potential impacts and likelihoods of threats estimated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8.2</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12.3.2</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CC3.2</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6.1</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aws_securityhub_findings: no_critical_findings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Critical/High finding counts quantify current threat exposure.</w:t>
            </w:r>
          </w:p>
        </w:tc>
      </w:tr>
      <w:tr>
        <w:tc>
          <w:tcPr>
            <w:tcW w:type="dxa" w:w="900"/>
            <w:tcBorders>
              <w:top w:val="single" w:color="CCCCCC" w:sz="4"/>
              <w:left w:val="single" w:color="CCCCCC" w:sz="4"/>
              <w:bottom w:val="single" w:color="CCCCCC" w:sz="4"/>
              <w:right w:val="single" w:color="CCCCCC" w:sz="4"/>
            </w:tcBorders>
            <w:shd w:fill="7D4E00"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PR.AA-01</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Identities and credentials managed for authorised users</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A.5.16, A.5.17</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8.2.1, 8.3.1</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CC6.1</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6.4.1</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aws_iam_posture: password_policy_meets_pci</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IAM password policy check directly maps. Credential report validates active credentials.</w:t>
            </w:r>
          </w:p>
        </w:tc>
      </w:tr>
      <w:tr>
        <w:tc>
          <w:tcPr>
            <w:tcW w:type="dxa" w:w="900"/>
            <w:tcBorders>
              <w:top w:val="single" w:color="CCCCCC" w:sz="4"/>
              <w:left w:val="single" w:color="CCCCCC" w:sz="4"/>
              <w:bottom w:val="single" w:color="CCCCCC" w:sz="4"/>
              <w:right w:val="single" w:color="CCCCCC" w:sz="4"/>
            </w:tcBorders>
            <w:shd w:fill="7D4E00"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PR.AA-02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Physical and logical identities corroborated before access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A.5.17</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8.4.2, 8.4.3</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CC6.1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6.4.1</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aws_iam_posture: all_console_users_have_mfa</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MFA enforcement check is a direct 1:1 mapping to this subcategory.</w:t>
            </w:r>
          </w:p>
        </w:tc>
      </w:tr>
      <w:tr>
        <w:tc>
          <w:tcPr>
            <w:tcW w:type="dxa" w:w="900"/>
            <w:tcBorders>
              <w:top w:val="single" w:color="CCCCCC" w:sz="4"/>
              <w:left w:val="single" w:color="CCCCCC" w:sz="4"/>
              <w:bottom w:val="single" w:color="CCCCCC" w:sz="4"/>
              <w:right w:val="single" w:color="CCCCCC" w:sz="4"/>
            </w:tcBorders>
            <w:shd w:fill="7D4E00"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PR.AA-05</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Access permissions and authorisations managed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A.5.15, A.5.18</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7.1.1, 8.2.1</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CC6.1, CC6.2</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6.4.1</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aws_iam_posture: root_has_no_access_keys</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Root key check and stale key rotation both feed this subcategory.</w:t>
            </w:r>
          </w:p>
        </w:tc>
      </w:tr>
      <w:tr>
        <w:tc>
          <w:tcPr>
            <w:tcW w:type="dxa" w:w="900"/>
            <w:tcBorders>
              <w:top w:val="single" w:color="CCCCCC" w:sz="4"/>
              <w:left w:val="single" w:color="CCCCCC" w:sz="4"/>
              <w:bottom w:val="single" w:color="CCCCCC" w:sz="4"/>
              <w:right w:val="single" w:color="CCCCCC" w:sz="4"/>
            </w:tcBorders>
            <w:shd w:fill="7D4E00"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PR.AA-06</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Physical access managed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A.7.1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9.1.1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CC6.4</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136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val="false"/>
                <w:bCs w:val="false"/>
                <w:color w:val="7D4E00"/>
                <w:sz w:val="16"/>
                <w:szCs w:val="16"/>
              </w:rPr>
              <w:t xml:space="preserve">N/A — physical control (AWS data centre)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AWS shared responsibility — physical access is Amazon's obligation. Reference AWS SOC 2 report.</w:t>
            </w:r>
          </w:p>
        </w:tc>
      </w:tr>
      <w:tr>
        <w:tc>
          <w:tcPr>
            <w:tcW w:type="dxa" w:w="900"/>
            <w:tcBorders>
              <w:top w:val="single" w:color="CCCCCC" w:sz="4"/>
              <w:left w:val="single" w:color="CCCCCC" w:sz="4"/>
              <w:bottom w:val="single" w:color="CCCCCC" w:sz="4"/>
              <w:right w:val="single" w:color="CCCCCC" w:sz="4"/>
            </w:tcBorders>
            <w:shd w:fill="7D4E00"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PR.DS-01</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Data-at-rest protected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A.8.24</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3.4.1</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CC6.7</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aws_config_rules: no_high_value_rule_failures</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Encryption Config rules (e.g. s3-bucket-server-side-encryption-enabled) map here.</w:t>
            </w:r>
          </w:p>
        </w:tc>
      </w:tr>
      <w:tr>
        <w:tc>
          <w:tcPr>
            <w:tcW w:type="dxa" w:w="900"/>
            <w:tcBorders>
              <w:top w:val="single" w:color="CCCCCC" w:sz="4"/>
              <w:left w:val="single" w:color="CCCCCC" w:sz="4"/>
              <w:bottom w:val="single" w:color="CCCCCC" w:sz="4"/>
              <w:right w:val="single" w:color="CCCCCC" w:sz="4"/>
            </w:tcBorders>
            <w:shd w:fill="7D4E00"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PR.DS-02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Data-in-transit protected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A.8.24</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4.2.1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CC6.7</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aws_config_rules: no_high_value_rule_failures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TLS/encryption-in-transit Config rules surface here.</w:t>
            </w:r>
          </w:p>
        </w:tc>
      </w:tr>
      <w:tr>
        <w:tc>
          <w:tcPr>
            <w:tcW w:type="dxa" w:w="900"/>
            <w:tcBorders>
              <w:top w:val="single" w:color="CCCCCC" w:sz="4"/>
              <w:left w:val="single" w:color="CCCCCC" w:sz="4"/>
              <w:bottom w:val="single" w:color="CCCCCC" w:sz="4"/>
              <w:right w:val="single" w:color="CCCCCC" w:sz="4"/>
            </w:tcBorders>
            <w:shd w:fill="7D4E00"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PR.IR-01</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Networks and environments protected from unauthorised access</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A.8.20</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1.3.1</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CC6.6</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aws_config_rules: no_high_value_rule_failures (restricted-ssh)</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restricted-ssh Config rule maps directly. Other network isolation rules add coverage.</w:t>
            </w:r>
          </w:p>
        </w:tc>
      </w:tr>
      <w:tr>
        <w:tc>
          <w:tcPr>
            <w:tcW w:type="dxa" w:w="900"/>
            <w:tcBorders>
              <w:top w:val="single" w:color="CCCCCC" w:sz="4"/>
              <w:left w:val="single" w:color="CCCCCC" w:sz="4"/>
              <w:bottom w:val="single" w:color="CCCCCC" w:sz="4"/>
              <w:right w:val="single" w:color="CCCCCC" w:sz="4"/>
            </w:tcBorders>
            <w:shd w:fill="7D4E00"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PR.PS-01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Configuration management practices established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A.8.9</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2.2.1, 6.3.3</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CC7.1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6.6.1</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aws_config_rules: all_rules_compliant</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Config rules are the configuration management baseline. Continuous compliance = continuous check.</w:t>
            </w:r>
          </w:p>
        </w:tc>
      </w:tr>
      <w:tr>
        <w:tc>
          <w:tcPr>
            <w:tcW w:type="dxa" w:w="900"/>
            <w:tcBorders>
              <w:top w:val="single" w:color="CCCCCC" w:sz="4"/>
              <w:left w:val="single" w:color="CCCCCC" w:sz="4"/>
              <w:bottom w:val="single" w:color="CCCCCC" w:sz="4"/>
              <w:right w:val="single" w:color="CCCCCC" w:sz="4"/>
            </w:tcBorders>
            <w:shd w:fill="0E6655"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DE</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DE.AE-02</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Potentially adverse events analysed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A.8.15</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10.2.1, 10.3.3</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CC7.2</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6.5.1</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aws_cloudtrail_logs: active_logging_confirmed</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CloudTrail write events confirm logging is active and events are being captured for analysis.</w:t>
            </w:r>
          </w:p>
        </w:tc>
      </w:tr>
      <w:tr>
        <w:tc>
          <w:tcPr>
            <w:tcW w:type="dxa" w:w="900"/>
            <w:tcBorders>
              <w:top w:val="single" w:color="CCCCCC" w:sz="4"/>
              <w:left w:val="single" w:color="CCCCCC" w:sz="4"/>
              <w:bottom w:val="single" w:color="CCCCCC" w:sz="4"/>
              <w:right w:val="single" w:color="CCCCCC" w:sz="4"/>
            </w:tcBorders>
            <w:shd w:fill="0E6655"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DE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DE.AE-06</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Information on adverse events shared with authorised stakeholders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A.6.8</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12.10.1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CC7.3</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GitHub Issues (automated gap notifications)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Automated GitHub Issues share findings with stakeholders immediately on detection.</w:t>
            </w:r>
          </w:p>
        </w:tc>
      </w:tr>
      <w:tr>
        <w:tc>
          <w:tcPr>
            <w:tcW w:type="dxa" w:w="900"/>
            <w:tcBorders>
              <w:top w:val="single" w:color="CCCCCC" w:sz="4"/>
              <w:left w:val="single" w:color="CCCCCC" w:sz="4"/>
              <w:bottom w:val="single" w:color="CCCCCC" w:sz="4"/>
              <w:right w:val="single" w:color="CCCCCC" w:sz="4"/>
            </w:tcBorders>
            <w:shd w:fill="0E6655"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DE</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DE.CM-01</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Networks monitored to find adverse events</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A.8.15</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10.3.3</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CC7.2</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6.5.1</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aws_cloudtrail_logs: multi_region_coverage</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Multi-region CloudTrail ensures no blind spots across the account.</w:t>
            </w:r>
          </w:p>
        </w:tc>
      </w:tr>
      <w:tr>
        <w:tc>
          <w:tcPr>
            <w:tcW w:type="dxa" w:w="900"/>
            <w:tcBorders>
              <w:top w:val="single" w:color="CCCCCC" w:sz="4"/>
              <w:left w:val="single" w:color="CCCCCC" w:sz="4"/>
              <w:bottom w:val="single" w:color="CCCCCC" w:sz="4"/>
              <w:right w:val="single" w:color="CCCCCC" w:sz="4"/>
            </w:tcBorders>
            <w:shd w:fill="0E6655"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DE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DE.CM-03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Personnel activity and technology usage monitored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A.8.15</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10.2.1, 10.7.1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CC7.2</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6.5.1</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aws_cloudtrail_logs: log_validation_enabled</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Log file validation (tamper detection) ensures integrity of monitored activity records.</w:t>
            </w:r>
          </w:p>
        </w:tc>
      </w:tr>
      <w:tr>
        <w:tc>
          <w:tcPr>
            <w:tcW w:type="dxa" w:w="900"/>
            <w:tcBorders>
              <w:top w:val="single" w:color="CCCCCC" w:sz="4"/>
              <w:left w:val="single" w:color="CCCCCC" w:sz="4"/>
              <w:bottom w:val="single" w:color="CCCCCC" w:sz="4"/>
              <w:right w:val="single" w:color="CCCCCC" w:sz="4"/>
            </w:tcBorders>
            <w:shd w:fill="0E6655"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DE</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DE.CM-09</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Computing hardware and software monitored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A.8.8</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11.3.1, 11.3.2</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CC7.1, CC7.2</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6.6.2</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aws_securityhub_findings: cis_standard_enabled</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CIS AWS Foundations benchmark via Security Hub provides continuous hardware/software monitoring.</w:t>
            </w:r>
          </w:p>
        </w:tc>
      </w:tr>
      <w:tr>
        <w:tc>
          <w:tcPr>
            <w:tcW w:type="dxa" w:w="900"/>
            <w:tcBorders>
              <w:top w:val="single" w:color="CCCCCC" w:sz="4"/>
              <w:left w:val="single" w:color="CCCCCC" w:sz="4"/>
              <w:bottom w:val="single" w:color="CCCCCC" w:sz="4"/>
              <w:right w:val="single" w:color="CCCCCC" w:sz="4"/>
            </w:tcBorders>
            <w:shd w:fill="7B241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RS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RS.AN-03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Analysis performed to establish root cause of event</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A.5.26</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12.10.2</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CC7.3</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aws_securityhub_findings: no_critical_findings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Security Hub finding detail (title, resource, remediation) enables root cause workflow.</w:t>
            </w:r>
          </w:p>
        </w:tc>
      </w:tr>
      <w:tr>
        <w:tc>
          <w:tcPr>
            <w:tcW w:type="dxa" w:w="900"/>
            <w:tcBorders>
              <w:top w:val="single" w:color="CCCCCC" w:sz="4"/>
              <w:left w:val="single" w:color="CCCCCC" w:sz="4"/>
              <w:bottom w:val="single" w:color="CCCCCC" w:sz="4"/>
              <w:right w:val="single" w:color="CCCCCC" w:sz="4"/>
            </w:tcBorders>
            <w:shd w:fill="7B241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RS</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RS.CO-02</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Incidents reported consistent with criteria</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A.6.8</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12.10.1</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CC7.3</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GitHub Issues (automated reporting)</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Every FAIL signal opens a GitHub Issue — consistent, timestamped, auditable.</w:t>
            </w:r>
          </w:p>
        </w:tc>
      </w:tr>
      <w:tr>
        <w:tc>
          <w:tcPr>
            <w:tcW w:type="dxa" w:w="900"/>
            <w:tcBorders>
              <w:top w:val="single" w:color="CCCCCC" w:sz="4"/>
              <w:left w:val="single" w:color="CCCCCC" w:sz="4"/>
              <w:bottom w:val="single" w:color="CCCCCC" w:sz="4"/>
              <w:right w:val="single" w:color="CCCCCC" w:sz="4"/>
            </w:tcBorders>
            <w:shd w:fill="7B241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RS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RS.MI-01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Incidents contained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A.5.26</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12.10.3</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CC7.4</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136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val="false"/>
                <w:bCs w:val="false"/>
                <w:color w:val="7D4E00"/>
                <w:sz w:val="16"/>
                <w:szCs w:val="16"/>
              </w:rPr>
              <w:t xml:space="preserve">N/A — requires manual runbook</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Automation surfaces the gap; containment steps are in each GitHub Issue body (remediation field).</w:t>
            </w:r>
          </w:p>
        </w:tc>
      </w:tr>
      <w:tr>
        <w:tc>
          <w:tcPr>
            <w:tcW w:type="dxa" w:w="900"/>
            <w:tcBorders>
              <w:top w:val="single" w:color="CCCCCC" w:sz="4"/>
              <w:left w:val="single" w:color="CCCCCC" w:sz="4"/>
              <w:bottom w:val="single" w:color="CCCCCC" w:sz="4"/>
              <w:right w:val="single" w:color="CCCCCC" w:sz="4"/>
            </w:tcBorders>
            <w:shd w:fill="154360"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RC</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RC.RP-01</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Recovery plan executed during or after incident</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A.5.29</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12.10.4</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A1.3</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136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val="false"/>
                <w:bCs w:val="false"/>
                <w:color w:val="7D4E00"/>
                <w:sz w:val="16"/>
                <w:szCs w:val="16"/>
              </w:rPr>
              <w:t xml:space="preserve">N/A — requires runbook / DR plan</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Gap area for full NIST CSF coverage — DR plan documentation recommended.</w:t>
            </w:r>
          </w:p>
        </w:tc>
      </w:tr>
      <w:tr>
        <w:tc>
          <w:tcPr>
            <w:tcW w:type="dxa" w:w="900"/>
            <w:tcBorders>
              <w:top w:val="single" w:color="CCCCCC" w:sz="4"/>
              <w:left w:val="single" w:color="CCCCCC" w:sz="4"/>
              <w:bottom w:val="single" w:color="CCCCCC" w:sz="4"/>
              <w:right w:val="single" w:color="CCCCCC" w:sz="4"/>
            </w:tcBorders>
            <w:shd w:fill="154360"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RC</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RC.CO-03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Recovery activities and progress communicated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A.5.29</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12.10.4</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A1.3</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GitHub Issues (close = recovery confirmed)</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Closing a GitHub Issue after remediation and re-run creates a documented recovery record.</w:t>
            </w:r>
          </w:p>
        </w:tc>
      </w:tr>
    </w:tbl>
    <w:p>
      <w:pPr>
        <w:spacing w:before="60" w:after="60"/>
      </w:pPr>
      <w:r>
        <w:t xml:space="preserve"/>
      </w:r>
    </w:p>
    <w:p>
      <w:r>
        <w:br w:type="page"/>
      </w:r>
    </w:p>
    <w:p>
      <w:pPr>
        <w:pStyle w:val="Heading1"/>
        <w:spacing w:before="320" w:after="160"/>
      </w:pPr>
      <w:r>
        <w:rPr>
          <w:rFonts w:ascii="Arial" w:cs="Arial" w:eastAsia="Arial" w:hAnsi="Arial"/>
          <w:b/>
          <w:bCs/>
          <w:color w:val="1F4E79"/>
          <w:sz w:val="32"/>
          <w:szCs w:val="32"/>
        </w:rPr>
        <w:t xml:space="preserve">5. Gap Analysis — What Automation Cannot Cover</w:t>
      </w:r>
    </w:p>
    <w:p>
      <w:pPr>
        <w:spacing w:before="80" w:after="80"/>
      </w:pPr>
      <w:r>
        <w:rPr>
          <w:rFonts w:ascii="Arial" w:cs="Arial" w:eastAsia="Arial" w:hAnsi="Arial"/>
          <w:color w:val="1A1A1A"/>
          <w:sz w:val="20"/>
          <w:szCs w:val="20"/>
        </w:rPr>
        <w:t xml:space="preserve">Automated AWS evidence is powerful, but it cannot replace human-authored documents and processes. The following subcategories have partial or no coverage from the current tooling and require additional artefacts to satisfy a NIST CSF 2.0 assessment.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2300"/>
        <w:gridCol w:w="3500"/>
        <w:gridCol w:w="860"/>
      </w:tblGrid>
      <w:tr>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CSF Sub-category</w:t>
            </w:r>
          </w:p>
        </w:tc>
        <w:tc>
          <w:tcPr>
            <w:tcW w:type="dxa" w:w="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Function</w:t>
            </w:r>
          </w:p>
        </w:tc>
        <w:tc>
          <w:tcPr>
            <w:tcW w:type="dxa" w:w="23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Gap Description</w:t>
            </w:r>
          </w:p>
        </w:tc>
        <w:tc>
          <w:tcPr>
            <w:tcW w:type="dxa" w:w="3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Recommended Action</w:t>
            </w:r>
          </w:p>
        </w:tc>
        <w:tc>
          <w:tcPr>
            <w:tcW w:type="dxa" w:w="8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Effort</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GV.OC-01</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GOVERN</w:t>
            </w:r>
          </w:p>
        </w:tc>
        <w:tc>
          <w:tcPr>
            <w:tcW w:type="dxa" w:w="23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Organisational mission and cybersecurity objectives documented</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Create an Information Security Policy document signed by leadership. Link it from the repository README.</w:t>
            </w:r>
          </w:p>
        </w:tc>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7B241C"/>
                <w:sz w:val="18"/>
                <w:szCs w:val="18"/>
              </w:rPr>
              <w:t xml:space="preserve">Low — document only</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GV.SC-01 / GV.SC-06</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GOVERN</w:t>
            </w:r>
          </w:p>
        </w:tc>
        <w:tc>
          <w:tcPr>
            <w:tcW w:type="dxa" w:w="23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Supplier / third-party cybersecurity requirements managed</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Document AWS as a critical third-party supplier. Reference AWS Shared Responsibility Model and AWS SOC 2 report in your vendor register.</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7B241C"/>
                <w:sz w:val="18"/>
                <w:szCs w:val="18"/>
              </w:rPr>
              <w:t xml:space="preserve">Low — documentation + annual review</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PR.AA-06</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PROTECT</w:t>
            </w:r>
          </w:p>
        </w:tc>
        <w:tc>
          <w:tcPr>
            <w:tcW w:type="dxa" w:w="23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Physical access controls (data centre)</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Leverage AWS compliance artefacts (ISO 27001, SOC 2 report) as evidence of physical controls. This is a shared responsibility — Amazon owns the physical layer.</w:t>
            </w:r>
          </w:p>
        </w:tc>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7B241C"/>
                <w:sz w:val="18"/>
                <w:szCs w:val="18"/>
              </w:rPr>
              <w:t xml:space="preserve">None — obtain AWS artefacts</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RS.MI-01</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RESPOND</w:t>
            </w:r>
          </w:p>
        </w:tc>
        <w:tc>
          <w:tcPr>
            <w:tcW w:type="dxa" w:w="23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Incident containment runbook</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Write a one-page incident response playbook per finding type (e.g. 'stale key detected', 'critical Security Hub finding'). Store in docs/ in the repo.</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7B241C"/>
                <w:sz w:val="18"/>
                <w:szCs w:val="18"/>
              </w:rPr>
              <w:t xml:space="preserve">Medium — runbook authoring</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RC.RP-01</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RECOVER</w:t>
            </w:r>
          </w:p>
        </w:tc>
        <w:tc>
          <w:tcPr>
            <w:tcW w:type="dxa" w:w="23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Documented and tested recovery plan</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Create a Business Continuity / Disaster Recovery (BC/DR) plan that references AWS backup and restore procedures. Schedule an annual tabletop exercise.</w:t>
            </w:r>
          </w:p>
        </w:tc>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7B241C"/>
                <w:sz w:val="18"/>
                <w:szCs w:val="18"/>
              </w:rPr>
              <w:t xml:space="preserve">High — plan + annual exercise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RC.CO-04</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RECOVER</w:t>
            </w:r>
          </w:p>
        </w:tc>
        <w:tc>
          <w:tcPr>
            <w:tcW w:type="dxa" w:w="23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Public communications plan for major incidents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Define a stakeholder communication plan for data breaches or major outages. Include regulatory notification timelines (e.g. GDPR 72-hour rule if applicable).</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7B241C"/>
                <w:sz w:val="18"/>
                <w:szCs w:val="18"/>
              </w:rPr>
              <w:t xml:space="preserve">Medium — comms plan</w:t>
            </w:r>
          </w:p>
        </w:tc>
      </w:tr>
    </w:tbl>
    <w:p>
      <w:pPr>
        <w:spacing w:before="60" w:after="60"/>
      </w:pPr>
      <w:r>
        <w:t xml:space="preserve"/>
      </w:r>
    </w:p>
    <w:p>
      <w:r>
        <w:br w:type="page"/>
      </w:r>
    </w:p>
    <w:p>
      <w:pPr>
        <w:pStyle w:val="Heading1"/>
        <w:spacing w:before="320" w:after="160"/>
      </w:pPr>
      <w:r>
        <w:rPr>
          <w:rFonts w:ascii="Arial" w:cs="Arial" w:eastAsia="Arial" w:hAnsi="Arial"/>
          <w:b/>
          <w:bCs/>
          <w:color w:val="1F4E79"/>
          <w:sz w:val="32"/>
          <w:szCs w:val="32"/>
        </w:rPr>
        <w:t xml:space="preserve">6. How the Weekly Workflow Satisfies CSF 2.0</w:t>
      </w:r>
    </w:p>
    <w:p>
      <w:pPr>
        <w:spacing w:before="80" w:after="80"/>
      </w:pPr>
      <w:r>
        <w:rPr>
          <w:rFonts w:ascii="Arial" w:cs="Arial" w:eastAsia="Arial" w:hAnsi="Arial"/>
          <w:color w:val="1A1A1A"/>
          <w:sz w:val="20"/>
          <w:szCs w:val="20"/>
        </w:rPr>
        <w:t xml:space="preserve">This section is written for compliance team members who are learning how the system works. It explains in plain terms which part of the GitHub Actions workflow satisfies each CSF function.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560"/>
        <w:gridCol w:w="4200"/>
      </w:tblGrid>
      <w:tr>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Workflow Step</w:t>
            </w:r>
          </w:p>
        </w:tc>
        <w:tc>
          <w:tcPr>
            <w:tcW w:type="dxa" w:w="1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CSF Function(s)</w:t>
            </w:r>
          </w:p>
        </w:tc>
        <w:tc>
          <w:tcPr>
            <w:tcW w:type="dxa" w:w="15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Subcategories Satisfied</w:t>
            </w:r>
          </w:p>
        </w:tc>
        <w:tc>
          <w:tcPr>
            <w:tcW w:type="dxa" w:w="4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Why It Counts as Evidence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A1A1A"/>
                <w:sz w:val="18"/>
                <w:szCs w:val="18"/>
              </w:rPr>
              <w:t xml:space="preserve">Step 1 — OIDC credential assumption</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F4E79"/>
                <w:sz w:val="18"/>
                <w:szCs w:val="18"/>
              </w:rPr>
              <w:t xml:space="preserve">GOVERN + PROTECT</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5B2C6F"/>
                <w:sz w:val="18"/>
                <w:szCs w:val="18"/>
              </w:rPr>
              <w:t xml:space="preserve">GV.RM-01, PR.AA-05</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Short-lived, repo-scoped credentials eliminate the risk of leaked long-lived access keys. No key to rotate means no rotation failure.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Step 2 — boto3 collectors run (CloudTrail, Config, IAM, Security Hub)</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F4E79"/>
                <w:sz w:val="18"/>
                <w:szCs w:val="18"/>
              </w:rPr>
              <w:t xml:space="preserve">IDENTIFY + DETECT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5B2C6F"/>
                <w:sz w:val="18"/>
                <w:szCs w:val="18"/>
              </w:rPr>
              <w:t xml:space="preserve">ID.AM-01, ID.RA-01, DE.CM-01, DE.CM-09</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Four independent AWS services are queried every week. This is automated asset and vulnerability discovery — the core of the Identify and Detect functions.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A1A1A"/>
                <w:sz w:val="18"/>
                <w:szCs w:val="18"/>
              </w:rPr>
              <w:t xml:space="preserve">Step 3 — controls.yaml maps evidence to frameworks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F4E79"/>
                <w:sz w:val="18"/>
                <w:szCs w:val="18"/>
              </w:rPr>
              <w:t xml:space="preserve">GOVERN + IDENTIFY</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5B2C6F"/>
                <w:sz w:val="18"/>
                <w:szCs w:val="18"/>
              </w:rPr>
              <w:t xml:space="preserve">GV.RM-01, ID.RA-04</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The mapping file is a machine-readable risk register. Each entry connects a technical check to the control IDs it satisfies across five frameworks simultaneously.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Step 4 — generate_report.py produces 3 CSVs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F4E79"/>
                <w:sz w:val="18"/>
                <w:szCs w:val="18"/>
              </w:rPr>
              <w:t xml:space="preserve">IDENTIFY + DETECT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5B2C6F"/>
                <w:sz w:val="18"/>
                <w:szCs w:val="18"/>
              </w:rPr>
              <w:t xml:space="preserve">ID.RA-04, DE.AE-02</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01_summary.csv is your signal health board. 02_coverage.csv is your control evidence map. 03_findings.csv is your remediation worklist. Together they document the current risk posture.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A1A1A"/>
                <w:sz w:val="18"/>
                <w:szCs w:val="18"/>
              </w:rPr>
              <w:t xml:space="preserve">Step 5 — git commit of evidence and reports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F4E79"/>
                <w:sz w:val="18"/>
                <w:szCs w:val="18"/>
              </w:rPr>
              <w:t xml:space="preserve">GOVERN + DETECT</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5B2C6F"/>
                <w:sz w:val="18"/>
                <w:szCs w:val="18"/>
              </w:rPr>
              <w:t xml:space="preserve">GV.RM-06, DE.CM-03</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Every run creates a timestamped, tamper-evident record in git history. This is the audit trail. An auditor can check any past week's posture by looking at a specific commit.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Step 6 — GitHub Issues opened for every FAIL</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F4E79"/>
                <w:sz w:val="18"/>
                <w:szCs w:val="18"/>
              </w:rPr>
              <w:t xml:space="preserve">DETECT + RESPOND</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5B2C6F"/>
                <w:sz w:val="18"/>
                <w:szCs w:val="18"/>
              </w:rPr>
              <w:t xml:space="preserve">DE.AE-06, RS.CO-02, RS.AN-03</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Issues are assigned, tracked, and closed — a lightweight incident workflow. The issue body includes affected resources, framework mappings, and a remediation link.</w:t>
            </w:r>
          </w:p>
        </w:tc>
      </w:tr>
    </w:tbl>
    <w:p>
      <w:pPr>
        <w:spacing w:before="60" w:after="60"/>
      </w:pPr>
      <w:r>
        <w:t xml:space="preserve"/>
      </w:r>
    </w:p>
    <w:p>
      <w:r>
        <w:br w:type="page"/>
      </w:r>
    </w:p>
    <w:p>
      <w:pPr>
        <w:pStyle w:val="Heading1"/>
        <w:spacing w:before="320" w:after="160"/>
      </w:pPr>
      <w:r>
        <w:rPr>
          <w:rFonts w:ascii="Arial" w:cs="Arial" w:eastAsia="Arial" w:hAnsi="Arial"/>
          <w:b/>
          <w:bCs/>
          <w:color w:val="1F4E79"/>
          <w:sz w:val="32"/>
          <w:szCs w:val="32"/>
        </w:rPr>
        <w:t xml:space="preserve">7. Quick Reference — Framework Comparison</w:t>
      </w:r>
    </w:p>
    <w:p>
      <w:pPr>
        <w:spacing w:before="80" w:after="80"/>
      </w:pPr>
      <w:r>
        <w:rPr>
          <w:rFonts w:ascii="Arial" w:cs="Arial" w:eastAsia="Arial" w:hAnsi="Arial"/>
          <w:color w:val="1A1A1A"/>
          <w:sz w:val="20"/>
          <w:szCs w:val="20"/>
        </w:rPr>
        <w:t xml:space="preserve">Auditors often ask: 'How does your existing framework coverage relate to NIST CSF?' The table below provides a one-page answer. It shows which framework most strongly addresses each CSF function, so you can direct an auditor to the right evidence quickly.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30"/>
        <w:gridCol w:w="1630"/>
        <w:gridCol w:w="1630"/>
        <w:gridCol w:w="1630"/>
        <w:gridCol w:w="1640"/>
      </w:tblGrid>
      <w:tr>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CSF Function</w:t>
            </w:r>
          </w:p>
        </w:tc>
        <w:tc>
          <w:tcPr>
            <w:tcW w:type="dxa" w:w="163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ISO 27001</w:t>
            </w:r>
          </w:p>
        </w:tc>
        <w:tc>
          <w:tcPr>
            <w:tcW w:type="dxa" w:w="163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PCI-DSS v4</w:t>
            </w:r>
          </w:p>
        </w:tc>
        <w:tc>
          <w:tcPr>
            <w:tcW w:type="dxa" w:w="163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SOC 2 Type II</w:t>
            </w:r>
          </w:p>
        </w:tc>
        <w:tc>
          <w:tcPr>
            <w:tcW w:type="dxa" w:w="163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ISO 42001</w:t>
            </w:r>
          </w:p>
        </w:tc>
        <w:tc>
          <w:tcPr>
            <w:tcW w:type="dxa" w:w="16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Primary Evidence Source</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7"/>
                <w:szCs w:val="17"/>
              </w:rPr>
              <w:t xml:space="preserve">GOVERN (GV)</w:t>
            </w:r>
          </w:p>
        </w:tc>
        <w:tc>
          <w:tcPr>
            <w:tcW w:type="dxa" w:w="16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Strong — Clauses 4-10 cover governance, risk, leadership</w:t>
            </w:r>
          </w:p>
        </w:tc>
        <w:tc>
          <w:tcPr>
            <w:tcW w:type="dxa" w:w="16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Partial — policy requirements in Req 12</w:t>
            </w:r>
          </w:p>
        </w:tc>
        <w:tc>
          <w:tcPr>
            <w:tcW w:type="dxa" w:w="16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Partial — CC3 (risk), CC1 (control env)</w:t>
            </w:r>
          </w:p>
        </w:tc>
        <w:tc>
          <w:tcPr>
            <w:tcW w:type="dxa" w:w="16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Strong — AI governance clauses 4-10</w:t>
            </w:r>
          </w:p>
        </w:tc>
        <w:tc>
          <w:tcPr>
            <w:tcW w:type="dxa" w:w="16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Policy docs + controls.yaml structure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7"/>
                <w:szCs w:val="17"/>
              </w:rPr>
              <w:t xml:space="preserve">IDENTIFY (ID)</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Strong — A.8.1 asset mgmt, 6.1.2 risk</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Strong — Req 2, 11 (inventory, scanning)</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Strong — CC3 risk assessment</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Moderate — 8.1 AI asset management</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aws_config_rules, aws_securityhub_findings</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7"/>
                <w:szCs w:val="17"/>
              </w:rPr>
              <w:t xml:space="preserve">PROTECT (PR)</w:t>
            </w:r>
          </w:p>
        </w:tc>
        <w:tc>
          <w:tcPr>
            <w:tcW w:type="dxa" w:w="16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Strong — A.5.15–A.5.18, A.8.24 (access, encryption)</w:t>
            </w:r>
          </w:p>
        </w:tc>
        <w:tc>
          <w:tcPr>
            <w:tcW w:type="dxa" w:w="16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Strong — Req 7, 8 (access), 3, 4 (crypto)</w:t>
            </w:r>
          </w:p>
        </w:tc>
        <w:tc>
          <w:tcPr>
            <w:tcW w:type="dxa" w:w="16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Strong — CC6 (logical access)</w:t>
            </w:r>
          </w:p>
        </w:tc>
        <w:tc>
          <w:tcPr>
            <w:tcW w:type="dxa" w:w="16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Moderate — 6.4 access to AI systems</w:t>
            </w:r>
          </w:p>
        </w:tc>
        <w:tc>
          <w:tcPr>
            <w:tcW w:type="dxa" w:w="16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aws_iam_posture, aws_config_rules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7"/>
                <w:szCs w:val="17"/>
              </w:rPr>
              <w:t xml:space="preserve">DETECT (DE)</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Moderate — A.8.15, A.8.8 (logging, monitoring)</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Strong — Req 10 (logging), Req 11 (testing)</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Strong — CC7 (monitoring)</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Moderate — 6.5 monitoring</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aws_cloudtrail_logs, aws_securityhub_findings</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7"/>
                <w:szCs w:val="17"/>
              </w:rPr>
              <w:t xml:space="preserve">RESPOND (RS)</w:t>
            </w:r>
          </w:p>
        </w:tc>
        <w:tc>
          <w:tcPr>
            <w:tcW w:type="dxa" w:w="16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Moderate — A.5.26 (incident response)</w:t>
            </w:r>
          </w:p>
        </w:tc>
        <w:tc>
          <w:tcPr>
            <w:tcW w:type="dxa" w:w="16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Strong — Req 12.10 (IR plan)</w:t>
            </w:r>
          </w:p>
        </w:tc>
        <w:tc>
          <w:tcPr>
            <w:tcW w:type="dxa" w:w="16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Moderate — CC7.3, CC7.4</w:t>
            </w:r>
          </w:p>
        </w:tc>
        <w:tc>
          <w:tcPr>
            <w:tcW w:type="dxa" w:w="16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Limited</w:t>
            </w:r>
          </w:p>
        </w:tc>
        <w:tc>
          <w:tcPr>
            <w:tcW w:type="dxa" w:w="16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GitHub Issues (automated) + IR runbook (manual)</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7"/>
                <w:szCs w:val="17"/>
              </w:rPr>
              <w:t xml:space="preserve">RECOVER (RC)</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Moderate — A.5.29, A.5.30 (BC/DR)</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Moderate — Req 12.10.4</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Strong — A1 (availability)</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Limited</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DR plan (manual — gap area)</w:t>
            </w:r>
          </w:p>
        </w:tc>
      </w:tr>
    </w:tbl>
    <w:p>
      <w:pPr>
        <w:spacing w:before="60" w:after="60"/>
      </w:pPr>
      <w:r>
        <w:t xml:space="preserve"/>
      </w:r>
    </w:p>
    <w:p>
      <w:r>
        <w:br w:type="page"/>
      </w:r>
    </w:p>
    <w:p>
      <w:pPr>
        <w:pStyle w:val="Heading1"/>
        <w:spacing w:before="320" w:after="160"/>
      </w:pPr>
      <w:r>
        <w:rPr>
          <w:rFonts w:ascii="Arial" w:cs="Arial" w:eastAsia="Arial" w:hAnsi="Arial"/>
          <w:b/>
          <w:bCs/>
          <w:color w:val="1F4E79"/>
          <w:sz w:val="32"/>
          <w:szCs w:val="32"/>
        </w:rPr>
        <w:t xml:space="preserve">8. Sources and References</w:t>
      </w:r>
    </w:p>
    <w:p>
      <w:pPr>
        <w:spacing w:before="80" w:after="80"/>
      </w:pPr>
      <w:r>
        <w:rPr>
          <w:rFonts w:ascii="Arial" w:cs="Arial" w:eastAsia="Arial" w:hAnsi="Arial"/>
          <w:color w:val="1A1A1A"/>
          <w:sz w:val="20"/>
          <w:szCs w:val="20"/>
        </w:rPr>
        <w:t xml:space="preserve">All framework mappings in this document are derived from the following authoritative sources. Mappings were not invented — they are drawn from NIST-published crosswalk tables and the framework texts themselves.</w:t>
      </w:r>
    </w:p>
    <w:p>
      <w:pPr>
        <w:spacing w:before="60" w:after="60"/>
      </w:pPr>
      <w:r>
        <w:t xml:space="preserve"/>
      </w:r>
    </w:p>
    <w:p>
      <w:pPr>
        <w:spacing w:before="80" w:after="80"/>
      </w:pPr>
      <w:r>
        <w:rPr>
          <w:rFonts w:ascii="Arial" w:cs="Arial" w:eastAsia="Arial" w:hAnsi="Arial"/>
          <w:b/>
          <w:bCs/>
          <w:color w:val="1A1A1A"/>
          <w:sz w:val="20"/>
          <w:szCs w:val="20"/>
        </w:rPr>
        <w:t xml:space="preserve">NIST CSF 2.0</w:t>
      </w:r>
    </w:p>
    <w:p>
      <w:pPr>
        <w:pStyle w:val="ListParagraph"/>
        <w:numPr>
          <w:ilvl w:val="0"/>
          <w:numId w:val="2"/>
        </w:numPr>
        <w:spacing w:before="40" w:after="40"/>
      </w:pPr>
      <w:r>
        <w:rPr>
          <w:rFonts w:ascii="Arial" w:cs="Arial" w:eastAsia="Arial" w:hAnsi="Arial"/>
          <w:color w:val="1A1A1A"/>
          <w:sz w:val="20"/>
          <w:szCs w:val="20"/>
        </w:rPr>
        <w:t xml:space="preserve">NIST Cybersecurity Framework 2.0 — NIST CSWP 29, February 2024. doi:10.6028/NIST.CSWP.29</w:t>
      </w:r>
    </w:p>
    <w:p>
      <w:pPr>
        <w:pStyle w:val="ListParagraph"/>
        <w:numPr>
          <w:ilvl w:val="0"/>
          <w:numId w:val="2"/>
        </w:numPr>
        <w:spacing w:before="40" w:after="40"/>
      </w:pPr>
      <w:r>
        <w:rPr>
          <w:rFonts w:ascii="Arial" w:cs="Arial" w:eastAsia="Arial" w:hAnsi="Arial"/>
          <w:color w:val="1A1A1A"/>
          <w:sz w:val="20"/>
          <w:szCs w:val="20"/>
        </w:rPr>
        <w:t xml:space="preserve">NIST CSF 2.0 Reference Tool and mapping tables: https://csrc.nist.gov/projects/cybersecurity-framework</w:t>
      </w:r>
    </w:p>
    <w:p>
      <w:pPr>
        <w:pStyle w:val="ListParagraph"/>
        <w:numPr>
          <w:ilvl w:val="0"/>
          <w:numId w:val="2"/>
        </w:numPr>
        <w:spacing w:before="40" w:after="40"/>
      </w:pPr>
      <w:r>
        <w:rPr>
          <w:rFonts w:ascii="Arial" w:cs="Arial" w:eastAsia="Arial" w:hAnsi="Arial"/>
          <w:color w:val="1A1A1A"/>
          <w:sz w:val="20"/>
          <w:szCs w:val="20"/>
        </w:rPr>
        <w:t xml:space="preserve">NIST Informative References crosswalk (CSF 2.0 to ISO 27001, NIST SP 800-53): https://www.nist.gov/cyberframework</w:t>
      </w:r>
    </w:p>
    <w:p>
      <w:pPr>
        <w:spacing w:before="60" w:after="60"/>
      </w:pPr>
      <w:r>
        <w:t xml:space="preserve"/>
      </w:r>
    </w:p>
    <w:p>
      <w:pPr>
        <w:spacing w:before="80" w:after="80"/>
      </w:pPr>
      <w:r>
        <w:rPr>
          <w:rFonts w:ascii="Arial" w:cs="Arial" w:eastAsia="Arial" w:hAnsi="Arial"/>
          <w:b/>
          <w:bCs/>
          <w:color w:val="1A1A1A"/>
          <w:sz w:val="20"/>
          <w:szCs w:val="20"/>
        </w:rPr>
        <w:t xml:space="preserve">ISO/IEC 27001:2022</w:t>
      </w:r>
    </w:p>
    <w:p>
      <w:pPr>
        <w:pStyle w:val="ListParagraph"/>
        <w:numPr>
          <w:ilvl w:val="0"/>
          <w:numId w:val="2"/>
        </w:numPr>
        <w:spacing w:before="40" w:after="40"/>
      </w:pPr>
      <w:r>
        <w:rPr>
          <w:rFonts w:ascii="Arial" w:cs="Arial" w:eastAsia="Arial" w:hAnsi="Arial"/>
          <w:color w:val="1A1A1A"/>
          <w:sz w:val="20"/>
          <w:szCs w:val="20"/>
        </w:rPr>
        <w:t xml:space="preserve">ISO/IEC 27001:2022 — Information security, cybersecurity and privacy protection. Published October 2022.</w:t>
      </w:r>
    </w:p>
    <w:p>
      <w:pPr>
        <w:pStyle w:val="ListParagraph"/>
        <w:numPr>
          <w:ilvl w:val="0"/>
          <w:numId w:val="2"/>
        </w:numPr>
        <w:spacing w:before="40" w:after="40"/>
      </w:pPr>
      <w:r>
        <w:rPr>
          <w:rFonts w:ascii="Arial" w:cs="Arial" w:eastAsia="Arial" w:hAnsi="Arial"/>
          <w:color w:val="1A1A1A"/>
          <w:sz w:val="20"/>
          <w:szCs w:val="20"/>
        </w:rPr>
        <w:t xml:space="preserve">Annex A controls referenced per the 2022 revision (93 controls, reorganised from 2013 version).</w:t>
      </w:r>
    </w:p>
    <w:p>
      <w:pPr>
        <w:spacing w:before="60" w:after="60"/>
      </w:pPr>
      <w:r>
        <w:t xml:space="preserve"/>
      </w:r>
    </w:p>
    <w:p>
      <w:pPr>
        <w:spacing w:before="80" w:after="80"/>
      </w:pPr>
      <w:r>
        <w:rPr>
          <w:rFonts w:ascii="Arial" w:cs="Arial" w:eastAsia="Arial" w:hAnsi="Arial"/>
          <w:b/>
          <w:bCs/>
          <w:color w:val="1A1A1A"/>
          <w:sz w:val="20"/>
          <w:szCs w:val="20"/>
        </w:rPr>
        <w:t xml:space="preserve">PCI DSS v4.0</w:t>
      </w:r>
    </w:p>
    <w:p>
      <w:pPr>
        <w:pStyle w:val="ListParagraph"/>
        <w:numPr>
          <w:ilvl w:val="0"/>
          <w:numId w:val="2"/>
        </w:numPr>
        <w:spacing w:before="40" w:after="40"/>
      </w:pPr>
      <w:r>
        <w:rPr>
          <w:rFonts w:ascii="Arial" w:cs="Arial" w:eastAsia="Arial" w:hAnsi="Arial"/>
          <w:color w:val="1A1A1A"/>
          <w:sz w:val="20"/>
          <w:szCs w:val="20"/>
        </w:rPr>
        <w:t xml:space="preserve">PCI DSS v4.0 — Payment Card Industry Data Security Standard. Published March 2022. PCI Security Standards Council.</w:t>
      </w:r>
    </w:p>
    <w:p>
      <w:pPr>
        <w:pStyle w:val="ListParagraph"/>
        <w:numPr>
          <w:ilvl w:val="0"/>
          <w:numId w:val="2"/>
        </w:numPr>
        <w:spacing w:before="40" w:after="40"/>
      </w:pPr>
      <w:r>
        <w:rPr>
          <w:rFonts w:ascii="Arial" w:cs="Arial" w:eastAsia="Arial" w:hAnsi="Arial"/>
          <w:color w:val="1A1A1A"/>
          <w:sz w:val="20"/>
          <w:szCs w:val="20"/>
        </w:rPr>
        <w:t xml:space="preserve">PCI DSS v4.0 to NIST CSF mapping available via the PCI SSC Information Supplement library.</w:t>
      </w:r>
    </w:p>
    <w:p>
      <w:pPr>
        <w:spacing w:before="60" w:after="60"/>
      </w:pPr>
      <w:r>
        <w:t xml:space="preserve"/>
      </w:r>
    </w:p>
    <w:p>
      <w:pPr>
        <w:spacing w:before="80" w:after="80"/>
      </w:pPr>
      <w:r>
        <w:rPr>
          <w:rFonts w:ascii="Arial" w:cs="Arial" w:eastAsia="Arial" w:hAnsi="Arial"/>
          <w:b/>
          <w:bCs/>
          <w:color w:val="1A1A1A"/>
          <w:sz w:val="20"/>
          <w:szCs w:val="20"/>
        </w:rPr>
        <w:t xml:space="preserve">SOC 2</w:t>
      </w:r>
    </w:p>
    <w:p>
      <w:pPr>
        <w:pStyle w:val="ListParagraph"/>
        <w:numPr>
          <w:ilvl w:val="0"/>
          <w:numId w:val="2"/>
        </w:numPr>
        <w:spacing w:before="40" w:after="40"/>
      </w:pPr>
      <w:r>
        <w:rPr>
          <w:rFonts w:ascii="Arial" w:cs="Arial" w:eastAsia="Arial" w:hAnsi="Arial"/>
          <w:color w:val="1A1A1A"/>
          <w:sz w:val="20"/>
          <w:szCs w:val="20"/>
        </w:rPr>
        <w:t xml:space="preserve">AICPA Trust Services Criteria (2017 with 2022 points of focus updates). American Institute of CPAs.</w:t>
      </w:r>
    </w:p>
    <w:p>
      <w:pPr>
        <w:pStyle w:val="ListParagraph"/>
        <w:numPr>
          <w:ilvl w:val="0"/>
          <w:numId w:val="2"/>
        </w:numPr>
        <w:spacing w:before="40" w:after="40"/>
      </w:pPr>
      <w:r>
        <w:rPr>
          <w:rFonts w:ascii="Arial" w:cs="Arial" w:eastAsia="Arial" w:hAnsi="Arial"/>
          <w:color w:val="1A1A1A"/>
          <w:sz w:val="20"/>
          <w:szCs w:val="20"/>
        </w:rPr>
        <w:t xml:space="preserve">CC series (Common Criteria) referenced throughout. Availability criteria (A series) referenced in Recover function.</w:t>
      </w:r>
    </w:p>
    <w:p>
      <w:pPr>
        <w:spacing w:before="60" w:after="60"/>
      </w:pPr>
      <w:r>
        <w:t xml:space="preserve"/>
      </w:r>
    </w:p>
    <w:p>
      <w:pPr>
        <w:spacing w:before="80" w:after="80"/>
      </w:pPr>
      <w:r>
        <w:rPr>
          <w:rFonts w:ascii="Arial" w:cs="Arial" w:eastAsia="Arial" w:hAnsi="Arial"/>
          <w:b/>
          <w:bCs/>
          <w:color w:val="1A1A1A"/>
          <w:sz w:val="20"/>
          <w:szCs w:val="20"/>
        </w:rPr>
        <w:t xml:space="preserve">ISO 42001:2023</w:t>
      </w:r>
    </w:p>
    <w:p>
      <w:pPr>
        <w:pStyle w:val="ListParagraph"/>
        <w:numPr>
          <w:ilvl w:val="0"/>
          <w:numId w:val="2"/>
        </w:numPr>
        <w:spacing w:before="40" w:after="40"/>
      </w:pPr>
      <w:r>
        <w:rPr>
          <w:rFonts w:ascii="Arial" w:cs="Arial" w:eastAsia="Arial" w:hAnsi="Arial"/>
          <w:color w:val="1A1A1A"/>
          <w:sz w:val="20"/>
          <w:szCs w:val="20"/>
        </w:rPr>
        <w:t xml:space="preserve">ISO/IEC 42001:2023 — Artificial intelligence management system. Published December 2023.</w:t>
      </w:r>
    </w:p>
    <w:p>
      <w:pPr>
        <w:pStyle w:val="ListParagraph"/>
        <w:numPr>
          <w:ilvl w:val="0"/>
          <w:numId w:val="2"/>
        </w:numPr>
        <w:spacing w:before="40" w:after="40"/>
      </w:pPr>
      <w:r>
        <w:rPr>
          <w:rFonts w:ascii="Arial" w:cs="Arial" w:eastAsia="Arial" w:hAnsi="Arial"/>
          <w:color w:val="1A1A1A"/>
          <w:sz w:val="20"/>
          <w:szCs w:val="20"/>
        </w:rPr>
        <w:t xml:space="preserve">Mapped to CSF 2.0 GV and PR functions where AI governance and access controls overlap.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r>
              <w:rPr>
                <w:rFonts w:ascii="Arial" w:cs="Arial" w:eastAsia="Arial" w:hAnsi="Arial"/>
                <w:i/>
                <w:iCs/>
                <w:color w:val="1A1A1A"/>
                <w:sz w:val="19"/>
                <w:szCs w:val="19"/>
              </w:rPr>
              <w:t xml:space="preserve">Mapping confidence: Framework crosswalks are inherently interpretive. Different auditors may draw slightly different lines between subcategories. The mappings in this document follow NIST's published informative references wherever available, and reasoned professional judgment where NIST has not published a direct mapping.</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1"/>
      </w:pBdr>
      <w:tabs>
        <w:tab w:val="right" w:pos="9026"/>
      </w:tabs>
    </w:pPr>
    <w:r>
      <w:rPr>
        <w:rFonts w:ascii="Arial" w:cs="Arial" w:eastAsia="Arial" w:hAnsi="Arial"/>
        <w:color w:val="999999"/>
        <w:sz w:val="16"/>
        <w:szCs w:val="16"/>
      </w:rPr>
      <w:t xml:space="preserve">Generated March 25, 2026  |  NIST CSF 2.0 (Feb 2024)</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tabs>
        <w:tab w:val="right" w:pos="9026"/>
      </w:tabs>
    </w:pPr>
    <w:r>
      <w:rPr>
        <w:rFonts w:ascii="Arial" w:cs="Arial" w:eastAsia="Arial" w:hAnsi="Arial"/>
        <w:b/>
        <w:bCs/>
        <w:color w:val="1F4E79"/>
        <w:sz w:val="16"/>
        <w:szCs w:val="16"/>
      </w:rPr>
      <w:t xml:space="preserve">NIST CSF 2.0 Crosswalk</w:t>
    </w:r>
    <w:r>
      <w:rPr>
        <w:rFonts w:ascii="Arial" w:cs="Arial" w:eastAsia="Arial" w:hAnsi="Arial"/>
        <w:color w:val="999999"/>
        <w:sz w:val="16"/>
        <w:szCs w:val="16"/>
      </w:rPr>
      <w:t xml:space="preserve">	AWS Compliance as Code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4E79"/>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2026-03-25T20:46:46.476Z</dcterms:created>
  <dcterms:modified xsi:type="dcterms:W3CDTF">2026-03-25T20:46:46.476Z</dcterms:modified>
</cp:coreProperties>
</file>

<file path=docProps/custom.xml><?xml version="1.0" encoding="utf-8"?>
<Properties xmlns="http://schemas.openxmlformats.org/officeDocument/2006/custom-properties" xmlns:vt="http://schemas.openxmlformats.org/officeDocument/2006/docPropsVTypes"/>
</file>