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Arial" w:cs="Arial" w:eastAsia="Arial" w:hAnsi="Arial"/>
          <w:b/>
          <w:bCs/>
          <w:color w:val="1F4E79"/>
          <w:sz w:val="56"/>
          <w:szCs w:val="56"/>
        </w:rPr>
        <w:t xml:space="preserve">NIST Cybersecurity Framework 2.0</w:t>
      </w:r>
    </w:p>
    <w:p>
      <w:pPr>
        <w:spacing w:before="0" w:after="120"/>
      </w:pPr>
      <w:r>
        <w:rPr>
          <w:rFonts w:ascii="Arial" w:cs="Arial" w:eastAsia="Arial" w:hAnsi="Arial"/>
          <w:color w:val="555555"/>
          <w:sz w:val="28"/>
          <w:szCs w:val="28"/>
        </w:rPr>
        <w:t xml:space="preserve">Crosswalk to ISO 27001 | PCI-DSS v4 | SOC 2 Type II | ISO 42001</w:t>
      </w:r>
    </w:p>
    <w:p>
      <w:pPr>
        <w:spacing w:before="0" w:after="80"/>
      </w:pPr>
      <w:r>
        <w:rPr>
          <w:rFonts w:ascii="Arial" w:cs="Arial" w:eastAsia="Arial" w:hAnsi="Arial"/>
          <w:i/>
          <w:iCs/>
          <w:color w:val="0078D4"/>
          <w:sz w:val="22"/>
          <w:szCs w:val="22"/>
        </w:rPr>
        <w:t xml:space="preserve">Microsoft Azure — Auditor and Training Reference</w:t>
      </w:r>
    </w:p>
    <w:p>
      <w:pPr>
        <w:spacing w:before="80" w:after="80"/>
      </w:pPr>
      <w:r>
        <w:rPr>
          <w:rFonts w:ascii="Arial" w:cs="Arial" w:eastAsia="Arial" w:hAnsi="Arial"/>
          <w:color w:val="999999"/>
          <w:sz w:val="18"/>
          <w:szCs w:val="18"/>
        </w:rPr>
        <w:t xml:space="preserve">Document date: March 31, 2026  |  Framework version: NIST CSF 2.0 (February 2024)</w:t>
      </w:r>
    </w:p>
    <w:p>
      <w:r>
        <w:br w:type="page"/>
      </w:r>
    </w:p>
    <w:p>
      <w:pPr>
        <w:pStyle w:val="Heading1"/>
        <w:spacing w:before="320" w:after="160"/>
      </w:pPr>
      <w:r>
        <w:rPr>
          <w:rFonts w:ascii="Arial" w:cs="Arial" w:eastAsia="Arial" w:hAnsi="Arial"/>
          <w:b/>
          <w:bCs/>
          <w:color w:val="1F4E79"/>
          <w:sz w:val="32"/>
          <w:szCs w:val="32"/>
        </w:rPr>
        <w:t xml:space="preserve">1. Purpose and Scope</w:t>
      </w:r>
    </w:p>
    <w:p>
      <w:pPr>
        <w:spacing w:before="80" w:after="80"/>
      </w:pPr>
      <w:r>
        <w:rPr>
          <w:rFonts w:ascii="Arial" w:cs="Arial" w:eastAsia="Arial" w:hAnsi="Arial"/>
          <w:color w:val="1A1A1A"/>
          <w:sz w:val="20"/>
          <w:szCs w:val="20"/>
        </w:rPr>
        <w:t xml:space="preserve">This document maps the four compliance frameworks monitored by the Azure Compliance as Code system — ISO/IEC 27001:2022, PCI-DSS v4.0, SOC 2 Type II, and ISO 42001:2023 — to the NIST Cybersecurity Framework version 2.0 (NIST CSF 2.0), published in February 2024.</w:t>
      </w:r>
    </w:p>
    <w:p>
      <w:pPr>
        <w:spacing w:before="60" w:after="60"/>
      </w:pPr>
      <w:r>
        <w:t xml:space="preserve"/>
      </w:r>
    </w:p>
    <w:p>
      <w:pPr>
        <w:spacing w:before="80" w:after="80"/>
      </w:pPr>
      <w:r>
        <w:rPr>
          <w:rFonts w:ascii="Arial" w:cs="Arial" w:eastAsia="Arial" w:hAnsi="Arial"/>
          <w:color w:val="1A1A1A"/>
          <w:sz w:val="20"/>
          <w:szCs w:val="20"/>
        </w:rPr>
        <w:t xml:space="preserve">Evidence is collected automatically every week from four Azure services: Entra ID (identity and MFA posture), Azure Monitor Activity Logs (audit trail and alerting), Azure Policy (configuration compliance), and Microsoft Defender for Cloud (threat detection and Secure Score). This crosswalk shows exactly which NIST CSF 2.0 subcategory each automated check satisfies.</w:t>
      </w:r>
    </w:p>
    <w:p>
      <w:pPr>
        <w:spacing w:before="60" w:after="60"/>
      </w:pPr>
      <w:r>
        <w:t xml:space="preserve"/>
      </w:r>
    </w:p>
    <w:p>
      <w:pPr>
        <w:spacing w:before="80" w:after="80"/>
      </w:pPr>
      <w:r>
        <w:rPr>
          <w:rFonts w:ascii="Arial" w:cs="Arial" w:eastAsia="Arial" w:hAnsi="Arial"/>
          <w:color w:val="1A1A1A"/>
          <w:sz w:val="20"/>
          <w:szCs w:val="20"/>
        </w:rPr>
        <w:t xml:space="preserve">This document serves two audiences:</w:t>
      </w:r>
    </w:p>
    <w:p>
      <w:pPr>
        <w:pStyle w:val="ListParagraph"/>
        <w:numPr>
          <w:ilvl w:val="0"/>
          <w:numId w:val="2"/>
        </w:numPr>
        <w:spacing w:before="40" w:after="40"/>
      </w:pPr>
      <w:r>
        <w:rPr>
          <w:rFonts w:ascii="Arial" w:cs="Arial" w:eastAsia="Arial" w:hAnsi="Arial"/>
          <w:color w:val="1A1A1A"/>
          <w:sz w:val="20"/>
          <w:szCs w:val="20"/>
        </w:rPr>
        <w:t xml:space="preserve">Auditors — to demonstrate that existing evidence satisfies NIST CSF 2.0 subcategories without requiring CSF to be a named framework in the system.</w:t>
      </w:r>
    </w:p>
    <w:p>
      <w:pPr>
        <w:pStyle w:val="ListParagraph"/>
        <w:numPr>
          <w:ilvl w:val="0"/>
          <w:numId w:val="2"/>
        </w:numPr>
        <w:spacing w:before="40" w:after="40"/>
      </w:pPr>
      <w:r>
        <w:rPr>
          <w:rFonts w:ascii="Arial" w:cs="Arial" w:eastAsia="Arial" w:hAnsi="Arial"/>
          <w:color w:val="1A1A1A"/>
          <w:sz w:val="20"/>
          <w:szCs w:val="20"/>
        </w:rPr>
        <w:t xml:space="preserve">Compliance team members — to understand how each Azure collector maps to the six CSF functions, and where gaps exist that require policy documents or manual runbooks.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i/>
                <w:iCs/>
                <w:color w:val="1A1A1A"/>
                <w:sz w:val="19"/>
                <w:szCs w:val="19"/>
              </w:rPr>
              <w:t xml:space="preserve">Important: This crosswalk covers subcategories addressable by automated Azure evidence. Controls requiring policy documentation, physical security, vendor registers, or DR runbooks are flagged N/A in the Evidence Signal column and listed in Section 5.</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r>
              <w:rPr>
                <w:rFonts w:ascii="Arial" w:cs="Arial" w:eastAsia="Arial" w:hAnsi="Arial"/>
                <w:i/>
                <w:iCs/>
                <w:color w:val="1A1A1A"/>
                <w:sz w:val="19"/>
                <w:szCs w:val="19"/>
              </w:rPr>
              <w:t xml:space="preserve">Azure implementation note: All four collectors use direct REST API calls with bearer tokens rather than Azure SDK clients. This was a deliberate architectural decision — the azure-mgmt-security and azure-mgmt-monitor SDK packages have breaking signature changes between versions, while the REST API surface is stable and independently versioned. This means the evidence collection pattern is more portable and less fragile than SDK-based approaches.</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2. What Is NIST CSF 2.0?</w:t>
      </w:r>
    </w:p>
    <w:p>
      <w:pPr>
        <w:spacing w:before="80" w:after="80"/>
      </w:pPr>
      <w:r>
        <w:rPr>
          <w:rFonts w:ascii="Arial" w:cs="Arial" w:eastAsia="Arial" w:hAnsi="Arial"/>
          <w:color w:val="1A1A1A"/>
          <w:sz w:val="20"/>
          <w:szCs w:val="20"/>
        </w:rPr>
        <w:t xml:space="preserve">The NIST Cybersecurity Framework is a voluntary framework developed by the US National Institute of Standards and Technology. Version 2.0 was released in February 2024 and introduced a sixth function — Govern — which addresses organisational risk management and leadership accountability. This is the first version of the framework that explicitly requires cybersecurity to be treated as a business risk management issue, not just a technical problem.</w:t>
      </w:r>
    </w:p>
    <w:p>
      <w:pPr>
        <w:spacing w:before="60" w:after="60"/>
      </w:pPr>
      <w:r>
        <w:t xml:space="preserve"/>
      </w:r>
    </w:p>
    <w:p>
      <w:pPr>
        <w:pStyle w:val="Heading2"/>
        <w:spacing w:before="240" w:after="120"/>
      </w:pPr>
      <w:r>
        <w:rPr>
          <w:rFonts w:ascii="Arial" w:cs="Arial" w:eastAsia="Arial" w:hAnsi="Arial"/>
          <w:b/>
          <w:bCs/>
          <w:color w:val="1F4E79"/>
          <w:sz w:val="26"/>
          <w:szCs w:val="26"/>
        </w:rPr>
        <w:t xml:space="preserve">2.1 The Six Functions</w:t>
      </w:r>
    </w:p>
    <w:p>
      <w:pPr>
        <w:spacing w:before="80" w:after="80"/>
      </w:pPr>
      <w:r>
        <w:rPr>
          <w:rFonts w:ascii="Arial" w:cs="Arial" w:eastAsia="Arial" w:hAnsi="Arial"/>
          <w:color w:val="1A1A1A"/>
          <w:sz w:val="20"/>
          <w:szCs w:val="20"/>
        </w:rPr>
        <w:t xml:space="preserve">CSF 2.0 organises cybersecurity outcomes into six high-level functions. Each function contains categories and subcategories that get increasingly specific. This crosswalk works at the subcategory level, because that is where auditors ask for evidence.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500"/>
        <w:gridCol w:w="1100"/>
        <w:gridCol w:w="2160"/>
      </w:tblGrid>
      <w:t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w:t>
            </w:r>
          </w:p>
        </w:tc>
        <w:tc>
          <w:tcPr>
            <w:tcW w:type="dxa" w:w="4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Covers</w:t>
            </w:r>
          </w:p>
        </w:tc>
        <w:tc>
          <w:tcPr>
            <w:tcW w:type="dxa" w:w="11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New in 2.0?</w:t>
            </w:r>
          </w:p>
        </w:tc>
        <w:tc>
          <w:tcPr>
            <w:tcW w:type="dxa" w:w="2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Question</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GOVERN</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GV</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Organisational risk strategy, roles, supply chain, policies, oversight</w:t>
            </w:r>
          </w:p>
        </w:tc>
        <w:tc>
          <w:tcPr>
            <w:tcW w:type="dxa" w:w="11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sz w:val="18"/>
                <w:szCs w:val="18"/>
              </w:rPr>
              <w:t xml:space="preserve">YES — brand new</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i/>
                <w:iCs/>
                <w:sz w:val="17"/>
                <w:szCs w:val="17"/>
              </w:rPr>
              <w:t xml:space="preserve">How do we manage cybersecurity as an organisation?</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IDENTIFY</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ID</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Asset inventory, risk assessment, vulnerability identification, planning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 (expanded)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sz w:val="17"/>
                <w:szCs w:val="17"/>
              </w:rPr>
              <w:t xml:space="preserve">What do we have and what are the risks?</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PROTECT</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PR</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Identity and access, data security, platform security, resilience</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 (expanded)</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i/>
                <w:iCs/>
                <w:sz w:val="17"/>
                <w:szCs w:val="17"/>
              </w:rPr>
              <w:t xml:space="preserve">How do we stop threats from succeeding?</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DETECT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DE</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Continuous monitoring, anomaly detection, event analysis, alerting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 (expanded)</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sz w:val="17"/>
                <w:szCs w:val="17"/>
              </w:rPr>
              <w:t xml:space="preserve">How do we know when something goes wrong?</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8"/>
                <w:szCs w:val="18"/>
              </w:rPr>
              <w:t xml:space="preserve">RESPOND</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RS</w:t>
            </w:r>
          </w:p>
        </w:tc>
        <w:tc>
          <w:tcPr>
            <w:tcW w:type="dxa" w:w="4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Incident analysis, containment, reporting, communications</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i/>
                <w:iCs/>
                <w:sz w:val="17"/>
                <w:szCs w:val="17"/>
              </w:rPr>
              <w:t xml:space="preserve">What do we do when something goes wrong?</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8"/>
                <w:szCs w:val="18"/>
              </w:rPr>
              <w:t xml:space="preserve">RECOVER</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RC</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Recovery plan, restoration, post-incident communications, lessons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sz w:val="17"/>
                <w:szCs w:val="17"/>
              </w:rPr>
              <w:t xml:space="preserve">How do we get back to normal?</w:t>
            </w:r>
          </w:p>
        </w:tc>
      </w:tr>
    </w:tbl>
    <w:p>
      <w:pPr>
        <w:spacing w:before="60" w:after="60"/>
      </w:pPr>
      <w:r>
        <w:t xml:space="preserve"/>
      </w:r>
    </w:p>
    <w:p>
      <w:pPr>
        <w:spacing w:before="80" w:after="80"/>
      </w:pPr>
      <w:r>
        <w:rPr>
          <w:rFonts w:ascii="Arial" w:cs="Arial" w:eastAsia="Arial" w:hAnsi="Arial"/>
          <w:color w:val="1A1A1A"/>
          <w:sz w:val="20"/>
          <w:szCs w:val="20"/>
        </w:rPr>
        <w:t xml:space="preserve">Each function breaks down into Categories and Subcategories. A subcategory is a single specific outcome, like 'Identities and credentials issued, managed, verified, and revoked.' Evidence mapping happens at the subcategory level — that is where an auditor asks 'show me what you have for this.'</w:t>
      </w:r>
    </w:p>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3. Coverage Summary</w:t>
      </w:r>
    </w:p>
    <w:p>
      <w:pPr>
        <w:spacing w:before="80" w:after="80"/>
      </w:pPr>
      <w:r>
        <w:rPr>
          <w:rFonts w:ascii="Arial" w:cs="Arial" w:eastAsia="Arial" w:hAnsi="Arial"/>
          <w:color w:val="1A1A1A"/>
          <w:sz w:val="20"/>
          <w:szCs w:val="20"/>
        </w:rPr>
        <w:t xml:space="preserve">The table below shows how many NIST CSF 2.0 subcategories within each function are addressed by existing Azure evidence signals, and where gaps remain. A subcategory counts as covered when at least one existing framework control maps to it AND an automated Azure collector actively gathers relevant data.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3000"/>
        <w:gridCol w:w="1560"/>
        <w:gridCol w:w="1560"/>
        <w:gridCol w:w="1640"/>
      </w:tblGrid>
      <w:t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w:t>
            </w:r>
          </w:p>
        </w:tc>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Covers</w:t>
            </w:r>
          </w:p>
        </w:tc>
        <w:tc>
          <w:tcPr>
            <w:tcW w:type="dxa" w:w="1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Subcategories Mapped</w:t>
            </w:r>
          </w:p>
        </w:tc>
        <w:tc>
          <w:tcPr>
            <w:tcW w:type="dxa" w:w="1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Evidence Covered</w:t>
            </w:r>
          </w:p>
        </w:tc>
        <w:tc>
          <w:tcPr>
            <w:tcW w:type="dxa" w:w="16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Gaps / Manual</w:t>
            </w:r>
          </w:p>
        </w:tc>
      </w:tr>
      <w:tr>
        <w:tc>
          <w:tcPr>
            <w:tcW w:type="dxa" w:w="900"/>
            <w:tcBorders>
              <w:top w:val="single" w:color="CCCCCC" w:sz="4"/>
              <w:left w:val="single" w:color="CCCCCC" w:sz="4"/>
              <w:bottom w:val="single" w:color="CCCCCC" w:sz="4"/>
              <w:right w:val="single" w:color="CCCCCC" w:sz="4"/>
            </w:tcBorders>
            <w:shd w:fill="5B2C6F" w:val="clear"/>
            <w:tcMar>
              <w:top w:type="dxa" w:w="80"/>
              <w:left w:type="dxa" w:w="120"/>
              <w:bottom w:type="dxa" w:w="80"/>
              <w:right w:type="dxa" w:w="120"/>
            </w:tcMar>
          </w:tcPr>
          <w:p>
            <w:r>
              <w:rPr>
                <w:rFonts w:ascii="Arial" w:cs="Arial" w:eastAsia="Arial" w:hAnsi="Arial"/>
                <w:b/>
                <w:bCs/>
                <w:color w:val="FFFFFF"/>
                <w:sz w:val="17"/>
                <w:szCs w:val="17"/>
              </w:rPr>
              <w:t xml:space="preserve">GOVERN</w:t>
            </w:r>
          </w:p>
        </w:tc>
        <w:tc>
          <w:tcPr>
            <w:tcW w:type="dxa" w:w="700"/>
            <w:tcBorders>
              <w:top w:val="single" w:color="CCCCCC" w:sz="4"/>
              <w:left w:val="single" w:color="CCCCCC" w:sz="4"/>
              <w:bottom w:val="single" w:color="CCCCCC" w:sz="4"/>
              <w:right w:val="single" w:color="CCCCCC" w:sz="4"/>
            </w:tcBorders>
            <w:shd w:fill="5B2C6F"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GV</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Policies, risk strategy, Azure Security Benchmark assignment</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sz w:val="17"/>
                <w:szCs w:val="17"/>
              </w:rPr>
              <w:t xml:space="preserve">5</w:t>
            </w:r>
          </w:p>
        </w:tc>
        <w:tc>
          <w:tcPr>
            <w:tcW w:type="dxa" w:w="1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3</w:t>
            </w:r>
          </w:p>
        </w:tc>
        <w:tc>
          <w:tcPr>
            <w:tcW w:type="dxa" w:w="164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pPr>
              <w:jc w:val="center"/>
            </w:pPr>
            <w:r>
              <w:rPr>
                <w:rFonts w:ascii="Arial" w:cs="Arial" w:eastAsia="Arial" w:hAnsi="Arial"/>
                <w:b/>
                <w:bCs/>
                <w:color w:val="7B241C"/>
                <w:sz w:val="17"/>
                <w:szCs w:val="17"/>
              </w:rPr>
              <w:t xml:space="preserve">2</w:t>
            </w:r>
          </w:p>
        </w:tc>
      </w:tr>
      <w:tr>
        <w:tc>
          <w:tcPr>
            <w:tcW w:type="dxa" w:w="900"/>
            <w:tcBorders>
              <w:top w:val="single" w:color="CCCCCC" w:sz="4"/>
              <w:left w:val="single" w:color="CCCCCC" w:sz="4"/>
              <w:bottom w:val="single" w:color="CCCCCC" w:sz="4"/>
              <w:right w:val="single" w:color="CCCCCC" w:sz="4"/>
            </w:tcBorders>
            <w:shd w:fill="1E6B3C" w:val="clear"/>
            <w:tcMar>
              <w:top w:type="dxa" w:w="80"/>
              <w:left w:type="dxa" w:w="120"/>
              <w:bottom w:type="dxa" w:w="80"/>
              <w:right w:type="dxa" w:w="120"/>
            </w:tcMar>
          </w:tcPr>
          <w:p>
            <w:r>
              <w:rPr>
                <w:rFonts w:ascii="Arial" w:cs="Arial" w:eastAsia="Arial" w:hAnsi="Arial"/>
                <w:b/>
                <w:bCs/>
                <w:color w:val="FFFFFF"/>
                <w:sz w:val="17"/>
                <w:szCs w:val="17"/>
              </w:rPr>
              <w:t xml:space="preserve">IDENTIFY</w:t>
            </w:r>
          </w:p>
        </w:tc>
        <w:tc>
          <w:tcPr>
            <w:tcW w:type="dxa" w:w="700"/>
            <w:tcBorders>
              <w:top w:val="single" w:color="CCCCCC" w:sz="4"/>
              <w:left w:val="single" w:color="CCCCCC" w:sz="4"/>
              <w:bottom w:val="single" w:color="CCCCCC" w:sz="4"/>
              <w:right w:val="single" w:color="CCCCCC" w:sz="4"/>
            </w:tcBorders>
            <w:shd w:fill="1E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ID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Asset inventory (CSPM), vulnerability mgmt, risk posture trending</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17"/>
                <w:szCs w:val="17"/>
              </w:rPr>
              <w:t xml:space="preserve">5</w:t>
            </w:r>
          </w:p>
        </w:tc>
        <w:tc>
          <w:tcPr>
            <w:tcW w:type="dxa" w:w="1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5</w:t>
            </w:r>
          </w:p>
        </w:tc>
        <w:tc>
          <w:tcPr>
            <w:tcW w:type="dxa" w:w="164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val="false"/>
                <w:bCs w:val="false"/>
                <w:color w:val="1E6B3C"/>
                <w:sz w:val="17"/>
                <w:szCs w:val="17"/>
              </w:rPr>
              <w:t xml:space="preserve">0</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20"/>
              <w:bottom w:type="dxa" w:w="80"/>
              <w:right w:type="dxa" w:w="120"/>
            </w:tcMar>
          </w:tcPr>
          <w:p>
            <w:r>
              <w:rPr>
                <w:rFonts w:ascii="Arial" w:cs="Arial" w:eastAsia="Arial" w:hAnsi="Arial"/>
                <w:b/>
                <w:bCs/>
                <w:color w:val="FFFFFF"/>
                <w:sz w:val="17"/>
                <w:szCs w:val="17"/>
              </w:rPr>
              <w:t xml:space="preserve">PROTECT</w:t>
            </w:r>
          </w:p>
        </w:tc>
        <w:tc>
          <w:tcPr>
            <w:tcW w:type="dxa" w:w="700"/>
            <w:tcBorders>
              <w:top w:val="single" w:color="CCCCCC" w:sz="4"/>
              <w:left w:val="single" w:color="CCCCCC" w:sz="4"/>
              <w:bottom w:val="single" w:color="CCCCCC" w:sz="4"/>
              <w:right w:val="single" w:color="CCCCCC" w:sz="4"/>
            </w:tcBorders>
            <w:shd w:fill="7D4E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PR</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Entra ID, MFA, Conditional Access, RBAC, Policy, network controls</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sz w:val="17"/>
                <w:szCs w:val="17"/>
              </w:rPr>
              <w:t xml:space="preserve">8</w:t>
            </w:r>
          </w:p>
        </w:tc>
        <w:tc>
          <w:tcPr>
            <w:tcW w:type="dxa" w:w="1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7</w:t>
            </w:r>
          </w:p>
        </w:tc>
        <w:tc>
          <w:tcPr>
            <w:tcW w:type="dxa" w:w="164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pPr>
              <w:jc w:val="center"/>
            </w:pPr>
            <w:r>
              <w:rPr>
                <w:rFonts w:ascii="Arial" w:cs="Arial" w:eastAsia="Arial" w:hAnsi="Arial"/>
                <w:b/>
                <w:bCs/>
                <w:color w:val="7B241C"/>
                <w:sz w:val="17"/>
                <w:szCs w:val="17"/>
              </w:rPr>
              <w:t xml:space="preserve">1</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20"/>
              <w:bottom w:type="dxa" w:w="80"/>
              <w:right w:type="dxa" w:w="120"/>
            </w:tcMar>
          </w:tcPr>
          <w:p>
            <w:r>
              <w:rPr>
                <w:rFonts w:ascii="Arial" w:cs="Arial" w:eastAsia="Arial" w:hAnsi="Arial"/>
                <w:b/>
                <w:bCs/>
                <w:color w:val="FFFFFF"/>
                <w:sz w:val="17"/>
                <w:szCs w:val="17"/>
              </w:rPr>
              <w:t xml:space="preserve">DETECT</w:t>
            </w:r>
          </w:p>
        </w:tc>
        <w:tc>
          <w:tcPr>
            <w:tcW w:type="dxa" w:w="700"/>
            <w:tcBorders>
              <w:top w:val="single" w:color="CCCCCC" w:sz="4"/>
              <w:left w:val="single" w:color="CCCCCC" w:sz="4"/>
              <w:bottom w:val="single" w:color="CCCCCC" w:sz="4"/>
              <w:right w:val="single" w:color="CCCCCC" w:sz="4"/>
            </w:tcBorders>
            <w:shd w:fill="0E6655"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Activity logs, Defender alerts, diagnostic settings, alert rules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17"/>
                <w:szCs w:val="17"/>
              </w:rPr>
              <w:t xml:space="preserve">7</w:t>
            </w:r>
          </w:p>
        </w:tc>
        <w:tc>
          <w:tcPr>
            <w:tcW w:type="dxa" w:w="1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7</w:t>
            </w:r>
          </w:p>
        </w:tc>
        <w:tc>
          <w:tcPr>
            <w:tcW w:type="dxa" w:w="164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val="false"/>
                <w:bCs w:val="false"/>
                <w:color w:val="1E6B3C"/>
                <w:sz w:val="17"/>
                <w:szCs w:val="17"/>
              </w:rPr>
              <w:t xml:space="preserve">0</w:t>
            </w:r>
          </w:p>
        </w:tc>
      </w:tr>
      <w:tr>
        <w:tc>
          <w:tcPr>
            <w:tcW w:type="dxa" w:w="900"/>
            <w:tcBorders>
              <w:top w:val="single" w:color="CCCCCC" w:sz="4"/>
              <w:left w:val="single" w:color="CCCCCC" w:sz="4"/>
              <w:bottom w:val="single" w:color="CCCCCC" w:sz="4"/>
              <w:right w:val="single" w:color="CCCCCC" w:sz="4"/>
            </w:tcBorders>
            <w:shd w:fill="7B241C" w:val="clear"/>
            <w:tcMar>
              <w:top w:type="dxa" w:w="80"/>
              <w:left w:type="dxa" w:w="120"/>
              <w:bottom w:type="dxa" w:w="80"/>
              <w:right w:type="dxa" w:w="120"/>
            </w:tcMar>
          </w:tcPr>
          <w:p>
            <w:r>
              <w:rPr>
                <w:rFonts w:ascii="Arial" w:cs="Arial" w:eastAsia="Arial" w:hAnsi="Arial"/>
                <w:b/>
                <w:bCs/>
                <w:color w:val="FFFFFF"/>
                <w:sz w:val="17"/>
                <w:szCs w:val="17"/>
              </w:rPr>
              <w:t xml:space="preserve">RESPOND</w:t>
            </w:r>
          </w:p>
        </w:tc>
        <w:tc>
          <w:tcPr>
            <w:tcW w:type="dxa" w:w="700"/>
            <w:tcBorders>
              <w:top w:val="single" w:color="CCCCCC" w:sz="4"/>
              <w:left w:val="single" w:color="CCCCCC" w:sz="4"/>
              <w:bottom w:val="single" w:color="CCCCCC" w:sz="4"/>
              <w:right w:val="single" w:color="CCCCCC" w:sz="4"/>
            </w:tcBorders>
            <w:shd w:fill="7B241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7"/>
                <w:szCs w:val="17"/>
              </w:rPr>
              <w:t xml:space="preserve">Defender alert analysis, GitHub Issues, incident containment</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sz w:val="17"/>
                <w:szCs w:val="17"/>
              </w:rPr>
              <w:t xml:space="preserve">3</w:t>
            </w:r>
          </w:p>
        </w:tc>
        <w:tc>
          <w:tcPr>
            <w:tcW w:type="dxa" w:w="1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2</w:t>
            </w:r>
          </w:p>
        </w:tc>
        <w:tc>
          <w:tcPr>
            <w:tcW w:type="dxa" w:w="164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pPr>
              <w:jc w:val="center"/>
            </w:pPr>
            <w:r>
              <w:rPr>
                <w:rFonts w:ascii="Arial" w:cs="Arial" w:eastAsia="Arial" w:hAnsi="Arial"/>
                <w:b/>
                <w:bCs/>
                <w:color w:val="7B241C"/>
                <w:sz w:val="17"/>
                <w:szCs w:val="17"/>
              </w:rPr>
              <w:t xml:space="preserve">1</w:t>
            </w:r>
          </w:p>
        </w:tc>
      </w:tr>
      <w:tr>
        <w:tc>
          <w:tcPr>
            <w:tcW w:type="dxa" w:w="900"/>
            <w:tcBorders>
              <w:top w:val="single" w:color="CCCCCC" w:sz="4"/>
              <w:left w:val="single" w:color="CCCCCC" w:sz="4"/>
              <w:bottom w:val="single" w:color="CCCCCC" w:sz="4"/>
              <w:right w:val="single" w:color="CCCCCC" w:sz="4"/>
            </w:tcBorders>
            <w:shd w:fill="154360" w:val="clear"/>
            <w:tcMar>
              <w:top w:type="dxa" w:w="80"/>
              <w:left w:type="dxa" w:w="120"/>
              <w:bottom w:type="dxa" w:w="80"/>
              <w:right w:type="dxa" w:w="120"/>
            </w:tcMar>
          </w:tcPr>
          <w:p>
            <w:r>
              <w:rPr>
                <w:rFonts w:ascii="Arial" w:cs="Arial" w:eastAsia="Arial" w:hAnsi="Arial"/>
                <w:b/>
                <w:bCs/>
                <w:color w:val="FFFFFF"/>
                <w:sz w:val="17"/>
                <w:szCs w:val="17"/>
              </w:rPr>
              <w:t xml:space="preserve">RECOVER</w:t>
            </w:r>
          </w:p>
        </w:tc>
        <w:tc>
          <w:tcPr>
            <w:tcW w:type="dxa" w:w="700"/>
            <w:tcBorders>
              <w:top w:val="single" w:color="CCCCCC" w:sz="4"/>
              <w:left w:val="single" w:color="CCCCCC" w:sz="4"/>
              <w:bottom w:val="single" w:color="CCCCCC" w:sz="4"/>
              <w:right w:val="single" w:color="CCCCCC" w:sz="4"/>
            </w:tcBorders>
            <w:shd w:fill="15436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RC</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7"/>
                <w:szCs w:val="17"/>
              </w:rPr>
              <w:t xml:space="preserve">Recovery plan, stakeholder comms, GitHub Issue close trail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sz w:val="17"/>
                <w:szCs w:val="17"/>
              </w:rPr>
              <w:t xml:space="preserve">2</w:t>
            </w:r>
          </w:p>
        </w:tc>
        <w:tc>
          <w:tcPr>
            <w:tcW w:type="dxa" w:w="15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pPr>
              <w:jc w:val="center"/>
            </w:pPr>
            <w:r>
              <w:rPr>
                <w:rFonts w:ascii="Arial" w:cs="Arial" w:eastAsia="Arial" w:hAnsi="Arial"/>
                <w:b/>
                <w:bCs/>
                <w:color w:val="1E6B3C"/>
                <w:sz w:val="17"/>
                <w:szCs w:val="17"/>
              </w:rPr>
              <w:t xml:space="preserve">1</w:t>
            </w:r>
          </w:p>
        </w:tc>
        <w:tc>
          <w:tcPr>
            <w:tcW w:type="dxa" w:w="164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pPr>
              <w:jc w:val="center"/>
            </w:pPr>
            <w:r>
              <w:rPr>
                <w:rFonts w:ascii="Arial" w:cs="Arial" w:eastAsia="Arial" w:hAnsi="Arial"/>
                <w:b/>
                <w:bCs/>
                <w:color w:val="7B241C"/>
                <w:sz w:val="17"/>
                <w:szCs w:val="17"/>
              </w:rPr>
              <w:t xml:space="preserve">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i/>
                <w:iCs/>
                <w:color w:val="1A1A1A"/>
                <w:sz w:val="19"/>
                <w:szCs w:val="19"/>
              </w:rPr>
              <w:t xml:space="preserve">Note on gap counts: Gaps represent subcategories requiring policy documents, DR runbooks, physical controls, or vendor management practices that automated evidence cannot replace. These are expected and do not represent compliance failures.</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4. Detailed Crosswalk — Subcategory Mapping</w:t>
      </w:r>
    </w:p>
    <w:p>
      <w:pPr>
        <w:spacing w:before="80" w:after="80"/>
      </w:pPr>
      <w:r>
        <w:rPr>
          <w:rFonts w:ascii="Arial" w:cs="Arial" w:eastAsia="Arial" w:hAnsi="Arial"/>
          <w:color w:val="1A1A1A"/>
          <w:sz w:val="20"/>
          <w:szCs w:val="20"/>
        </w:rPr>
        <w:t xml:space="preserve">Each row maps one NIST CSF 2.0 subcategory to its corresponding controls across ISO 27001, PCI-DSS v4.0, SOC 2 Type II, and ISO 42001. The final two columns identify the Azure evidence signal providing automated coverage and include a plain-language explanation for training purposes.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r>
              <w:rPr>
                <w:rFonts w:ascii="Arial" w:cs="Arial" w:eastAsia="Arial" w:hAnsi="Arial"/>
                <w:i/>
                <w:iCs/>
                <w:color w:val="1A1A1A"/>
                <w:sz w:val="19"/>
                <w:szCs w:val="19"/>
              </w:rPr>
              <w:t xml:space="preserve">How to read this table: If a framework column contains a control ID (e.g. A.5.16), that framework independently requires the same security outcome. Green cells in the Evidence Signal column confirm automated weekly collection via the Azure collectors. Yellow cells indicate manual controls or documentation gaps.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800"/>
        <w:gridCol w:w="900"/>
        <w:gridCol w:w="700"/>
        <w:gridCol w:w="700"/>
        <w:gridCol w:w="700"/>
        <w:gridCol w:w="1360"/>
        <w:gridCol w:w="1300"/>
      </w:tblGrid>
      <w:t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c>
          <w:tcPr>
            <w:tcW w:type="dxa" w:w="1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CSF 2.0 Sub-category</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Outcome Description</w:t>
            </w:r>
          </w:p>
        </w:tc>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ISO 27001</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PCI-DSS v4</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SOC 2</w:t>
            </w:r>
          </w:p>
        </w:tc>
        <w:tc>
          <w:tcPr>
            <w:tcW w:type="dxa" w:w="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ISO 42001</w:t>
            </w:r>
          </w:p>
        </w:tc>
        <w:tc>
          <w:tcPr>
            <w:tcW w:type="dxa" w:w="1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Azure Evidence Signal</w:t>
            </w:r>
          </w:p>
        </w:tc>
        <w:tc>
          <w:tcPr>
            <w:tcW w:type="dxa" w:w="13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Training Notes</w:t>
            </w:r>
          </w:p>
        </w:tc>
      </w:tr>
      <w:tr>
        <w:tc>
          <w:tcPr>
            <w:tcW w:type="dxa" w:w="900"/>
            <w:tcBorders>
              <w:top w:val="single" w:color="CCCCCC" w:sz="4"/>
              <w:left w:val="single" w:color="CCCCCC" w:sz="4"/>
              <w:bottom w:val="single" w:color="CCCCCC" w:sz="4"/>
              <w:right w:val="single" w:color="CCCCCC" w:sz="4"/>
            </w:tcBorders>
            <w:shd w:fill="5B2C6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GV</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GV.OC-01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Organisational cybersecurity objectives documented and communicated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A.5.1, A.5.2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4.1, 4.2</w:t>
            </w:r>
          </w:p>
        </w:tc>
        <w:tc>
          <w:tcPr>
            <w:tcW w:type="dxa" w:w="136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val="false"/>
                <w:bCs w:val="false"/>
                <w:color w:val="7D4E00"/>
                <w:sz w:val="16"/>
                <w:szCs w:val="16"/>
              </w:rPr>
              <w:t xml:space="preserve">N/A — policy document control</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Requires a signed Information Security Policy. Partially addressed by ISO 42001 governance clauses. Gap for PCI/SOC 2.</w:t>
            </w:r>
          </w:p>
        </w:tc>
      </w:tr>
      <w:tr>
        <w:tc>
          <w:tcPr>
            <w:tcW w:type="dxa" w:w="900"/>
            <w:tcBorders>
              <w:top w:val="single" w:color="CCCCCC" w:sz="4"/>
              <w:left w:val="single" w:color="CCCCCC" w:sz="4"/>
              <w:bottom w:val="single" w:color="CCCCCC" w:sz="4"/>
              <w:right w:val="single" w:color="CCCCCC" w:sz="4"/>
            </w:tcBorders>
            <w:shd w:fill="5B2C6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GV</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GV.RM-01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Risk management objectives established and agreed by leadership</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6.1.2, 8.2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12.3.1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CC3.1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azure_policy_compliance: azure_security_benchmark_assigned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Assigning the Azure Security Benchmark initiative demonstrates a risk management baseline accepted at the subscription level. controls.yaml is the machine-readable risk register.</w:t>
            </w:r>
          </w:p>
        </w:tc>
      </w:tr>
      <w:tr>
        <w:tc>
          <w:tcPr>
            <w:tcW w:type="dxa" w:w="900"/>
            <w:tcBorders>
              <w:top w:val="single" w:color="CCCCCC" w:sz="4"/>
              <w:left w:val="single" w:color="CCCCCC" w:sz="4"/>
              <w:bottom w:val="single" w:color="CCCCCC" w:sz="4"/>
              <w:right w:val="single" w:color="CCCCCC" w:sz="4"/>
            </w:tcBorders>
            <w:shd w:fill="5B2C6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GV</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GV.RM-06</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Risk responses tracked, prioritised, and communicated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8.3</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12.3.2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CC3.2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6.2</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GitHub Issues (automated gap tracking)</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Every FAIL signal opens a GitHub Issue automatically with evidence ID, signal name, frameworks impacted, and remediation steps. This is a documented, traceable risk response record.</w:t>
            </w:r>
          </w:p>
        </w:tc>
      </w:tr>
      <w:tr>
        <w:tc>
          <w:tcPr>
            <w:tcW w:type="dxa" w:w="900"/>
            <w:tcBorders>
              <w:top w:val="single" w:color="CCCCCC" w:sz="4"/>
              <w:left w:val="single" w:color="CCCCCC" w:sz="4"/>
              <w:bottom w:val="single" w:color="CCCCCC" w:sz="4"/>
              <w:right w:val="single" w:color="CCCCCC" w:sz="4"/>
            </w:tcBorders>
            <w:shd w:fill="5B2C6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GV</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GV.SC-01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Cybersecurity supply chain risk management policies established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A.5.19, A.5.20</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12.8.1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CC9.2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8.4</w:t>
            </w:r>
          </w:p>
        </w:tc>
        <w:tc>
          <w:tcPr>
            <w:tcW w:type="dxa" w:w="136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val="false"/>
                <w:bCs w:val="false"/>
                <w:color w:val="7D4E00"/>
                <w:sz w:val="16"/>
                <w:szCs w:val="16"/>
              </w:rPr>
              <w:t xml:space="preserve">N/A — vendor management control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OIDC/Workload Identity Federation (no stored credentials) partially addresses third-party risk for Azure. A formal vendor register documenting Microsoft as a critical supplier is required.</w:t>
            </w:r>
          </w:p>
        </w:tc>
      </w:tr>
      <w:tr>
        <w:tc>
          <w:tcPr>
            <w:tcW w:type="dxa" w:w="900"/>
            <w:tcBorders>
              <w:top w:val="single" w:color="CCCCCC" w:sz="4"/>
              <w:left w:val="single" w:color="CCCCCC" w:sz="4"/>
              <w:bottom w:val="single" w:color="CCCCCC" w:sz="4"/>
              <w:right w:val="single" w:color="CCCCCC" w:sz="4"/>
            </w:tcBorders>
            <w:shd w:fill="5B2C6F"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GV</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GV.OV-01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Cybersecurity risk management strategy reviewed and updated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9.3</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12.3.2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CC3.1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9.3</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azure_policy_compliance: compliance_rate_above_90pct</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 policy compliance rate above 90% tracked over time creates a measurable risk posture trend. The weekly git commit history makes this trend auditable without extra tooling.</w:t>
            </w:r>
          </w:p>
        </w:tc>
      </w:tr>
      <w:tr>
        <w:tc>
          <w:tcPr>
            <w:tcW w:type="dxa" w:w="900"/>
            <w:tcBorders>
              <w:top w:val="single" w:color="CCCCCC" w:sz="4"/>
              <w:left w:val="single" w:color="CCCCCC" w:sz="4"/>
              <w:bottom w:val="single" w:color="CCCCCC" w:sz="4"/>
              <w:right w:val="single" w:color="CCCCCC" w:sz="4"/>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ID.AM-01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Inventories of hardware and software assets maintained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A.8.1, A.8.9</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2.2.1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azure_policy_compliance: azure_security_benchmark_assigned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Azure Security Benchmark initiative includes asset inventory policies. Non-compliant resource details in the policy collector enumerate every assessed resource by resource ID.</w:t>
            </w:r>
          </w:p>
        </w:tc>
      </w:tr>
      <w:tr>
        <w:tc>
          <w:tcPr>
            <w:tcW w:type="dxa" w:w="900"/>
            <w:tcBorders>
              <w:top w:val="single" w:color="CCCCCC" w:sz="4"/>
              <w:left w:val="single" w:color="CCCCCC" w:sz="4"/>
              <w:bottom w:val="single" w:color="CCCCCC" w:sz="4"/>
              <w:right w:val="single" w:color="CCCCCC" w:sz="4"/>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ID.AM-02</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Inventories of software, services, and data assets kept current</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A.8.9</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6.3.3</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CC6.6</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8.2</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azure_defender_findings: defender_cspm_enabled</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Microsoft Defender CSPM (Cloud Security Posture Management) continuously discovers and maps all resources in the subscription — the Azure equivalent of AWS Config.</w:t>
            </w:r>
          </w:p>
        </w:tc>
      </w:tr>
      <w:tr>
        <w:tc>
          <w:tcPr>
            <w:tcW w:type="dxa" w:w="900"/>
            <w:tcBorders>
              <w:top w:val="single" w:color="CCCCCC" w:sz="4"/>
              <w:left w:val="single" w:color="CCCCCC" w:sz="4"/>
              <w:bottom w:val="single" w:color="CCCCCC" w:sz="4"/>
              <w:right w:val="single" w:color="CCCCCC" w:sz="4"/>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ID.RA-01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Vulnerabilities in assets identified, validated, and documented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A.8.8</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11.3.1, 11.3.2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6.6.2</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azure_defender_findings: all_expected_plans_enabled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Defender plans enabled across VMs, SQL, App Services, Storage, Key Vaults, Containers, and ARM provide continuous vulnerability scanning per resource type.</w:t>
            </w:r>
          </w:p>
        </w:tc>
      </w:tr>
      <w:tr>
        <w:tc>
          <w:tcPr>
            <w:tcW w:type="dxa" w:w="900"/>
            <w:tcBorders>
              <w:top w:val="single" w:color="CCCCCC" w:sz="4"/>
              <w:left w:val="single" w:color="CCCCCC" w:sz="4"/>
              <w:bottom w:val="single" w:color="CCCCCC" w:sz="4"/>
              <w:right w:val="single" w:color="CCCCCC" w:sz="4"/>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ID.RA-04</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Potential impacts and likelihoods of threats quantified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12.3.2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CC3.2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azure_defender_findings: no_critical_alerts
azure_defender_findings: secure_score_above_70pct</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Two complementary risk signals: zero critical alerts = clean threat landscape; Secure Score above 70% = acceptable posture baseline. Both together quantify residual risk.</w:t>
            </w:r>
          </w:p>
        </w:tc>
      </w:tr>
      <w:tr>
        <w:tc>
          <w:tcPr>
            <w:tcW w:type="dxa" w:w="900"/>
            <w:tcBorders>
              <w:top w:val="single" w:color="CCCCCC" w:sz="4"/>
              <w:left w:val="single" w:color="CCCCCC" w:sz="4"/>
              <w:bottom w:val="single" w:color="CCCCCC" w:sz="4"/>
              <w:right w:val="single" w:color="CCCCCC" w:sz="4"/>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ID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ID.IM-01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Improvements to risk posture identified and prioritised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6.3.3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CC4.1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azure_policy_compliance: no_high_value_policy_failures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High-value policy failures (MFA, network security groups, TLS, SSH/RDP exposure) are the prioritised remediation queue. The high_value_failures list names each item explicitly.</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PR.AA-01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Identities and credentials issued, managed, verified, and revoked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A.5.16, A.5.17</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8.2.1, 8.3.1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6.4.1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azure_entra_id_posture: no_stale_service_principal_credentials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Expired service principal credentials are a direct credential lifecycle failure. The stale_credentials finding list names each affected service principal and the credential key ID.</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PR.AA-02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Physical and logical identities corroborated before access (MFA)</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A.5.17</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8.4.2, 8.4.3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6.4.1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azure_entra_id_posture: all_users_have_mfa
azure_entra_id_posture: mfa_conditional_access_enforced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Two MFA signals: per-user registration state (all_users_have_mfa) and Conditional Access policy enforcement (mfa_conditional_access_enforced). CA policy is the stronger control — it blocks sign-in rather than just checking registration.</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PR.AA-03</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Users, services, and hardware are authenticated before access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A.5.17, A.8.5</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8.3.1, 8.6.1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6.4.1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azure_entra_id_posture: mfa_conditional_access_enforced</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Conditional Access is Entra ID's enforcement layer — it intercepts every authentication attempt and applies policy before granting a token. This is Azure's equivalent of requiring MFA for all interactive logins.</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PR.AA-05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Access permissions managed and enforced on least-privilege principle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A.5.15, A.5.18</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7.2.1, 8.2.1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CC6.1, CC6.2, CC6.3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6.4.1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azure_entra_id_posture: no_direct_broad_role_at_sub_scope
azure_entra_id_posture: global_admin_count_acceptable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Two RBAC controls: no Owner/Contributor assignments directly at subscription scope (forces resource-group-level assignment), and Global Admin count capped at 4 accounts. Both enforce least privilege at different layers.</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PR.AA-06</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Physical access to assets managed and monitored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A.7.1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9.1.1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CC6.4</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val="false"/>
                <w:bCs w:val="false"/>
                <w:color w:val="7D4E00"/>
                <w:sz w:val="16"/>
                <w:szCs w:val="16"/>
              </w:rPr>
              <w:t xml:space="preserve">N/A — physical control (Microsoft data centre)</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Microsoft's shared responsibility model covers physical data centre security. Reference Microsoft's ISO 27001, SOC 2, and FedRAMP compliance documentation from the Microsoft Trust Center.</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PR.DS-01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Data-at-rest protected using encryption</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A.8.24</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3.4.1, 3.7.1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CC6.7</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8.4</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azure_policy_compliance: no_high_value_policy_failures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The high-value policy list includes 'secure transfer to storage accounts should be enabled' and storage network restriction policies that directly map to data-at-rest and data-in-transit protection.</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PR.DS-02</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Data-in-transit protected using encryption (TLS/HTTPS)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A.8.24</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4.2.1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CC6.7</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8.4</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azure_policy_compliance: no_high_value_policy_failures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'Secure transfer to storage accounts should be enabled' enforces HTTPS-only access. This is a built-in Azure Policy that maps directly to TLS-in-transit requirements.</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PR.IR-01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Networks and environments protected from unauthorised logical access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A.8.20</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1.3.1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CC6.6</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azure_policy_compliance: no_high_value_policy_failures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High-value policies include SSH/RDP access blocked from internet and network security groups on internet-facing VMs. These are direct network boundary controls.</w:t>
            </w:r>
          </w:p>
        </w:tc>
      </w:tr>
      <w:tr>
        <w:tc>
          <w:tcPr>
            <w:tcW w:type="dxa" w:w="900"/>
            <w:tcBorders>
              <w:top w:val="single" w:color="CCCCCC" w:sz="4"/>
              <w:left w:val="single" w:color="CCCCCC" w:sz="4"/>
              <w:bottom w:val="single" w:color="CCCCCC" w:sz="4"/>
              <w:right w:val="single" w:color="CCCCCC" w:sz="4"/>
            </w:tcBorders>
            <w:shd w:fill="7D4E0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PR</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PR.PS-01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Configuration management practices established and maintained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A.8.9</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2.2.1, 6.3.3</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6.6.1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azure_policy_compliance: azure_security_benchmark_assigned
azure_policy_compliance: pci_policy_initiative_assigned</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Azure Policy initiatives are the configuration management baseline. Two named initiatives confirm policy scope: Azure Security Benchmark (baseline hygiene) and PCI DSS initiative (cardholder data controls).</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DE.AE-02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Potentially adverse events analysed to characterise the attack</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A.8.15</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10.2.1, 10.7.1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6.5.1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azure_activity_logs: active_logging_confirmed</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Activity logs capture all control-plane operations (creates, updates, deletes, role assignments) across the subscription. The sample_recent_events field provides a lookback window for analysis.</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DE.AE-06</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Information on adverse events shared with authorised stakeholders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A.6.8</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12.10.1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CC7.3</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azure_defender_findings: security_contact_configured
GitHub Issues (automated FAIL notifications)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Two notification channels: a Defender security contact receives alert emails directly from Microsoft, and GitHub Issues share compliance gaps with the engineering team on every workflow run.</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DE.CM-01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Networks and services monitored to find adverse events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A.8.15</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10.2.1, 10.2.2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9.1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azure_activity_logs: diagnostic_settings_configured
azure_activity_logs: logs_sent_to_storage_or_law</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Diagnostic settings route activity logs to a Storage Account or Log Analytics Workspace. Both destinations confirm logs are being exported outside the platform for durable storage and analysis.</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DE.CM-03</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Personnel activity and technology usage monitored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A.8.15</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10.2.1, 10.7.1</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9.1</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azure_activity_logs: activity_log_alerts_configured</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Activity Log Alert rules fire in near-real-time on specific operations (e.g. policy changes, role assignments, resource deletions). The alert_rules_enabled count confirms active monitoring rules are in place.</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DE.CM-06</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External service provider activity monitored</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A.5.22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12.8.4</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CC9.2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azure_activity_logs: retention_meets_90_days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90-day minimum retention ensures provider and user activity can be reviewed retrospectively during incident investigation or a third-party audit.</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DE.CM-09</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Computing hardware and software monitored for adverse events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A.8.8</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11.3.1, 11.3.2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CC7.1, CC7.2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6.6.2</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azure_defender_findings: defender_servers_enabled
azure_defender_findings: defender_storage_enabled</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Defender for Servers provides endpoint detection and vulnerability scanning on VMs. Defender for Storage scans blobs for malware and anomalous access patterns. Together they cover compute and storage monitoring.</w:t>
            </w:r>
          </w:p>
        </w:tc>
      </w:tr>
      <w:tr>
        <w:tc>
          <w:tcPr>
            <w:tcW w:type="dxa" w:w="900"/>
            <w:tcBorders>
              <w:top w:val="single" w:color="CCCCCC" w:sz="4"/>
              <w:left w:val="single" w:color="CCCCCC" w:sz="4"/>
              <w:bottom w:val="single" w:color="CCCCCC" w:sz="4"/>
              <w:right w:val="single" w:color="CCCCCC" w:sz="4"/>
            </w:tcBorders>
            <w:shd w:fill="0E6655"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DE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DE.AE-03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Information from multiple sources correlated to understand adverse events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A.8.15, A.8.16</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10.7.1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CC7.2, CC7.3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9.1.2</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azure_defender_findings: all_expected_plans_enabled
azure_activity_logs: logs_sent_to_storage_or_law</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Defender aggregates signals from seven resource types into a single Secure Score and unified alert feed. Activity logs sent to Log Analytics enable cross-source correlation using KQL queries — the Azure equivalent of a SIEM.</w:t>
            </w:r>
          </w:p>
        </w:tc>
      </w:tr>
      <w:tr>
        <w:tc>
          <w:tcPr>
            <w:tcW w:type="dxa" w:w="900"/>
            <w:tcBorders>
              <w:top w:val="single" w:color="CCCCCC" w:sz="4"/>
              <w:left w:val="single" w:color="CCCCCC" w:sz="4"/>
              <w:bottom w:val="single" w:color="CCCCCC" w:sz="4"/>
              <w:right w:val="single" w:color="CCCCCC" w:sz="4"/>
            </w:tcBorders>
            <w:shd w:fill="7B241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RS</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RS.AN-03</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Analysis performed to establish root cause of cybersecurity events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A.5.26</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12.10.2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CC7.3</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azure_defender_findings: no_critical_alerts
azure_defender_findings: no_high_alerts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Defender alert detail (alert_name, resource_id, description, remediation) provides the starting point for root cause analysis. critical_alerts_sample and high_alerts_sample carry the top 10 per severity.</w:t>
            </w:r>
          </w:p>
        </w:tc>
      </w:tr>
      <w:tr>
        <w:tc>
          <w:tcPr>
            <w:tcW w:type="dxa" w:w="900"/>
            <w:tcBorders>
              <w:top w:val="single" w:color="CCCCCC" w:sz="4"/>
              <w:left w:val="single" w:color="CCCCCC" w:sz="4"/>
              <w:bottom w:val="single" w:color="CCCCCC" w:sz="4"/>
              <w:right w:val="single" w:color="CCCCCC" w:sz="4"/>
            </w:tcBorders>
            <w:shd w:fill="7B241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RS.CO-02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Incidents reported internally consistent with established criteria</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A.6.8</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12.10.1</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GitHub Issues (automated incident reporting)</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Every FAIL signal opens a GitHub Issue with a consistent format. Consistent structure = auditable reporting. Issue labels (compliance, automated, evidence-id) enable filtering and trending.</w:t>
            </w:r>
          </w:p>
        </w:tc>
      </w:tr>
      <w:tr>
        <w:tc>
          <w:tcPr>
            <w:tcW w:type="dxa" w:w="900"/>
            <w:tcBorders>
              <w:top w:val="single" w:color="CCCCCC" w:sz="4"/>
              <w:left w:val="single" w:color="CCCCCC" w:sz="4"/>
              <w:bottom w:val="single" w:color="CCCCCC" w:sz="4"/>
              <w:right w:val="single" w:color="CCCCCC" w:sz="4"/>
            </w:tcBorders>
            <w:shd w:fill="7B241C"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RS</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RS.MI-01</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Incidents contained to minimise impact on the organisation</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A.5.26</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12.10.3</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CC7.4</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val="false"/>
                <w:bCs w:val="false"/>
                <w:color w:val="7D4E00"/>
                <w:sz w:val="16"/>
                <w:szCs w:val="16"/>
              </w:rPr>
              <w:t xml:space="preserve">N/A — requires manual runbook</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Automation surfaces the gap; each GitHub Issue body includes a remediation field from Defender's remediationDescription. Full containment requires a documented runbook with escalation path and Azure portal steps.</w:t>
            </w:r>
          </w:p>
        </w:tc>
      </w:tr>
      <w:tr>
        <w:tc>
          <w:tcPr>
            <w:tcW w:type="dxa" w:w="900"/>
            <w:tcBorders>
              <w:top w:val="single" w:color="CCCCCC" w:sz="4"/>
              <w:left w:val="single" w:color="CCCCCC" w:sz="4"/>
              <w:bottom w:val="single" w:color="CCCCCC" w:sz="4"/>
              <w:right w:val="single" w:color="CCCCCC" w:sz="4"/>
            </w:tcBorders>
            <w:shd w:fill="15436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RC</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RC.RP-01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Recovery plan executed during or after a cybersecurity incident</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A.5.29</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12.10.4</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A1.3</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val="false"/>
                <w:bCs w:val="false"/>
                <w:color w:val="7D4E00"/>
                <w:sz w:val="16"/>
                <w:szCs w:val="16"/>
              </w:rPr>
              <w:t xml:space="preserve">N/A — requires DR plan document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Gap area. Azure-specific DR plan should reference Azure Backup for VMs, Azure Blob soft delete and versioning, Azure SQL geo-replication, and Key Vault soft delete and purge protection.</w:t>
            </w:r>
          </w:p>
        </w:tc>
      </w:tr>
      <w:tr>
        <w:tc>
          <w:tcPr>
            <w:tcW w:type="dxa" w:w="900"/>
            <w:tcBorders>
              <w:top w:val="single" w:color="CCCCCC" w:sz="4"/>
              <w:left w:val="single" w:color="CCCCCC" w:sz="4"/>
              <w:bottom w:val="single" w:color="CCCCCC" w:sz="4"/>
              <w:right w:val="single" w:color="CCCCCC" w:sz="4"/>
            </w:tcBorders>
            <w:shd w:fill="154360" w:val="clear"/>
            <w:tcMar>
              <w:top w:type="dxa" w:w="80"/>
              <w:left w:type="dxa" w:w="100"/>
              <w:bottom w:type="dxa" w:w="80"/>
              <w:right w:type="dxa" w:w="100"/>
            </w:tcMar>
            <w:vAlign w:val="center"/>
          </w:tcPr>
          <w:p>
            <w:pPr>
              <w:jc w:val="center"/>
            </w:pPr>
            <w:r>
              <w:rPr>
                <w:rFonts w:ascii="Arial" w:cs="Arial" w:eastAsia="Arial" w:hAnsi="Arial"/>
                <w:b/>
                <w:bCs/>
                <w:color w:val="FFFFFF"/>
                <w:sz w:val="16"/>
                <w:szCs w:val="16"/>
              </w:rPr>
              <w:t xml:space="preserve">RC</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RC.CO-03</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Recovery activities and progress communicated to stakeholders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A.5.29</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12.10.4</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A1.3</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t>
            </w:r>
          </w:p>
        </w:tc>
        <w:tc>
          <w:tcPr>
            <w:tcW w:type="dxa" w:w="13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6B3C"/>
                <w:sz w:val="16"/>
                <w:szCs w:val="16"/>
              </w:rPr>
              <w:t xml:space="preserve">GitHub Issues (close = recovery confirmed)</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444444"/>
                <w:sz w:val="18"/>
                <w:szCs w:val="18"/>
              </w:rPr>
              <w:t xml:space="preserve">Closing a GitHub Issue after re-running collectors and confirming a PASS creates a timestamped, auditable recovery record. The git commit tying the re-run to the closed issue is the evidence chain.</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5. Gap Analysis — What Automation Cannot Cover</w:t>
      </w:r>
    </w:p>
    <w:p>
      <w:pPr>
        <w:spacing w:before="80" w:after="80"/>
      </w:pPr>
      <w:r>
        <w:rPr>
          <w:rFonts w:ascii="Arial" w:cs="Arial" w:eastAsia="Arial" w:hAnsi="Arial"/>
          <w:color w:val="1A1A1A"/>
          <w:sz w:val="20"/>
          <w:szCs w:val="20"/>
        </w:rPr>
        <w:t xml:space="preserve">Automated Azure evidence handles most NIST CSF 2.0 subcategories, but certain requirements need human-authored documents and tested processes. The following items require additional artefacts to satisfy a full CSF 2.0 assessment.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2300"/>
        <w:gridCol w:w="3500"/>
        <w:gridCol w:w="860"/>
      </w:tblGrid>
      <w:tr>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CSF Sub-category</w:t>
            </w:r>
          </w:p>
        </w:tc>
        <w:tc>
          <w:tcPr>
            <w:tcW w:type="dxa" w:w="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c>
          <w:tcPr>
            <w:tcW w:type="dxa" w:w="23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 Description</w:t>
            </w:r>
          </w:p>
        </w:tc>
        <w:tc>
          <w:tcPr>
            <w:tcW w:type="dxa" w:w="35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 Action</w:t>
            </w:r>
          </w:p>
        </w:tc>
        <w:tc>
          <w:tcPr>
            <w:tcW w:type="dxa" w:w="8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GV.OC-01</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GOVERN</w:t>
            </w:r>
          </w:p>
        </w:tc>
        <w:tc>
          <w:tcPr>
            <w:tcW w:type="dxa" w:w="2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Information security policy documenting cybersecurity objectives and leadership commitment</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Author an Information Security Policy signed by a named executive. Include scope, objectives, and management commitment statement. Store in docs/ in the repository.</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7B241C"/>
                <w:sz w:val="18"/>
                <w:szCs w:val="18"/>
              </w:rPr>
              <w:t xml:space="preserve">Low — document only</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GV.SC-01 / GV.SC-06</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GOVERN</w:t>
            </w:r>
          </w:p>
        </w:tc>
        <w:tc>
          <w:tcPr>
            <w:tcW w:type="dxa" w:w="2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Supplier and third-party cybersecurity requirements documented and monitored</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Create a vendor register listing Microsoft as a critical supplier. Reference the Microsoft Trust Center (microsoft.com/en-us/trust-center), Azure ISO 27001 certificate, SOC 2 report, and Shared Responsibility Model as third-party evidence. Review annually.</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7B241C"/>
                <w:sz w:val="18"/>
                <w:szCs w:val="18"/>
              </w:rPr>
              <w:t xml:space="preserve">Low — doc + annual review</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PR.AA-06</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PROTECT</w:t>
            </w:r>
          </w:p>
        </w:tc>
        <w:tc>
          <w:tcPr>
            <w:tcW w:type="dxa" w:w="2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Physical access controls at data centre level</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Microsofts shared responsibility model covers physical data centre security. Download the Azure ISO 27001 certificate and SOC 2 Type II report from the Microsoft Service Trust Portal (servicetrust.microsoft.com) and attach them to your evidence folder.</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7B241C"/>
                <w:sz w:val="18"/>
                <w:szCs w:val="18"/>
              </w:rPr>
              <w:t xml:space="preserve">None — obtain Microsoft artefacts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RS.MI-01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RESPOND</w:t>
            </w:r>
          </w:p>
        </w:tc>
        <w:tc>
          <w:tcPr>
            <w:tcW w:type="dxa" w:w="2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Incident containment runbooks for each Azure finding type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Write one-page response playbooks per finding category: (1) stale service principal credential detected, (2) MFA disabled user found, (3) critical Defender alert fired, (4) high-value policy failure (SSH/RDP open, no NSG, storage HTTP). Each GitHub Issue body already includes the resource ID and a remediation step from Defenders remediationDescription — the runbook adds the who, when, and escalation path.</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7B241C"/>
                <w:sz w:val="18"/>
                <w:szCs w:val="18"/>
              </w:rPr>
              <w:t xml:space="preserve">Medium — runbook authoring</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RC.RP-01</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RECOVER</w:t>
            </w:r>
          </w:p>
        </w:tc>
        <w:tc>
          <w:tcPr>
            <w:tcW w:type="dxa" w:w="2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Documented and tested recovery plan for Azure resources</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Create a BC/DR plan referencing: Azure Backup for VMs and databases, Azure Blob soft delete and versioning, Azure SQL active geo-replication, Key Vault soft delete and purge protection enabled, and Azure Site Recovery for VM failover. Schedule an annual tabletop exercise and document outcomes.</w:t>
            </w:r>
          </w:p>
        </w:tc>
        <w:tc>
          <w:tcPr>
            <w:tcW w:type="dxa" w:w="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7B241C"/>
                <w:sz w:val="18"/>
                <w:szCs w:val="18"/>
              </w:rPr>
              <w:t xml:space="preserve">High — plan + annual exercise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RC.CO-04</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RECOVER</w:t>
            </w:r>
          </w:p>
        </w:tc>
        <w:tc>
          <w:tcPr>
            <w:tcW w:type="dxa" w:w="23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Public and regulatory communications plan for major incidents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Define a stakeholder notification plan: internal escalation path, customer communication template, and regulatory notification timelines (GDPR 72-hour reporting if applicable, PCI breach notification per Req 12.10). Store in docs/incident-comms.md.</w:t>
            </w:r>
          </w:p>
        </w:tc>
        <w:tc>
          <w:tcPr>
            <w:tcW w:type="dxa" w:w="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7B241C"/>
                <w:sz w:val="18"/>
                <w:szCs w:val="18"/>
              </w:rPr>
              <w:t xml:space="preserve">Medium — comms plan</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6. How the Weekly Workflow Satisfies CSF 2.0</w:t>
      </w:r>
    </w:p>
    <w:p>
      <w:pPr>
        <w:spacing w:before="80" w:after="80"/>
      </w:pPr>
      <w:r>
        <w:rPr>
          <w:rFonts w:ascii="Arial" w:cs="Arial" w:eastAsia="Arial" w:hAnsi="Arial"/>
          <w:color w:val="1A1A1A"/>
          <w:sz w:val="20"/>
          <w:szCs w:val="20"/>
        </w:rPr>
        <w:t xml:space="preserve">This section explains in plain terms how each step of the GitHub Actions workflow produces evidence that satisfies a NIST CSF 2.0 function. It is written for compliance team members learning how the system works.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60"/>
        <w:gridCol w:w="4200"/>
      </w:tblGrid>
      <w:t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Workflow Step</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CSF Function(s)</w:t>
            </w:r>
          </w:p>
        </w:tc>
        <w:tc>
          <w:tcPr>
            <w:tcW w:type="dxa" w:w="1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Subcategories Satisfied</w:t>
            </w:r>
          </w:p>
        </w:tc>
        <w:tc>
          <w:tcPr>
            <w:tcW w:type="dxa" w:w="4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It Counts as Evidence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A1A1A"/>
                <w:sz w:val="18"/>
                <w:szCs w:val="18"/>
              </w:rPr>
              <w:t xml:space="preserve">Step 1 — OIDC / Workload Identity Federation (no stored credentials)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F4E79"/>
                <w:sz w:val="18"/>
                <w:szCs w:val="18"/>
              </w:rPr>
              <w:t xml:space="preserve">GOVERN + PROTECT</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5B2C6F"/>
                <w:sz w:val="18"/>
                <w:szCs w:val="18"/>
              </w:rPr>
              <w:t xml:space="preserve">GV.RM-01, PR.AA-05</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GitHub Actions obtains a short-lived Azure bearer token via OIDC federation — no client secrets or certificates are stored in GitHub Secrets. This eliminates the risk of leaked long-lived credentials. It also forces the principle of least privilege: the token is scoped to the specific subscription and workflow run.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Step 2 — Four collectors run (Entra ID, Activity Logs, Azure Policy, Defender)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F4E79"/>
                <w:sz w:val="18"/>
                <w:szCs w:val="18"/>
              </w:rPr>
              <w:t xml:space="preserve">IDENTIFY + DETECT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5B2C6F"/>
                <w:sz w:val="18"/>
                <w:szCs w:val="18"/>
              </w:rPr>
              <w:t xml:space="preserve">ID.AM-01, ID.RA-01, DE.CM-01, DE.CM-09</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Four independent Azure services are queried every week. Entra ID covers identity posture. Activity Logs cover audit trail. Azure Policy covers configuration compliance. Defender covers threat detection and vulnerability scanning. This is automated, multi-source risk discovery.</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A1A1A"/>
                <w:sz w:val="18"/>
                <w:szCs w:val="18"/>
              </w:rPr>
              <w:t xml:space="preserve">Step 3 — controls.yaml maps evidence to framework control IDs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F4E79"/>
                <w:sz w:val="18"/>
                <w:szCs w:val="18"/>
              </w:rPr>
              <w:t xml:space="preserve">GOVERN + IDENTIFY</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5B2C6F"/>
                <w:sz w:val="18"/>
                <w:szCs w:val="18"/>
              </w:rPr>
              <w:t xml:space="preserve">GV.RM-01, ID.RA-04</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The controls.yaml file is the machine-readable risk register. Each entry links a specific Azure signal (e.g. no_stale_service_principal_credentials) to the PCI-DSS, SOC 2, ISO 27001, and ISO 42001 control IDs it satisfies simultaneously. The overlap field (HIGH / MEDIUM / LOW) documents control efficiency.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Step 4 — generate_report.py produces three CSV reports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F4E79"/>
                <w:sz w:val="18"/>
                <w:szCs w:val="18"/>
              </w:rPr>
              <w:t xml:space="preserve">IDENTIFY + DETECT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5B2C6F"/>
                <w:sz w:val="18"/>
                <w:szCs w:val="18"/>
              </w:rPr>
              <w:t xml:space="preserve">ID.RA-04, DE.AE-02</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01_summary.csv is the signal health board. 02_control_coverage.csv is the auditor evidence map showing pass/fail per framework control. 03_findings_detail.csv is the prioritised remediation queue with resource IDs, severities, and remediation steps.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A1A1A"/>
                <w:sz w:val="18"/>
                <w:szCs w:val="18"/>
              </w:rPr>
              <w:t xml:space="preserve">Step 5 — git commit of evidence artifacts and reports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F4E79"/>
                <w:sz w:val="18"/>
                <w:szCs w:val="18"/>
              </w:rPr>
              <w:t xml:space="preserve">GOVERN + DETECT</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5B2C6F"/>
                <w:sz w:val="18"/>
                <w:szCs w:val="18"/>
              </w:rPr>
              <w:t xml:space="preserve">GV.RM-06, DE.CM-03</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Every run creates a timestamped, append-only record in git history with run ID, subscription ID, fail count, and finding count in the commit message. An auditor can reconstruct the compliance posture for any past week by checking out a specific commit — this is a durable, tamper-evident audit trail.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A1A1A"/>
                <w:sz w:val="18"/>
                <w:szCs w:val="18"/>
              </w:rPr>
              <w:t xml:space="preserve">Step 6 — GitHub Issues opened for every FAIL signal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F4E79"/>
                <w:sz w:val="18"/>
                <w:szCs w:val="18"/>
              </w:rPr>
              <w:t xml:space="preserve">DETECT + RESPOND</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5B2C6F"/>
                <w:sz w:val="18"/>
                <w:szCs w:val="18"/>
              </w:rPr>
              <w:t xml:space="preserve">DE.AE-06, RS.CO-02, RS.AN-03</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Issues are created, assigned, tracked, and closed — a lightweight incident workflow inside the development platform. Each issue includes: evidence ID, signal name, Azure subscription, frameworks affected, resource IDs, and a remediation step sourced directly from Defenders remediationDescription. Closing after re-run confirmation creates the recovery record.</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7. Quick Reference — Framework Comparison</w:t>
      </w:r>
    </w:p>
    <w:p>
      <w:pPr>
        <w:spacing w:before="80" w:after="80"/>
      </w:pPr>
      <w:r>
        <w:rPr>
          <w:rFonts w:ascii="Arial" w:cs="Arial" w:eastAsia="Arial" w:hAnsi="Arial"/>
          <w:color w:val="1A1A1A"/>
          <w:sz w:val="20"/>
          <w:szCs w:val="20"/>
        </w:rPr>
        <w:t xml:space="preserve">This table shows which framework most strongly addresses each CSF function in the Azure context. Use it to direct an auditor to the right evidence source quickly.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30"/>
        <w:gridCol w:w="1630"/>
        <w:gridCol w:w="1630"/>
        <w:gridCol w:w="1630"/>
        <w:gridCol w:w="1640"/>
      </w:tblGrid>
      <w:tr>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CSF Function</w:t>
            </w:r>
          </w:p>
        </w:tc>
        <w:tc>
          <w:tcPr>
            <w:tcW w:type="dxa" w:w="163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ISO 27001</w:t>
            </w:r>
          </w:p>
        </w:tc>
        <w:tc>
          <w:tcPr>
            <w:tcW w:type="dxa" w:w="163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PCI-DSS v4</w:t>
            </w:r>
          </w:p>
        </w:tc>
        <w:tc>
          <w:tcPr>
            <w:tcW w:type="dxa" w:w="163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SOC 2 Type II</w:t>
            </w:r>
          </w:p>
        </w:tc>
        <w:tc>
          <w:tcPr>
            <w:tcW w:type="dxa" w:w="163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ISO 42001</w:t>
            </w:r>
          </w:p>
        </w:tc>
        <w:tc>
          <w:tcPr>
            <w:tcW w:type="dxa" w:w="164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Azure Evidence Source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7"/>
                <w:szCs w:val="17"/>
              </w:rPr>
              <w:t xml:space="preserve">GOVERN (GV)</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Clauses 4-10 governance, risk, leadership accountability</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Partial — Req 12 policies, vendor management</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Partial — CC3 risk, CC1 control environment</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AI governance clauses 4-10</w:t>
            </w:r>
          </w:p>
        </w:tc>
        <w:tc>
          <w:tcPr>
            <w:tcW w:type="dxa" w:w="1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0078D4"/>
                <w:sz w:val="18"/>
                <w:szCs w:val="18"/>
              </w:rPr>
              <w:t xml:space="preserve">controls.yaml + Azure Security Benchmark initiative + Policy docs (gap)</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7"/>
                <w:szCs w:val="17"/>
              </w:rPr>
              <w:t xml:space="preserve">IDENTIFY (ID)</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A.8.1 asset mgmt, 6.1.2 risk assessment, A.8.8 vuln mgmt</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Req 2 (inventory), Req 11 (scanning)</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CC3 risk, CC7.1 vulnerability management</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8.1 AI asset management, 6.6.2 vuln</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78D4"/>
                <w:sz w:val="18"/>
                <w:szCs w:val="18"/>
              </w:rPr>
              <w:t xml:space="preserve">azure_defender_findings (CSPM), azure_policy_compliance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7"/>
                <w:szCs w:val="17"/>
              </w:rPr>
              <w:t xml:space="preserve">PROTECT (PR)</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A.5.15-A.5.18 access, A.8.24 encryption, A.8.20 network</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Req 7-8 (access ctrl), Req 3-4 (crypto)</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CC6 logical access and data protection</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6.4.1 access to AI systems, 8.4</w:t>
            </w:r>
          </w:p>
        </w:tc>
        <w:tc>
          <w:tcPr>
            <w:tcW w:type="dxa" w:w="1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0078D4"/>
                <w:sz w:val="18"/>
                <w:szCs w:val="18"/>
              </w:rPr>
              <w:t xml:space="preserve">azure_entra_id_posture (MFA, RBAC), azure_policy_compliance (network, TLS)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7"/>
                <w:szCs w:val="17"/>
              </w:rPr>
              <w:t xml:space="preserve">DETECT (DE)</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A.8.15-A.8.16 logging, A.8.8 monitoring</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Req 10 (audit logging), Req 11 (testing)</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CC7 monitoring and anomaly detection</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9.1 performance monitoring, 6.5.1</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78D4"/>
                <w:sz w:val="18"/>
                <w:szCs w:val="18"/>
              </w:rPr>
              <w:t xml:space="preserve">azure_activity_logs, azure_defender_findings (alerts, Secure Score)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17"/>
                <w:szCs w:val="17"/>
              </w:rPr>
              <w:t xml:space="preserve">RESPOND (RS)</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A.5.26 incident response</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Req 12.10 incident response plan</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CC7.3, CC7.4</w:t>
            </w:r>
          </w:p>
        </w:tc>
        <w:tc>
          <w:tcPr>
            <w:tcW w:type="dxa" w:w="16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Limited</w:t>
            </w:r>
          </w:p>
        </w:tc>
        <w:tc>
          <w:tcPr>
            <w:tcW w:type="dxa" w:w="1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0078D4"/>
                <w:sz w:val="18"/>
                <w:szCs w:val="18"/>
              </w:rPr>
              <w:t xml:space="preserve">GitHub Issues (automated) + Defender remediationDescription + IR runbook (gap)</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17"/>
                <w:szCs w:val="17"/>
              </w:rPr>
              <w:t xml:space="preserve">RECOVER (RC)</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A.5.29, A.5.30 BC/DR</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Moderate — Req 12.10.4 recovery procedures</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Strong — A1 availability criteria</w:t>
            </w:r>
          </w:p>
        </w:tc>
        <w:tc>
          <w:tcPr>
            <w:tcW w:type="dxa" w:w="16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18"/>
                <w:szCs w:val="18"/>
              </w:rPr>
              <w:t xml:space="preserve">Limited</w:t>
            </w:r>
          </w:p>
        </w:tc>
        <w:tc>
          <w:tcPr>
            <w:tcW w:type="dxa" w:w="1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0078D4"/>
                <w:sz w:val="18"/>
                <w:szCs w:val="18"/>
              </w:rPr>
              <w:t xml:space="preserve">GitHub Issue close (automated) + Azure Backup / DR plan (gap)</w:t>
            </w:r>
          </w:p>
        </w:tc>
      </w:tr>
    </w:tbl>
    <w:p>
      <w:pPr>
        <w:spacing w:before="60" w:after="60"/>
      </w:pPr>
      <w:r>
        <w:t xml:space="preserve"/>
      </w:r>
    </w:p>
    <w:p>
      <w:pPr>
        <w:pStyle w:val="Heading2"/>
        <w:spacing w:before="240" w:after="120"/>
      </w:pPr>
      <w:r>
        <w:rPr>
          <w:rFonts w:ascii="Arial" w:cs="Arial" w:eastAsia="Arial" w:hAnsi="Arial"/>
          <w:b/>
          <w:bCs/>
          <w:color w:val="1F4E79"/>
          <w:sz w:val="26"/>
          <w:szCs w:val="26"/>
        </w:rPr>
        <w:t xml:space="preserve">7.1 Azure-Specific Coverage — What Is Unique to This Platform</w:t>
      </w:r>
    </w:p>
    <w:p>
      <w:pPr>
        <w:spacing w:before="80" w:after="80"/>
      </w:pPr>
      <w:r>
        <w:rPr>
          <w:rFonts w:ascii="Arial" w:cs="Arial" w:eastAsia="Arial" w:hAnsi="Arial"/>
          <w:color w:val="1A1A1A"/>
          <w:sz w:val="20"/>
          <w:szCs w:val="20"/>
        </w:rPr>
        <w:t xml:space="preserve">The Azure version covers two CSF subcategories and one signal type that have no direct equivalent in the AWS or GCP versions: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4360"/>
      </w:tblGrid>
      <w:tr>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CSF Subcategory</w:t>
            </w:r>
          </w:p>
        </w:tc>
        <w:tc>
          <w:tcPr>
            <w:tcW w:type="dxa" w:w="1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 AWS / GCP?</w:t>
            </w:r>
          </w:p>
        </w:tc>
        <w:tc>
          <w:tcPr>
            <w:tcW w:type="dxa" w:w="17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 Azure?</w:t>
            </w:r>
          </w:p>
        </w:tc>
        <w:tc>
          <w:tcPr>
            <w:tcW w:type="dxa" w:w="4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Makes It Different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GV.OV-01 (risk posture trending)</w:t>
            </w:r>
          </w:p>
        </w:tc>
        <w:tc>
          <w:tcPr>
            <w:tcW w:type="dxa" w:w="17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covered — no equivalent signal</w:t>
            </w:r>
          </w:p>
        </w:tc>
        <w:tc>
          <w:tcPr>
            <w:tcW w:type="dxa" w:w="17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r>
              <w:rPr>
                <w:rFonts w:ascii="Arial" w:cs="Arial" w:eastAsia="Arial" w:hAnsi="Arial"/>
                <w:b w:val="false"/>
                <w:bCs w:val="false"/>
                <w:color w:val="1E6B3C"/>
                <w:sz w:val="18"/>
                <w:szCs w:val="18"/>
              </w:rPr>
              <w:t xml:space="preserve">compliance_rate_above_90pct — weekly policy score</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Azure Policy tracks a running compliance percentage across all policies. The weekly git commit creates a trend line over time — an auditor can see whether the posture improved, degraded, or stayed the same across quarters.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bCs/>
                <w:color w:val="1F4E79"/>
                <w:sz w:val="18"/>
                <w:szCs w:val="18"/>
              </w:rPr>
              <w:t xml:space="preserve">PR.AA-03 (authentication enforcement)</w:t>
            </w:r>
          </w:p>
        </w:tc>
        <w:tc>
          <w:tcPr>
            <w:tcW w:type="dxa" w:w="17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Partially covered via IAM/org policies</w:t>
            </w:r>
          </w:p>
        </w:tc>
        <w:tc>
          <w:tcPr>
            <w:tcW w:type="dxa" w:w="17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r>
              <w:rPr>
                <w:rFonts w:ascii="Arial" w:cs="Arial" w:eastAsia="Arial" w:hAnsi="Arial"/>
                <w:b w:val="false"/>
                <w:bCs w:val="false"/>
                <w:color w:val="1E6B3C"/>
                <w:sz w:val="18"/>
                <w:szCs w:val="18"/>
              </w:rPr>
              <w:t xml:space="preserve">mfa_conditional_access_enforced — CA policy check</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Entra ID Conditional Access intercepts every sign-in attempt and enforces MFA before issuing a token. This is an enforcement layer, not just a registration check — it is stronger than the per-user MFA signals in the AWS and GCP versions.</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bCs/>
                <w:color w:val="1F4E79"/>
                <w:sz w:val="18"/>
                <w:szCs w:val="18"/>
              </w:rPr>
              <w:t xml:space="preserve">ID.IM-01 (improvement prioritisation)</w:t>
            </w:r>
          </w:p>
        </w:tc>
        <w:tc>
          <w:tcPr>
            <w:tcW w:type="dxa" w:w="1700"/>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Not explicitly covered as a signal</w:t>
            </w:r>
          </w:p>
        </w:tc>
        <w:tc>
          <w:tcPr>
            <w:tcW w:type="dxa" w:w="170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vAlign w:val="center"/>
          </w:tcPr>
          <w:p>
            <w:r>
              <w:rPr>
                <w:rFonts w:ascii="Arial" w:cs="Arial" w:eastAsia="Arial" w:hAnsi="Arial"/>
                <w:b w:val="false"/>
                <w:bCs w:val="false"/>
                <w:color w:val="1E6B3C"/>
                <w:sz w:val="18"/>
                <w:szCs w:val="18"/>
              </w:rPr>
              <w:t xml:space="preserve">no_high_value_policy_failures — named policy failures list</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r>
              <w:rPr>
                <w:rFonts w:ascii="Arial" w:cs="Arial" w:eastAsia="Arial" w:hAnsi="Arial"/>
                <w:b w:val="false"/>
                <w:bCs w:val="false"/>
                <w:color w:val="1A1A1A"/>
                <w:sz w:val="18"/>
                <w:szCs w:val="18"/>
              </w:rPr>
              <w:t xml:space="preserve">The high_value_failures list explicitly names the 13 highest-risk policies (MFA missing, SSH/RDP open, NSG absent, TLS disabled). This turns a pass/fail signal into a prioritised improvement backlog, directly satisfying ID.IM-01.</w:t>
            </w:r>
          </w:p>
        </w:tc>
      </w:tr>
    </w:tbl>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8. Sources and References</w:t>
      </w:r>
    </w:p>
    <w:p>
      <w:pPr>
        <w:spacing w:before="80" w:after="80"/>
      </w:pPr>
      <w:r>
        <w:rPr>
          <w:rFonts w:ascii="Arial" w:cs="Arial" w:eastAsia="Arial" w:hAnsi="Arial"/>
          <w:color w:val="1A1A1A"/>
          <w:sz w:val="20"/>
          <w:szCs w:val="20"/>
        </w:rPr>
        <w:t xml:space="preserve">All framework mappings in this document are derived from the following authoritative sources. Mappings follow NIST-published crosswalk tables wherever available and reasoned professional judgment where they do not.</w:t>
      </w:r>
    </w:p>
    <w:p>
      <w:pPr>
        <w:spacing w:before="60" w:after="60"/>
      </w:pPr>
      <w:r>
        <w:t xml:space="preserve"/>
      </w:r>
    </w:p>
    <w:p>
      <w:pPr>
        <w:spacing w:before="80" w:after="80"/>
      </w:pPr>
      <w:r>
        <w:rPr>
          <w:rFonts w:ascii="Arial" w:cs="Arial" w:eastAsia="Arial" w:hAnsi="Arial"/>
          <w:b/>
          <w:bCs/>
          <w:color w:val="1A1A1A"/>
          <w:sz w:val="20"/>
          <w:szCs w:val="20"/>
        </w:rPr>
        <w:t xml:space="preserve">NIST CSF 2.0</w:t>
      </w:r>
    </w:p>
    <w:p>
      <w:pPr>
        <w:pStyle w:val="ListParagraph"/>
        <w:numPr>
          <w:ilvl w:val="0"/>
          <w:numId w:val="2"/>
        </w:numPr>
        <w:spacing w:before="40" w:after="40"/>
      </w:pPr>
      <w:r>
        <w:rPr>
          <w:rFonts w:ascii="Arial" w:cs="Arial" w:eastAsia="Arial" w:hAnsi="Arial"/>
          <w:color w:val="1A1A1A"/>
          <w:sz w:val="20"/>
          <w:szCs w:val="20"/>
        </w:rPr>
        <w:t xml:space="preserve">NIST Cybersecurity Framework 2.0 — NIST CSWP 29, February 2024. doi:10.6028/NIST.CSWP.29</w:t>
      </w:r>
    </w:p>
    <w:p>
      <w:pPr>
        <w:pStyle w:val="ListParagraph"/>
        <w:numPr>
          <w:ilvl w:val="0"/>
          <w:numId w:val="2"/>
        </w:numPr>
        <w:spacing w:before="40" w:after="40"/>
      </w:pPr>
      <w:r>
        <w:rPr>
          <w:rFonts w:ascii="Arial" w:cs="Arial" w:eastAsia="Arial" w:hAnsi="Arial"/>
          <w:color w:val="1A1A1A"/>
          <w:sz w:val="20"/>
          <w:szCs w:val="20"/>
        </w:rPr>
        <w:t xml:space="preserve">NIST CSF 2.0 Reference Tool and mapping tables: https://csrc.nist.gov/projects/cybersecurity-framework</w:t>
      </w:r>
    </w:p>
    <w:p>
      <w:pPr>
        <w:pStyle w:val="ListParagraph"/>
        <w:numPr>
          <w:ilvl w:val="0"/>
          <w:numId w:val="2"/>
        </w:numPr>
        <w:spacing w:before="40" w:after="40"/>
      </w:pPr>
      <w:r>
        <w:rPr>
          <w:rFonts w:ascii="Arial" w:cs="Arial" w:eastAsia="Arial" w:hAnsi="Arial"/>
          <w:color w:val="1A1A1A"/>
          <w:sz w:val="20"/>
          <w:szCs w:val="20"/>
        </w:rPr>
        <w:t xml:space="preserve">NIST informative references crosswalk (CSF 2.0 to ISO 27001, SP 800-53): https://www.nist.gov/cyberframework</w:t>
      </w:r>
    </w:p>
    <w:p>
      <w:pPr>
        <w:spacing w:before="60" w:after="60"/>
      </w:pPr>
      <w:r>
        <w:t xml:space="preserve"/>
      </w:r>
    </w:p>
    <w:p>
      <w:pPr>
        <w:spacing w:before="80" w:after="80"/>
      </w:pPr>
      <w:r>
        <w:rPr>
          <w:rFonts w:ascii="Arial" w:cs="Arial" w:eastAsia="Arial" w:hAnsi="Arial"/>
          <w:b/>
          <w:bCs/>
          <w:color w:val="1A1A1A"/>
          <w:sz w:val="20"/>
          <w:szCs w:val="20"/>
        </w:rPr>
        <w:t xml:space="preserve">ISO/IEC 27001:2022</w:t>
      </w:r>
    </w:p>
    <w:p>
      <w:pPr>
        <w:pStyle w:val="ListParagraph"/>
        <w:numPr>
          <w:ilvl w:val="0"/>
          <w:numId w:val="2"/>
        </w:numPr>
        <w:spacing w:before="40" w:after="40"/>
      </w:pPr>
      <w:r>
        <w:rPr>
          <w:rFonts w:ascii="Arial" w:cs="Arial" w:eastAsia="Arial" w:hAnsi="Arial"/>
          <w:color w:val="1A1A1A"/>
          <w:sz w:val="20"/>
          <w:szCs w:val="20"/>
        </w:rPr>
        <w:t xml:space="preserve">ISO/IEC 27001:2022 — Information security, cybersecurity and privacy protection. Published October 2022.</w:t>
      </w:r>
    </w:p>
    <w:p>
      <w:pPr>
        <w:pStyle w:val="ListParagraph"/>
        <w:numPr>
          <w:ilvl w:val="0"/>
          <w:numId w:val="2"/>
        </w:numPr>
        <w:spacing w:before="40" w:after="40"/>
      </w:pPr>
      <w:r>
        <w:rPr>
          <w:rFonts w:ascii="Arial" w:cs="Arial" w:eastAsia="Arial" w:hAnsi="Arial"/>
          <w:color w:val="1A1A1A"/>
          <w:sz w:val="20"/>
          <w:szCs w:val="20"/>
        </w:rPr>
        <w:t xml:space="preserve">Annex A controls referenced per the 2022 revision (93 controls).</w:t>
      </w:r>
    </w:p>
    <w:p>
      <w:pPr>
        <w:spacing w:before="60" w:after="60"/>
      </w:pPr>
      <w:r>
        <w:t xml:space="preserve"/>
      </w:r>
    </w:p>
    <w:p>
      <w:pPr>
        <w:spacing w:before="80" w:after="80"/>
      </w:pPr>
      <w:r>
        <w:rPr>
          <w:rFonts w:ascii="Arial" w:cs="Arial" w:eastAsia="Arial" w:hAnsi="Arial"/>
          <w:b/>
          <w:bCs/>
          <w:color w:val="1A1A1A"/>
          <w:sz w:val="20"/>
          <w:szCs w:val="20"/>
        </w:rPr>
        <w:t xml:space="preserve">PCI DSS v4.0</w:t>
      </w:r>
    </w:p>
    <w:p>
      <w:pPr>
        <w:pStyle w:val="ListParagraph"/>
        <w:numPr>
          <w:ilvl w:val="0"/>
          <w:numId w:val="2"/>
        </w:numPr>
        <w:spacing w:before="40" w:after="40"/>
      </w:pPr>
      <w:r>
        <w:rPr>
          <w:rFonts w:ascii="Arial" w:cs="Arial" w:eastAsia="Arial" w:hAnsi="Arial"/>
          <w:color w:val="1A1A1A"/>
          <w:sz w:val="20"/>
          <w:szCs w:val="20"/>
        </w:rPr>
        <w:t xml:space="preserve">PCI DSS v4.0 — Payment Card Industry Data Security Standard. Published March 2022. PCI Security Standards Council.</w:t>
      </w:r>
    </w:p>
    <w:p>
      <w:pPr>
        <w:pStyle w:val="ListParagraph"/>
        <w:numPr>
          <w:ilvl w:val="0"/>
          <w:numId w:val="2"/>
        </w:numPr>
        <w:spacing w:before="40" w:after="40"/>
      </w:pPr>
      <w:r>
        <w:rPr>
          <w:rFonts w:ascii="Arial" w:cs="Arial" w:eastAsia="Arial" w:hAnsi="Arial"/>
          <w:color w:val="1A1A1A"/>
          <w:sz w:val="20"/>
          <w:szCs w:val="20"/>
        </w:rPr>
        <w:t xml:space="preserve">PCI DSS v4.0 to NIST CSF mapping available via the PCI SSC Information Supplement library.</w:t>
      </w:r>
    </w:p>
    <w:p>
      <w:pPr>
        <w:spacing w:before="60" w:after="60"/>
      </w:pPr>
      <w:r>
        <w:t xml:space="preserve"/>
      </w:r>
    </w:p>
    <w:p>
      <w:pPr>
        <w:spacing w:before="80" w:after="80"/>
      </w:pPr>
      <w:r>
        <w:rPr>
          <w:rFonts w:ascii="Arial" w:cs="Arial" w:eastAsia="Arial" w:hAnsi="Arial"/>
          <w:b/>
          <w:bCs/>
          <w:color w:val="1A1A1A"/>
          <w:sz w:val="20"/>
          <w:szCs w:val="20"/>
        </w:rPr>
        <w:t xml:space="preserve">SOC 2</w:t>
      </w:r>
    </w:p>
    <w:p>
      <w:pPr>
        <w:pStyle w:val="ListParagraph"/>
        <w:numPr>
          <w:ilvl w:val="0"/>
          <w:numId w:val="2"/>
        </w:numPr>
        <w:spacing w:before="40" w:after="40"/>
      </w:pPr>
      <w:r>
        <w:rPr>
          <w:rFonts w:ascii="Arial" w:cs="Arial" w:eastAsia="Arial" w:hAnsi="Arial"/>
          <w:color w:val="1A1A1A"/>
          <w:sz w:val="20"/>
          <w:szCs w:val="20"/>
        </w:rPr>
        <w:t xml:space="preserve">AICPA Trust Services Criteria (2017 with 2022 points of focus updates). American Institute of CPAs.</w:t>
      </w:r>
    </w:p>
    <w:p>
      <w:pPr>
        <w:pStyle w:val="ListParagraph"/>
        <w:numPr>
          <w:ilvl w:val="0"/>
          <w:numId w:val="2"/>
        </w:numPr>
        <w:spacing w:before="40" w:after="40"/>
      </w:pPr>
      <w:r>
        <w:rPr>
          <w:rFonts w:ascii="Arial" w:cs="Arial" w:eastAsia="Arial" w:hAnsi="Arial"/>
          <w:color w:val="1A1A1A"/>
          <w:sz w:val="20"/>
          <w:szCs w:val="20"/>
        </w:rPr>
        <w:t xml:space="preserve">CC series (Common Criteria) and A series (Availability) referenced throughout.</w:t>
      </w:r>
    </w:p>
    <w:p>
      <w:pPr>
        <w:spacing w:before="60" w:after="60"/>
      </w:pPr>
      <w:r>
        <w:t xml:space="preserve"/>
      </w:r>
    </w:p>
    <w:p>
      <w:pPr>
        <w:spacing w:before="80" w:after="80"/>
      </w:pPr>
      <w:r>
        <w:rPr>
          <w:rFonts w:ascii="Arial" w:cs="Arial" w:eastAsia="Arial" w:hAnsi="Arial"/>
          <w:b/>
          <w:bCs/>
          <w:color w:val="1A1A1A"/>
          <w:sz w:val="20"/>
          <w:szCs w:val="20"/>
        </w:rPr>
        <w:t xml:space="preserve">ISO 42001:2023</w:t>
      </w:r>
    </w:p>
    <w:p>
      <w:pPr>
        <w:pStyle w:val="ListParagraph"/>
        <w:numPr>
          <w:ilvl w:val="0"/>
          <w:numId w:val="2"/>
        </w:numPr>
        <w:spacing w:before="40" w:after="40"/>
      </w:pPr>
      <w:r>
        <w:rPr>
          <w:rFonts w:ascii="Arial" w:cs="Arial" w:eastAsia="Arial" w:hAnsi="Arial"/>
          <w:color w:val="1A1A1A"/>
          <w:sz w:val="20"/>
          <w:szCs w:val="20"/>
        </w:rPr>
        <w:t xml:space="preserve">ISO/IEC 42001:2023 — Artificial intelligence management system. Published December 2023.</w:t>
      </w:r>
    </w:p>
    <w:p>
      <w:pPr>
        <w:pStyle w:val="ListParagraph"/>
        <w:numPr>
          <w:ilvl w:val="0"/>
          <w:numId w:val="2"/>
        </w:numPr>
        <w:spacing w:before="40" w:after="40"/>
      </w:pPr>
      <w:r>
        <w:rPr>
          <w:rFonts w:ascii="Arial" w:cs="Arial" w:eastAsia="Arial" w:hAnsi="Arial"/>
          <w:color w:val="1A1A1A"/>
          <w:sz w:val="20"/>
          <w:szCs w:val="20"/>
        </w:rPr>
        <w:t xml:space="preserve">Mapped to GV, PR, and ID functions where AI governance and access controls overlap with Entra ID and Defender signals.</w:t>
      </w:r>
    </w:p>
    <w:p>
      <w:pPr>
        <w:spacing w:before="60" w:after="60"/>
      </w:pPr>
      <w:r>
        <w:t xml:space="preserve"/>
      </w:r>
    </w:p>
    <w:p>
      <w:pPr>
        <w:spacing w:before="80" w:after="80"/>
      </w:pPr>
      <w:r>
        <w:rPr>
          <w:rFonts w:ascii="Arial" w:cs="Arial" w:eastAsia="Arial" w:hAnsi="Arial"/>
          <w:b/>
          <w:bCs/>
          <w:color w:val="1A1A1A"/>
          <w:sz w:val="20"/>
          <w:szCs w:val="20"/>
        </w:rPr>
        <w:t xml:space="preserve">Microsoft Azure</w:t>
      </w:r>
    </w:p>
    <w:p>
      <w:pPr>
        <w:pStyle w:val="ListParagraph"/>
        <w:numPr>
          <w:ilvl w:val="0"/>
          <w:numId w:val="2"/>
        </w:numPr>
        <w:spacing w:before="40" w:after="40"/>
      </w:pPr>
      <w:r>
        <w:rPr>
          <w:rFonts w:ascii="Arial" w:cs="Arial" w:eastAsia="Arial" w:hAnsi="Arial"/>
          <w:color w:val="1A1A1A"/>
          <w:sz w:val="20"/>
          <w:szCs w:val="20"/>
        </w:rPr>
        <w:t xml:space="preserve">Azure compliance documentation: https://learn.microsoft.com/en-us/azure/compliance/</w:t>
      </w:r>
    </w:p>
    <w:p>
      <w:pPr>
        <w:pStyle w:val="ListParagraph"/>
        <w:numPr>
          <w:ilvl w:val="0"/>
          <w:numId w:val="2"/>
        </w:numPr>
        <w:spacing w:before="40" w:after="40"/>
      </w:pPr>
      <w:r>
        <w:rPr>
          <w:rFonts w:ascii="Arial" w:cs="Arial" w:eastAsia="Arial" w:hAnsi="Arial"/>
          <w:color w:val="1A1A1A"/>
          <w:sz w:val="20"/>
          <w:szCs w:val="20"/>
        </w:rPr>
        <w:t xml:space="preserve">Microsoft Defender for Cloud documentation: https://learn.microsoft.com/en-us/azure/defender-for-cloud/</w:t>
      </w:r>
    </w:p>
    <w:p>
      <w:pPr>
        <w:pStyle w:val="ListParagraph"/>
        <w:numPr>
          <w:ilvl w:val="0"/>
          <w:numId w:val="2"/>
        </w:numPr>
        <w:spacing w:before="40" w:after="40"/>
      </w:pPr>
      <w:r>
        <w:rPr>
          <w:rFonts w:ascii="Arial" w:cs="Arial" w:eastAsia="Arial" w:hAnsi="Arial"/>
          <w:color w:val="1A1A1A"/>
          <w:sz w:val="20"/>
          <w:szCs w:val="20"/>
        </w:rPr>
        <w:t xml:space="preserve">Microsoft Entra ID Conditional Access: https://learn.microsoft.com/en-us/entra/identity/conditional-access/</w:t>
      </w:r>
    </w:p>
    <w:p>
      <w:pPr>
        <w:pStyle w:val="ListParagraph"/>
        <w:numPr>
          <w:ilvl w:val="0"/>
          <w:numId w:val="2"/>
        </w:numPr>
        <w:spacing w:before="40" w:after="40"/>
      </w:pPr>
      <w:r>
        <w:rPr>
          <w:rFonts w:ascii="Arial" w:cs="Arial" w:eastAsia="Arial" w:hAnsi="Arial"/>
          <w:color w:val="1A1A1A"/>
          <w:sz w:val="20"/>
          <w:szCs w:val="20"/>
        </w:rPr>
        <w:t xml:space="preserve">Azure Policy documentation: https://learn.microsoft.com/en-us/azure/governance/policy/</w:t>
      </w:r>
    </w:p>
    <w:p>
      <w:pPr>
        <w:pStyle w:val="ListParagraph"/>
        <w:numPr>
          <w:ilvl w:val="0"/>
          <w:numId w:val="2"/>
        </w:numPr>
        <w:spacing w:before="40" w:after="40"/>
      </w:pPr>
      <w:r>
        <w:rPr>
          <w:rFonts w:ascii="Arial" w:cs="Arial" w:eastAsia="Arial" w:hAnsi="Arial"/>
          <w:color w:val="1A1A1A"/>
          <w:sz w:val="20"/>
          <w:szCs w:val="20"/>
        </w:rPr>
        <w:t xml:space="preserve">Azure Monitor Activity Logs: https://learn.microsoft.com/en-us/azure/azure-monitor/essentials/activity-log</w:t>
      </w:r>
    </w:p>
    <w:p>
      <w:pPr>
        <w:pStyle w:val="ListParagraph"/>
        <w:numPr>
          <w:ilvl w:val="0"/>
          <w:numId w:val="2"/>
        </w:numPr>
        <w:spacing w:before="40" w:after="40"/>
      </w:pPr>
      <w:r>
        <w:rPr>
          <w:rFonts w:ascii="Arial" w:cs="Arial" w:eastAsia="Arial" w:hAnsi="Arial"/>
          <w:color w:val="1A1A1A"/>
          <w:sz w:val="20"/>
          <w:szCs w:val="20"/>
        </w:rPr>
        <w:t xml:space="preserve">Microsoft Trust Center (compliance certificates and SOC reports): https://www.microsoft.com/en-us/trust-center</w:t>
      </w:r>
    </w:p>
    <w:p>
      <w:pPr>
        <w:pStyle w:val="ListParagraph"/>
        <w:numPr>
          <w:ilvl w:val="0"/>
          <w:numId w:val="2"/>
        </w:numPr>
        <w:spacing w:before="40" w:after="40"/>
      </w:pPr>
      <w:r>
        <w:rPr>
          <w:rFonts w:ascii="Arial" w:cs="Arial" w:eastAsia="Arial" w:hAnsi="Arial"/>
          <w:color w:val="1A1A1A"/>
          <w:sz w:val="20"/>
          <w:szCs w:val="20"/>
        </w:rPr>
        <w:t xml:space="preserve">Microsoft Service Trust Portal (downloadable audit reports): https://servicetrust.microsoft.com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r>
              <w:rPr>
                <w:rFonts w:ascii="Arial" w:cs="Arial" w:eastAsia="Arial" w:hAnsi="Arial"/>
                <w:i/>
                <w:iCs/>
                <w:color w:val="1A1A1A"/>
                <w:sz w:val="19"/>
                <w:szCs w:val="19"/>
              </w:rPr>
              <w:t xml:space="preserve">Mapping confidence: Framework crosswalks are inherently interpretive. The mappings in this document follow NIST published informative references wherever available, and reasoned professional judgment where NIST has not published a direct mapping. Different auditors may draw slightly different lines at the subcategory level.</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1"/>
      </w:pBdr>
      <w:tabs>
        <w:tab w:val="right" w:pos="9026"/>
      </w:tabs>
    </w:pPr>
    <w:r>
      <w:rPr>
        <w:rFonts w:ascii="Arial" w:cs="Arial" w:eastAsia="Arial" w:hAnsi="Arial"/>
        <w:color w:val="999999"/>
        <w:sz w:val="16"/>
        <w:szCs w:val="16"/>
      </w:rPr>
      <w:t xml:space="preserve">Generated March 31, 2026  |  NIST CSF 2.0 (Feb 2024)  |  Microsoft Azure</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6" w:space="1"/>
      </w:pBdr>
      <w:tabs>
        <w:tab w:val="right" w:pos="9026"/>
      </w:tabs>
    </w:pPr>
    <w:r>
      <w:rPr>
        <w:rFonts w:ascii="Arial" w:cs="Arial" w:eastAsia="Arial" w:hAnsi="Arial"/>
        <w:b/>
        <w:bCs/>
        <w:color w:val="0078D4"/>
        <w:sz w:val="16"/>
        <w:szCs w:val="16"/>
      </w:rPr>
      <w:t xml:space="preserve">NIST CSF 2.0 Crosswalk — Microsoft Azure</w:t>
    </w:r>
    <w:r>
      <w:rPr>
        <w:rFonts w:ascii="Arial" w:cs="Arial" w:eastAsia="Arial" w:hAnsi="Arial"/>
        <w:color w:val="999999"/>
        <w:sz w:val="16"/>
        <w:szCs w:val="16"/>
      </w:rPr>
      <w:t xml:space="preserve">	Azure Compliance as Code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2026-03-31T16:26:10.752Z</dcterms:created>
  <dcterms:modified xsi:type="dcterms:W3CDTF">2026-03-31T16:26:10.753Z</dcterms:modified>
</cp:coreProperties>
</file>

<file path=docProps/custom.xml><?xml version="1.0" encoding="utf-8"?>
<Properties xmlns="http://schemas.openxmlformats.org/officeDocument/2006/custom-properties" xmlns:vt="http://schemas.openxmlformats.org/officeDocument/2006/docPropsVTypes"/>
</file>