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1F4E79"/>
          <w:sz w:val="56"/>
          <w:szCs w:val="56"/>
        </w:rPr>
        <w:t xml:space="preserve">NIST Cybersecurity Framework 2.0</w:t>
      </w:r>
    </w:p>
    <w:p>
      <w:pPr>
        <w:spacing w:before="0" w:after="120"/>
      </w:pPr>
      <w:r>
        <w:rPr>
          <w:rFonts w:ascii="Arial" w:cs="Arial" w:eastAsia="Arial" w:hAnsi="Arial"/>
          <w:color w:val="555555"/>
          <w:sz w:val="28"/>
          <w:szCs w:val="28"/>
        </w:rPr>
        <w:t xml:space="preserve">Crosswalk to ISO 27001 | PCI-DSS v4 | SOC 2 Type II | ISO 42001</w:t>
      </w:r>
    </w:p>
    <w:p>
      <w:pPr>
        <w:spacing w:before="0" w:after="80"/>
      </w:pPr>
      <w:r>
        <w:rPr>
          <w:rFonts w:ascii="Arial" w:cs="Arial" w:eastAsia="Arial" w:hAnsi="Arial"/>
          <w:i/>
          <w:iCs/>
          <w:color w:val="1A73E8"/>
          <w:sz w:val="22"/>
          <w:szCs w:val="22"/>
        </w:rPr>
        <w:t xml:space="preserve">Google Cloud Platform &amp; Google Workspace — Auditor &amp; Training Reference</w:t>
      </w:r>
    </w:p>
    <w:p>
      <w:pPr>
        <w:spacing w:before="80" w:after="80"/>
      </w:pPr>
      <w:r>
        <w:rPr>
          <w:rFonts w:ascii="Arial" w:cs="Arial" w:eastAsia="Arial" w:hAnsi="Arial"/>
          <w:color w:val="999999"/>
          <w:sz w:val="18"/>
          <w:szCs w:val="18"/>
        </w:rPr>
        <w:t xml:space="preserve">Document date: March 25, 2026  |  Framework version: NIST CSF 2.0 (February 2024)</w:t>
      </w:r>
    </w:p>
    <w:p>
      <w:r>
        <w:br w:type="page"/>
      </w:r>
    </w:p>
    <w:p>
      <w:pPr>
        <w:pStyle w:val="Heading1"/>
        <w:spacing w:before="320" w:after="160"/>
      </w:pPr>
      <w:r>
        <w:rPr>
          <w:rFonts w:ascii="Arial" w:cs="Arial" w:eastAsia="Arial" w:hAnsi="Arial"/>
          <w:b/>
          <w:bCs/>
          <w:color w:val="1F4E79"/>
          <w:sz w:val="32"/>
          <w:szCs w:val="32"/>
        </w:rPr>
        <w:t xml:space="preserve">1. Purpose and Scope</w:t>
      </w:r>
    </w:p>
    <w:p>
      <w:pPr>
        <w:spacing w:before="80" w:after="80"/>
      </w:pPr>
      <w:r>
        <w:rPr>
          <w:rFonts w:ascii="Arial" w:cs="Arial" w:eastAsia="Arial" w:hAnsi="Arial"/>
          <w:color w:val="1A1A1A"/>
          <w:sz w:val="20"/>
          <w:szCs w:val="20"/>
        </w:rPr>
        <w:t xml:space="preserve">This document maps the four compliance frameworks monitored by the Google GRC Compliance as Code system — ISO/IEC 27001:2022, PCI-DSS v4.0, SOC 2 Type II, and ISO 42001:2023 — to the NIST Cybersecurity Framework version 2.0 (NIST CSF 2.0), published in February 2024.</w:t>
      </w:r>
    </w:p>
    <w:p>
      <w:pPr>
        <w:spacing w:before="60" w:after="60"/>
      </w:pPr>
      <w:r>
        <w:t xml:space="preserve"/>
      </w:r>
    </w:p>
    <w:p>
      <w:pPr>
        <w:spacing w:before="80" w:after="80"/>
      </w:pPr>
      <w:r>
        <w:rPr>
          <w:rFonts w:ascii="Arial" w:cs="Arial" w:eastAsia="Arial" w:hAnsi="Arial"/>
          <w:color w:val="1A1A1A"/>
          <w:sz w:val="20"/>
          <w:szCs w:val="20"/>
        </w:rPr>
        <w:t xml:space="preserve">Evidence is collected automatically every week from five GCP and Workspace services: GCP IAM posture, Cloud Audit Logging, Cloud KMS and SSL policies, Security Command Center (SCC), and Google Workspace access controls. This crosswalk shows an auditor or team member exactly which NIST CSF 2.0 subcategory each automated check satisfies.</w:t>
      </w:r>
    </w:p>
    <w:p>
      <w:pPr>
        <w:spacing w:before="60" w:after="60"/>
      </w:pPr>
      <w:r>
        <w:t xml:space="preserve"/>
      </w:r>
    </w:p>
    <w:p>
      <w:pPr>
        <w:spacing w:before="80" w:after="80"/>
      </w:pPr>
      <w:r>
        <w:rPr>
          <w:rFonts w:ascii="Arial" w:cs="Arial" w:eastAsia="Arial" w:hAnsi="Arial"/>
          <w:color w:val="1A1A1A"/>
          <w:sz w:val="20"/>
          <w:szCs w:val="20"/>
        </w:rPr>
        <w:t xml:space="preserve">This document covers two audiences:</w:t>
      </w:r>
    </w:p>
    <w:p>
      <w:pPr>
        <w:pStyle w:val="ListParagraph"/>
        <w:numPr>
          <w:ilvl w:val="0"/>
          <w:numId w:val="2"/>
        </w:numPr>
        <w:spacing w:before="40" w:after="40"/>
      </w:pPr>
      <w:r>
        <w:rPr>
          <w:rFonts w:ascii="Arial" w:cs="Arial" w:eastAsia="Arial" w:hAnsi="Arial"/>
          <w:color w:val="1A1A1A"/>
          <w:sz w:val="20"/>
          <w:szCs w:val="20"/>
        </w:rPr>
        <w:t xml:space="preserve">Auditors — to demonstrate that existing evidence satisfies NIST CSF 2.0 subcategories without requiring CSF to be a named framework in the system.</w:t>
      </w:r>
    </w:p>
    <w:p>
      <w:pPr>
        <w:pStyle w:val="ListParagraph"/>
        <w:numPr>
          <w:ilvl w:val="0"/>
          <w:numId w:val="2"/>
        </w:numPr>
        <w:spacing w:before="40" w:after="40"/>
      </w:pPr>
      <w:r>
        <w:rPr>
          <w:rFonts w:ascii="Arial" w:cs="Arial" w:eastAsia="Arial" w:hAnsi="Arial"/>
          <w:color w:val="1A1A1A"/>
          <w:sz w:val="20"/>
          <w:szCs w:val="20"/>
        </w:rPr>
        <w:t xml:space="preserve">Compliance team members — to understand how each GCP/Workspace collector maps to the six CSF functions, and where genuine gaps exist that require policy documents or manual runbooks.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i/>
                <w:iCs/>
                <w:color w:val="1A1A1A"/>
                <w:sz w:val="19"/>
                <w:szCs w:val="19"/>
              </w:rPr>
              <w:t xml:space="preserve">Important: This crosswalk covers subcategories addressable by automated GCP and Workspace evidence collection. Controls requiring policy documentation, physical security descriptions, vendor registers, or DR runbooks are flagged N/A in the AWS Signal column and listed as gap items in Section 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r>
              <w:rPr>
                <w:rFonts w:ascii="Arial" w:cs="Arial" w:eastAsia="Arial" w:hAnsi="Arial"/>
                <w:i/>
                <w:iCs/>
                <w:color w:val="1A1A1A"/>
                <w:sz w:val="19"/>
                <w:szCs w:val="19"/>
              </w:rPr>
              <w:t xml:space="preserve">GCP vs AWS differences: The Google version adds two evidence sources with no AWS equivalent — Google Workspace (MFA, login audit, Drive sharing, admin grant monitoring) and Cloud KMS rotation checks. The Workspace signals extend NIST CSF coverage into the DE.CM-03 (user activity) and PR.DS-10 (data exfiltration) subcategories that the AWS version does not address.</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2. What Is NIST CSF 2.0?</w:t>
      </w:r>
    </w:p>
    <w:p>
      <w:pPr>
        <w:spacing w:before="80" w:after="80"/>
      </w:pPr>
      <w:r>
        <w:rPr>
          <w:rFonts w:ascii="Arial" w:cs="Arial" w:eastAsia="Arial" w:hAnsi="Arial"/>
          <w:color w:val="1A1A1A"/>
          <w:sz w:val="20"/>
          <w:szCs w:val="20"/>
        </w:rPr>
        <w:t xml:space="preserve">The NIST Cybersecurity Framework is a voluntary framework developed by the US National Institute of Standards and Technology. Version 2.0 was released in February 2024 and introduced a sixth function — Govern — to address organisational risk management and leadership accountability at the top level.</w:t>
      </w:r>
    </w:p>
    <w:p>
      <w:pPr>
        <w:spacing w:before="60" w:after="60"/>
      </w:pPr>
      <w:r>
        <w:t xml:space="preserve"/>
      </w:r>
    </w:p>
    <w:p>
      <w:pPr>
        <w:pStyle w:val="Heading2"/>
        <w:spacing w:before="240" w:after="120"/>
      </w:pPr>
      <w:r>
        <w:rPr>
          <w:rFonts w:ascii="Arial" w:cs="Arial" w:eastAsia="Arial" w:hAnsi="Arial"/>
          <w:b/>
          <w:bCs/>
          <w:color w:val="1F4E79"/>
          <w:sz w:val="26"/>
          <w:szCs w:val="26"/>
        </w:rPr>
        <w:t xml:space="preserve">2.1 The Six Functions</w:t>
      </w:r>
    </w:p>
    <w:p>
      <w:pPr>
        <w:spacing w:before="80" w:after="80"/>
      </w:pPr>
      <w:r>
        <w:rPr>
          <w:rFonts w:ascii="Arial" w:cs="Arial" w:eastAsia="Arial" w:hAnsi="Arial"/>
          <w:color w:val="1A1A1A"/>
          <w:sz w:val="20"/>
          <w:szCs w:val="20"/>
        </w:rPr>
        <w:t xml:space="preserve">CSF 2.0 organises all cybersecurity outcomes into six high-level functions. Think of them as the 'what' of cybersecurity, not the 'how'. Each function contains categories and subcategories that get progressively more specific. This crosswalk works at the subcategory level because that is where auditors request evidence.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500"/>
        <w:gridCol w:w="1100"/>
        <w:gridCol w:w="2160"/>
      </w:tblGrid>
      <w:t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w:t>
            </w:r>
          </w:p>
        </w:tc>
        <w:tc>
          <w:tcPr>
            <w:tcW w:type="dxa" w:w="4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Covers</w:t>
            </w:r>
          </w:p>
        </w:tc>
        <w:tc>
          <w:tcPr>
            <w:tcW w:type="dxa" w:w="11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New in 2.0?</w:t>
            </w:r>
          </w:p>
        </w:tc>
        <w:tc>
          <w:tcPr>
            <w:tcW w:type="dxa" w:w="2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Question</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GOVERN</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GV</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Organisational risk strategy, roles, policies, supply chain management</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sz w:val="18"/>
                <w:szCs w:val="18"/>
              </w:rPr>
              <w:t xml:space="preserve">YES — brand new</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iCs/>
                <w:sz w:val="17"/>
                <w:szCs w:val="17"/>
              </w:rPr>
              <w:t xml:space="preserve">How do we manage cybersecurity as an organisation?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IDENTIFY</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ID</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Asset inventory, risk assessment, vulnerability identification, improvement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 (expanded)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17"/>
                <w:szCs w:val="17"/>
              </w:rPr>
              <w:t xml:space="preserve">What do we have and what are the risks?</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PROTECT</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PR</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Identity and access, data protection, platform security, resilience</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 (expanded)</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iCs/>
                <w:sz w:val="17"/>
                <w:szCs w:val="17"/>
              </w:rPr>
              <w:t xml:space="preserve">How do we stop threats from succeeding?</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DETECT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DE</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Continuous monitoring, anomaly detection, event analysis, alerting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 (expanded)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17"/>
                <w:szCs w:val="17"/>
              </w:rPr>
              <w:t xml:space="preserve">How do we know when something goes wrong?</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RESPOND</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RS</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Incident response planning, analysis, containment, communications</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iCs/>
                <w:sz w:val="17"/>
                <w:szCs w:val="17"/>
              </w:rPr>
              <w:t xml:space="preserve">What do we do when something goes wrong?</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RECOVER</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RC</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Recovery planning, restoration, post-incident communications and lessons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17"/>
                <w:szCs w:val="17"/>
              </w:rPr>
              <w:t xml:space="preserve">How do we get back to normal?</w:t>
            </w:r>
          </w:p>
        </w:tc>
      </w:tr>
    </w:tbl>
    <w:p>
      <w:pPr>
        <w:spacing w:before="60" w:after="60"/>
      </w:pPr>
      <w:r>
        <w:t xml:space="preserve"/>
      </w:r>
    </w:p>
    <w:p>
      <w:pPr>
        <w:spacing w:before="80" w:after="80"/>
      </w:pPr>
      <w:r>
        <w:rPr>
          <w:rFonts w:ascii="Arial" w:cs="Arial" w:eastAsia="Arial" w:hAnsi="Arial"/>
          <w:color w:val="1A1A1A"/>
          <w:sz w:val="20"/>
          <w:szCs w:val="20"/>
        </w:rPr>
        <w:t xml:space="preserve">Each function breaks down into Categories (broad areas like 'Access Control') and Subcategories (specific technical or process requirements like 'Identities and credentials issued, managed, verified, revoked'). Subcategories are where you map evidence — and where auditors ask 'what do you have for this?'</w:t>
      </w:r>
    </w:p>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3. Coverage Summary</w:t>
      </w:r>
    </w:p>
    <w:p>
      <w:pPr>
        <w:spacing w:before="80" w:after="80"/>
      </w:pPr>
      <w:r>
        <w:rPr>
          <w:rFonts w:ascii="Arial" w:cs="Arial" w:eastAsia="Arial" w:hAnsi="Arial"/>
          <w:color w:val="1A1A1A"/>
          <w:sz w:val="20"/>
          <w:szCs w:val="20"/>
        </w:rPr>
        <w:t xml:space="preserve">The table below shows how many NIST CSF 2.0 subcategories within each function are addressed by existing GCP and Workspace evidence signals, and where gaps remain. A subcategory is counted as covered when at least one existing framework control maps to it AND an automated collector actively gathers relevant data.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000"/>
        <w:gridCol w:w="1560"/>
        <w:gridCol w:w="1560"/>
        <w:gridCol w:w="1640"/>
      </w:tblGrid>
      <w:t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Covers</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Subcategories Mapped</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Evidence Covered</w:t>
            </w:r>
          </w:p>
        </w:tc>
        <w:tc>
          <w:tcPr>
            <w:tcW w:type="dxa" w:w="16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Gaps / Manual</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20"/>
              <w:bottom w:type="dxa" w:w="80"/>
              <w:right w:type="dxa" w:w="120"/>
            </w:tcMar>
          </w:tcPr>
          <w:p>
            <w:r>
              <w:rPr>
                <w:rFonts w:ascii="Arial" w:cs="Arial" w:eastAsia="Arial" w:hAnsi="Arial"/>
                <w:b/>
                <w:bCs/>
                <w:color w:val="FFFFFF"/>
                <w:sz w:val="17"/>
                <w:szCs w:val="17"/>
              </w:rPr>
              <w:t xml:space="preserve">GOVERN</w:t>
            </w:r>
          </w:p>
        </w:tc>
        <w:tc>
          <w:tcPr>
            <w:tcW w:type="dxa" w:w="700"/>
            <w:tcBorders>
              <w:top w:val="single" w:color="CCCCCC" w:sz="4"/>
              <w:left w:val="single" w:color="CCCCCC" w:sz="4"/>
              <w:bottom w:val="single" w:color="CCCCCC" w:sz="4"/>
              <w:right w:val="single" w:color="CCCCCC" w:sz="4"/>
            </w:tcBorders>
            <w:shd w:fill="5B2C6F"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GV</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Policies, roles, risk management, supply chain governance</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17"/>
                <w:szCs w:val="17"/>
              </w:rPr>
              <w:t xml:space="preserve">4</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2</w:t>
            </w:r>
          </w:p>
        </w:tc>
        <w:tc>
          <w:tcPr>
            <w:tcW w:type="dxa" w:w="164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pPr>
              <w:jc w:val="center"/>
            </w:pPr>
            <w:r>
              <w:rPr>
                <w:rFonts w:ascii="Arial" w:cs="Arial" w:eastAsia="Arial" w:hAnsi="Arial"/>
                <w:b/>
                <w:bCs/>
                <w:color w:val="7B241C"/>
                <w:sz w:val="17"/>
                <w:szCs w:val="17"/>
              </w:rPr>
              <w:t xml:space="preserve">2</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20"/>
              <w:bottom w:type="dxa" w:w="80"/>
              <w:right w:type="dxa" w:w="120"/>
            </w:tcMar>
          </w:tcPr>
          <w:p>
            <w:r>
              <w:rPr>
                <w:rFonts w:ascii="Arial" w:cs="Arial" w:eastAsia="Arial" w:hAnsi="Arial"/>
                <w:b/>
                <w:bCs/>
                <w:color w:val="FFFFFF"/>
                <w:sz w:val="17"/>
                <w:szCs w:val="17"/>
              </w:rPr>
              <w:t xml:space="preserve">IDENTIFY</w:t>
            </w:r>
          </w:p>
        </w:tc>
        <w:tc>
          <w:tcPr>
            <w:tcW w:type="dxa" w:w="700"/>
            <w:tcBorders>
              <w:top w:val="single" w:color="CCCCCC" w:sz="4"/>
              <w:left w:val="single" w:color="CCCCCC" w:sz="4"/>
              <w:bottom w:val="single" w:color="CCCCCC" w:sz="4"/>
              <w:right w:val="single" w:color="CCCCCC" w:sz="4"/>
            </w:tcBorders>
            <w:shd w:fill="1E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ID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Asset inventory (GCP + Workspace), risk, vulnerability mgmt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17"/>
                <w:szCs w:val="17"/>
              </w:rPr>
              <w:t xml:space="preserve">4</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4</w:t>
            </w:r>
          </w:p>
        </w:tc>
        <w:tc>
          <w:tcPr>
            <w:tcW w:type="dxa" w:w="164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val="false"/>
                <w:bCs w:val="false"/>
                <w:color w:val="1E6B3C"/>
                <w:sz w:val="17"/>
                <w:szCs w:val="17"/>
              </w:rPr>
              <w:t xml:space="preserve">0</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20"/>
              <w:bottom w:type="dxa" w:w="80"/>
              <w:right w:type="dxa" w:w="120"/>
            </w:tcMar>
          </w:tcPr>
          <w:p>
            <w:r>
              <w:rPr>
                <w:rFonts w:ascii="Arial" w:cs="Arial" w:eastAsia="Arial" w:hAnsi="Arial"/>
                <w:b/>
                <w:bCs/>
                <w:color w:val="FFFFFF"/>
                <w:sz w:val="17"/>
                <w:szCs w:val="17"/>
              </w:rPr>
              <w:t xml:space="preserve">PROTECT</w:t>
            </w:r>
          </w:p>
        </w:tc>
        <w:tc>
          <w:tcPr>
            <w:tcW w:type="dxa" w:w="700"/>
            <w:tcBorders>
              <w:top w:val="single" w:color="CCCCCC" w:sz="4"/>
              <w:left w:val="single" w:color="CCCCCC" w:sz="4"/>
              <w:bottom w:val="single" w:color="CCCCCC" w:sz="4"/>
              <w:right w:val="single" w:color="CCCCCC" w:sz="4"/>
            </w:tcBorders>
            <w:shd w:fill="7D4E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PR</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IAM, MFA, KMS encryption, TLS, network boundaries, exfil</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17"/>
                <w:szCs w:val="17"/>
              </w:rPr>
              <w:t xml:space="preserve">8</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7</w:t>
            </w:r>
          </w:p>
        </w:tc>
        <w:tc>
          <w:tcPr>
            <w:tcW w:type="dxa" w:w="164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pPr>
              <w:jc w:val="center"/>
            </w:pPr>
            <w:r>
              <w:rPr>
                <w:rFonts w:ascii="Arial" w:cs="Arial" w:eastAsia="Arial" w:hAnsi="Arial"/>
                <w:b/>
                <w:bCs/>
                <w:color w:val="7B241C"/>
                <w:sz w:val="17"/>
                <w:szCs w:val="17"/>
              </w:rPr>
              <w:t xml:space="preserve">1</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r>
              <w:rPr>
                <w:rFonts w:ascii="Arial" w:cs="Arial" w:eastAsia="Arial" w:hAnsi="Arial"/>
                <w:b/>
                <w:bCs/>
                <w:color w:val="FFFFFF"/>
                <w:sz w:val="17"/>
                <w:szCs w:val="17"/>
              </w:rPr>
              <w:t xml:space="preserve">DETECT</w:t>
            </w:r>
          </w:p>
        </w:tc>
        <w:tc>
          <w:tcPr>
            <w:tcW w:type="dxa" w:w="70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Audit logging, SCC monitoring, login audit, log integrity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17"/>
                <w:szCs w:val="17"/>
              </w:rPr>
              <w:t xml:space="preserve">7</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7</w:t>
            </w:r>
          </w:p>
        </w:tc>
        <w:tc>
          <w:tcPr>
            <w:tcW w:type="dxa" w:w="164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val="false"/>
                <w:bCs w:val="false"/>
                <w:color w:val="1E6B3C"/>
                <w:sz w:val="17"/>
                <w:szCs w:val="17"/>
              </w:rPr>
              <w:t xml:space="preserve">0</w:t>
            </w:r>
          </w:p>
        </w:tc>
      </w:tr>
      <w:tr>
        <w:tc>
          <w:tcPr>
            <w:tcW w:type="dxa" w:w="900"/>
            <w:tcBorders>
              <w:top w:val="single" w:color="CCCCCC" w:sz="4"/>
              <w:left w:val="single" w:color="CCCCCC" w:sz="4"/>
              <w:bottom w:val="single" w:color="CCCCCC" w:sz="4"/>
              <w:right w:val="single" w:color="CCCCCC" w:sz="4"/>
            </w:tcBorders>
            <w:shd w:fill="7B241C" w:val="clear"/>
            <w:tcMar>
              <w:top w:type="dxa" w:w="80"/>
              <w:left w:type="dxa" w:w="120"/>
              <w:bottom w:type="dxa" w:w="80"/>
              <w:right w:type="dxa" w:w="120"/>
            </w:tcMar>
          </w:tcPr>
          <w:p>
            <w:r>
              <w:rPr>
                <w:rFonts w:ascii="Arial" w:cs="Arial" w:eastAsia="Arial" w:hAnsi="Arial"/>
                <w:b/>
                <w:bCs/>
                <w:color w:val="FFFFFF"/>
                <w:sz w:val="17"/>
                <w:szCs w:val="17"/>
              </w:rPr>
              <w:t xml:space="preserve">RESPOND</w:t>
            </w:r>
          </w:p>
        </w:tc>
        <w:tc>
          <w:tcPr>
            <w:tcW w:type="dxa" w:w="700"/>
            <w:tcBorders>
              <w:top w:val="single" w:color="CCCCCC" w:sz="4"/>
              <w:left w:val="single" w:color="CCCCCC" w:sz="4"/>
              <w:bottom w:val="single" w:color="CCCCCC" w:sz="4"/>
              <w:right w:val="single" w:color="CCCCCC" w:sz="4"/>
            </w:tcBorders>
            <w:shd w:fill="7B241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Incident analysis, reporting, containment</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17"/>
                <w:szCs w:val="17"/>
              </w:rPr>
              <w:t xml:space="preserve">3</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2</w:t>
            </w:r>
          </w:p>
        </w:tc>
        <w:tc>
          <w:tcPr>
            <w:tcW w:type="dxa" w:w="164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pPr>
              <w:jc w:val="center"/>
            </w:pPr>
            <w:r>
              <w:rPr>
                <w:rFonts w:ascii="Arial" w:cs="Arial" w:eastAsia="Arial" w:hAnsi="Arial"/>
                <w:b/>
                <w:bCs/>
                <w:color w:val="7B241C"/>
                <w:sz w:val="17"/>
                <w:szCs w:val="17"/>
              </w:rPr>
              <w:t xml:space="preserve">1</w:t>
            </w:r>
          </w:p>
        </w:tc>
      </w:tr>
      <w:tr>
        <w:tc>
          <w:tcPr>
            <w:tcW w:type="dxa" w:w="900"/>
            <w:tcBorders>
              <w:top w:val="single" w:color="CCCCCC" w:sz="4"/>
              <w:left w:val="single" w:color="CCCCCC" w:sz="4"/>
              <w:bottom w:val="single" w:color="CCCCCC" w:sz="4"/>
              <w:right w:val="single" w:color="CCCCCC" w:sz="4"/>
            </w:tcBorders>
            <w:shd w:fill="154360" w:val="clear"/>
            <w:tcMar>
              <w:top w:type="dxa" w:w="80"/>
              <w:left w:type="dxa" w:w="120"/>
              <w:bottom w:type="dxa" w:w="80"/>
              <w:right w:type="dxa" w:w="120"/>
            </w:tcMar>
          </w:tcPr>
          <w:p>
            <w:r>
              <w:rPr>
                <w:rFonts w:ascii="Arial" w:cs="Arial" w:eastAsia="Arial" w:hAnsi="Arial"/>
                <w:b/>
                <w:bCs/>
                <w:color w:val="FFFFFF"/>
                <w:sz w:val="17"/>
                <w:szCs w:val="17"/>
              </w:rPr>
              <w:t xml:space="preserve">RECOVER</w:t>
            </w:r>
          </w:p>
        </w:tc>
        <w:tc>
          <w:tcPr>
            <w:tcW w:type="dxa" w:w="700"/>
            <w:tcBorders>
              <w:top w:val="single" w:color="CCCCCC" w:sz="4"/>
              <w:left w:val="single" w:color="CCCCCC" w:sz="4"/>
              <w:bottom w:val="single" w:color="CCCCCC" w:sz="4"/>
              <w:right w:val="single" w:color="CCCCCC" w:sz="4"/>
            </w:tcBorders>
            <w:shd w:fill="15436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RC</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Recovery planning, communications, post-incident review</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17"/>
                <w:szCs w:val="17"/>
              </w:rPr>
              <w:t xml:space="preserve">2</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1</w:t>
            </w:r>
          </w:p>
        </w:tc>
        <w:tc>
          <w:tcPr>
            <w:tcW w:type="dxa" w:w="164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pPr>
              <w:jc w:val="center"/>
            </w:pPr>
            <w:r>
              <w:rPr>
                <w:rFonts w:ascii="Arial" w:cs="Arial" w:eastAsia="Arial" w:hAnsi="Arial"/>
                <w:b/>
                <w:bCs/>
                <w:color w:val="7B241C"/>
                <w:sz w:val="17"/>
                <w:szCs w:val="17"/>
              </w:rPr>
              <w:t xml:space="preserve">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i/>
                <w:iCs/>
                <w:color w:val="1A1A1A"/>
                <w:sz w:val="19"/>
                <w:szCs w:val="19"/>
              </w:rPr>
              <w:t xml:space="preserve">Note on gap counts: Gaps represent subcategories requiring policy documents, DR runbooks, physical controls, or vendor management practices that are outside automated evidence collection. These are expected and do not indicate compliance failures — they are controls that must be evidenced through documentation.</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4. Detailed Crosswalk — Subcategory Mapping</w:t>
      </w:r>
    </w:p>
    <w:p>
      <w:pPr>
        <w:spacing w:before="80" w:after="80"/>
      </w:pPr>
      <w:r>
        <w:rPr>
          <w:rFonts w:ascii="Arial" w:cs="Arial" w:eastAsia="Arial" w:hAnsi="Arial"/>
          <w:color w:val="1A1A1A"/>
          <w:sz w:val="20"/>
          <w:szCs w:val="20"/>
        </w:rPr>
        <w:t xml:space="preserve">Each row maps one NIST CSF 2.0 subcategory to its corresponding controls across ISO 27001, PCI-DSS v4.0, SOC 2 Type II, and ISO 42001. The final two columns connect each subcategory to the specific GCP or Workspace evidence signal that provides automated coverage, plus a plain-language explanation for training.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r>
              <w:rPr>
                <w:rFonts w:ascii="Arial" w:cs="Arial" w:eastAsia="Arial" w:hAnsi="Arial"/>
                <w:i/>
                <w:iCs/>
                <w:color w:val="1A1A1A"/>
                <w:sz w:val="19"/>
                <w:szCs w:val="19"/>
              </w:rPr>
              <w:t xml:space="preserve">How to read this table: If an existing framework control cell contains an ID (e.g. A.5.16), that framework independently requires the same security outcome. Green cells in the Evidence Signal column confirm automated weekly collection. Yellow cells indicate manual controls or documentation gaps.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800"/>
        <w:gridCol w:w="900"/>
        <w:gridCol w:w="700"/>
        <w:gridCol w:w="700"/>
        <w:gridCol w:w="700"/>
        <w:gridCol w:w="1360"/>
        <w:gridCol w:w="1300"/>
      </w:tblGrid>
      <w:t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CSF 2.0 Sub-category</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Outcome Description</w:t>
            </w:r>
          </w:p>
        </w:tc>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27001</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PCI-DSS v4</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SOC 2</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42001</w:t>
            </w:r>
          </w:p>
        </w:tc>
        <w:tc>
          <w:tcPr>
            <w:tcW w:type="dxa" w:w="1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GCP / Workspace Evidence Signal</w:t>
            </w:r>
          </w:p>
        </w:tc>
        <w:tc>
          <w:tcPr>
            <w:tcW w:type="dxa" w:w="1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Training Notes</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GV</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GV.OC-01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Organisational cybersecurity objectives documented and communicated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 A.5.2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4.1, 4.2</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policy document control</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Partially addressed by ISO 42001 governance clauses. Requires an Information Security Policy signed by leadership. Gap for PCI/SOC 2.</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GV</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GV.RM-01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 management objectives established and agreed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6.1.2, 8.2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12.3.1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CC3.1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6.1</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governance control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SOC 2 CC3.1 and ISO 27001 risk treatment process directly map here. The controls.yaml file is a machine-readable risk register that partially satisfies this.</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GV</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GV.RM-06</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 responses tracked, prioritised, and communicated to stakeholders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12.3.2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CC3.2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GitHub Issues (automated gap tracking)</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Every FAIL signal opens a GitHub Issue automatically. This creates a traceable, timestamped risk response record — a direct technical implementation of this subcategory.</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GV</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GV.SC-01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Cybersecurity supply chain risk management policies in place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A.5.19, A.5.20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12.8.1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CC9.2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8.4</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vendor management control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Workload Identity Federation (no long-lived keys) partially addresses third-party risk for GCP. Requires a formal vendor register documenting Google as a critical supplier.</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ID.AM-01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Inventories of hardware and software assets maintained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A.8.1, A.8.9</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2.2.1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gcp_iam_posture: sa_key_creation_disabled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GCP org policies enforce boundaries on what can be created. Service account inventory (collect_iam.py) captures all accounts and keys as an asset register.</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ID.AM-02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Inventories of software and services kept current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A.8.9</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6.3.3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gcp_scc_findings: security_health_analytics_active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Security Health Analytics continuously discovers and inventories GCP service configuration across the project.</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ID.RA-01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Vulnerabilities in assets identified, validated, and documented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A.8.8</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11.3.1, 11.3.2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6.6.2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gcp_scc_findings: scc_enabled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Security Command Center aggregates findings from Security Health Analytics, Web Security Scanner, and Container Threat Detection — equivalent role to AWS Security Hub.</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ID.RA-04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Potential impacts and likelihoods of threats quantified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12.3.2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CC3.2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gcp_scc_findings: no_critical_findings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Critical/High finding counts from SCC (critical_finding_count, high_finding_count signals) quantify current exposure. Zero critical = lowest residual risk state.</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Identities and credentials issued, managed, verified, revoked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A.5.16, A.5.17</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8.2.1, 8.3.1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6.1.2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gcp_iam_posture: no_stale_sa_keys_over_90d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Service account key age check (90-day threshold) is a direct credential lifecycle control. The stale_sa_keys finding list names specific accounts requiring action.</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Physical and logical identities corroborated before access granted (MFA)</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A.5.17, A.8.5</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8.4.2, 8.4.3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6.1.2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workspace_access_control: all_users_have_mfa
workspace_access_control: no_admins_without_mfa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Two separate MFA checks — one for all users, one specifically for admin accounts (higher severity). Both signals must PASS for full subcategory coverage.</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PR.AA-05</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Access permissions managed, enforced on least-privilege principle</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A.5.15, A.5.18</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7.2.1, 8.2.1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CC6.1, CC6.2, CC6.3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6.1.2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gcp_iam_posture: sa_key_creation_disabled
workspace_access_control: no_unreviewed_admin_grants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Two complementary controls: org policy blocks service account key creation (preventing credential sprawl), and Workspace admin grant monitoring detects privilege escalation events.</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Physical access to assets managed, monitored, protected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A.7.1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9.1.1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physical control (Google data centre)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Google shared responsibility model — physical data centre security is Google's obligation. Reference Google's ISO 27001 and SOC 2 certificates as third-party evidence.</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PR.DS-01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Data-at-rest protected using encryption</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A.8.24</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3.4.1, 3.7.1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CC6.7</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8.4</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gcp_encryption: all_kms_keys_have_rotation
gcp_encryption: all_kms_keys_rotate_within_90d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KMS key rotation checks ensure encryption keys are regularly cycled. Two signals: rotation enabled (boolean) and rotation period within 90 days (PCI Req 3.7.1).</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PR.DS-02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Data-in-transit protected using encryption (TLS)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A.8.24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4.2.1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CC6.7</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8.4</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gcp_encryption: all_ssl_policies_tls12_or_higher</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SSL policy check verifies all GCP load balancers enforce TLS 1.2 minimum. Non-compliant policy names appear in ssl_policies_below_tls12 findings list.</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PR.IR-01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Networks and environments protected from unauthorised access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A.8.20</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1.3.1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CC6.6</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gcp_iam_posture: uniform_bucket_access_enforced
gcp_iam_posture: os_login_required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Uniform bucket-level access eliminates legacy ACL-based access paths on GCS. OS Login enforces identity-based SSH access to Compute Engine VMs via IAM — replaces SSH key management.</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PR.PS-01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Configuration management practices established and maintained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A.8.9</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2.2.1, 6.3.3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6.6.1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gcp_scc_findings: security_health_analytics_active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Security Health Analytics continuously checks GCP resource configurations against CIS benchmarks and Google best practices — the GCP equivalent of AWS Config rules.</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PR.DS-10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Data-in-use protected against exfiltration or tampering</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A.5.15</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12.3.2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CC6.6</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workspace_access_control: no_external_drive_sharing</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External Drive sharing monitor detects when files leave the organisation's domain boundary. Unique to the Workspace collector — no equivalent in the AWS version.</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DE.AE-02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Potentially adverse events analysed to characterise the attack</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A.8.15, A.8.16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10.2.1, 10.7.1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9.1.2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gcp_audit_logging: data_write_logging_enabled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DATA_WRITE audit logs capture mutations on Cloud Storage, BigQuery, Cloud SQL, and KMS — the high-value services. Without write logs, attack analysis is blind to data exfiltration.</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DE.AE-06</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Information on adverse events shared with authorised stakeholders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A.6.8</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GitHub Issues (automated FAIL notifications)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Automated GitHub Issues share compliance gaps with the team the moment they are detected. Issue body includes affected resource names, framework control IDs, and remediation steps.</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DE.CM-01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Networks and network services monitored for adverse events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A.8.15</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10.2.1, 10.2.2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9.1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gcp_audit_logging: audit_log_sink_active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Active log sink proves audit logs are being exported — equivalent to CloudTrail multi-region coverage. A sink with no filter exports all log types by default.</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DE.CM-03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Personnel activity and technology usage monitored to detect adverse events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A.8.15, A.8.16</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10.2.1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9.1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workspace_access_control: no_suspicious_login_events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Workspace login audit (7-day lookback) flags login_failure, suspicious_login, and account_disabled_hijacking events — monitoring user activity directly against identity threats.</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DE.CM-06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External service provider activity monitored for adverse events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A.5.22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12.8.4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CC9.2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gcp_audit_logging: log_retention_meets_pci_365d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12-month log retention ensures provider activity can be reviewed retrospectively during incident investigation or audit. PCI-DSS Req 10.5.1 mandates 365-day availability.</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DE.CM-09</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Computing hardware and software monitored for adverse events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A.8.8</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11.3.1, 11.3.2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CC7.1, CC7.2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6.6.2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gcp_scc_findings: scc_enabled
gcp_scc_findings: security_health_analytics_active</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Security Command Center with Security Health Analytics active is the continuous hardware/software monitoring baseline — equivalent to CIS benchmark scanning in the AWS version.</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DE.CM-03 (log integrity)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Log integrity maintained (tamper-evident storage)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A.8.15</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10.3.2, 10.7.1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gcp_audit_logging: log_validation_via_locked_bucket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 locked log bucket prevents deletion or modification of log records — GCP's equivalent of CloudTrail log file validation. Once locked, retention policy cannot be shortened.</w:t>
            </w:r>
          </w:p>
        </w:tc>
      </w:tr>
      <w:tr>
        <w:tc>
          <w:tcPr>
            <w:tcW w:type="dxa" w:w="900"/>
            <w:tcBorders>
              <w:top w:val="single" w:color="CCCCCC" w:sz="4"/>
              <w:left w:val="single" w:color="CCCCCC" w:sz="4"/>
              <w:bottom w:val="single" w:color="CCCCCC" w:sz="4"/>
              <w:right w:val="single" w:color="CCCCCC" w:sz="4"/>
            </w:tcBorders>
            <w:shd w:fill="7B241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RS.AN-03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Analysis performed to establish root cause of cybersecurity events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A.5.26</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gcp_scc_findings: no_critical_findings
gcp_scc_findings: no_high_findings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SCC finding detail (category, resource name, event_time) provides the starting point for root cause analysis. The critical_findings_sample and high_findings_sample fields carry the top 10 findings per severity.</w:t>
            </w:r>
          </w:p>
        </w:tc>
      </w:tr>
      <w:tr>
        <w:tc>
          <w:tcPr>
            <w:tcW w:type="dxa" w:w="900"/>
            <w:tcBorders>
              <w:top w:val="single" w:color="CCCCCC" w:sz="4"/>
              <w:left w:val="single" w:color="CCCCCC" w:sz="4"/>
              <w:bottom w:val="single" w:color="CCCCCC" w:sz="4"/>
              <w:right w:val="single" w:color="CCCCCC" w:sz="4"/>
            </w:tcBorders>
            <w:shd w:fill="7B241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RS.CO-02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Incidents reported internally consistent with established criteria</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A.6.8</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GitHub Issues (automated incident reporting)</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Every FAIL signal opens a GitHub Issue with a consistent format — evidence ID, signal name, frameworks affected, resources, and remediation steps. Consistent = auditable.</w:t>
            </w:r>
          </w:p>
        </w:tc>
      </w:tr>
      <w:tr>
        <w:tc>
          <w:tcPr>
            <w:tcW w:type="dxa" w:w="900"/>
            <w:tcBorders>
              <w:top w:val="single" w:color="CCCCCC" w:sz="4"/>
              <w:left w:val="single" w:color="CCCCCC" w:sz="4"/>
              <w:bottom w:val="single" w:color="CCCCCC" w:sz="4"/>
              <w:right w:val="single" w:color="CCCCCC" w:sz="4"/>
            </w:tcBorders>
            <w:shd w:fill="7B241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RS.MI-01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Incidents contained to minimise impact</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A.5.26</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CC7.4</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requires manual runbook</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Automation surfaces the gap; each GitHub Issue body includes a remediation field pointing to the specific GCP console action (e.g. disable key in IAM, update SSL policy). Full containment requires runbook documentation.</w:t>
            </w:r>
          </w:p>
        </w:tc>
      </w:tr>
      <w:tr>
        <w:tc>
          <w:tcPr>
            <w:tcW w:type="dxa" w:w="900"/>
            <w:tcBorders>
              <w:top w:val="single" w:color="CCCCCC" w:sz="4"/>
              <w:left w:val="single" w:color="CCCCCC" w:sz="4"/>
              <w:bottom w:val="single" w:color="CCCCCC" w:sz="4"/>
              <w:right w:val="single" w:color="CCCCCC" w:sz="4"/>
            </w:tcBorders>
            <w:shd w:fill="15436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RC</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RC.RP-01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Recovery plan executed during or after a cybersecurity incident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A.5.29</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A1.3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requires DR plan document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Gap area. GCP-specific DR plan should reference Cloud Storage versioning, Cloud SQL automated backups, and multi-region GCS bucket configuration as recovery mechanisms.</w:t>
            </w:r>
          </w:p>
        </w:tc>
      </w:tr>
      <w:tr>
        <w:tc>
          <w:tcPr>
            <w:tcW w:type="dxa" w:w="900"/>
            <w:tcBorders>
              <w:top w:val="single" w:color="CCCCCC" w:sz="4"/>
              <w:left w:val="single" w:color="CCCCCC" w:sz="4"/>
              <w:bottom w:val="single" w:color="CCCCCC" w:sz="4"/>
              <w:right w:val="single" w:color="CCCCCC" w:sz="4"/>
            </w:tcBorders>
            <w:shd w:fill="15436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RC</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RC.CO-03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Recovery activities and progress communicated to stakeholders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A.5.29</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12.10.4</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A1.3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GitHub Issues (close = recovery confirmed)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Closing a GitHub Issue after re-running the collectors and confirming a PASS creates a timestamped recovery record. The git commit history ties the fix to a specific run ID.</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5. Gap Analysis — What Automation Cannot Cover</w:t>
      </w:r>
    </w:p>
    <w:p>
      <w:pPr>
        <w:spacing w:before="80" w:after="80"/>
      </w:pPr>
      <w:r>
        <w:rPr>
          <w:rFonts w:ascii="Arial" w:cs="Arial" w:eastAsia="Arial" w:hAnsi="Arial"/>
          <w:color w:val="1A1A1A"/>
          <w:sz w:val="20"/>
          <w:szCs w:val="20"/>
        </w:rPr>
        <w:t xml:space="preserve">Automated GCP and Workspace evidence is thorough, but certain NIST CSF 2.0 subcategories require human-authored documents and tested processes. The following items need additional artefacts to satisfy a full CSF 2.0 assessment.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2300"/>
        <w:gridCol w:w="3500"/>
        <w:gridCol w:w="860"/>
      </w:tblGrid>
      <w:t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CSF Sub-category</w:t>
            </w:r>
          </w:p>
        </w:tc>
        <w:tc>
          <w:tcPr>
            <w:tcW w:type="dxa" w:w="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2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 Description</w:t>
            </w:r>
          </w:p>
        </w:tc>
        <w:tc>
          <w:tcPr>
            <w:tcW w:type="dxa" w:w="3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Action</w:t>
            </w:r>
          </w:p>
        </w:tc>
        <w:tc>
          <w:tcPr>
            <w:tcW w:type="dxa" w:w="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GV.OC-01</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GOVERN</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Information security policy documenting cybersecurity objectives</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Author an Information Security Policy signed by a named executive. Store it in docs/ in the repository alongside setup.md.</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Low — document only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GV.SC-01 / GV.SC-06</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GOVERN</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Supplier / third-party cybersecurity requirements and risk documented</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Create a vendor register listing Google (GCP and Workspace) as a critical supplier. Reference Google's ISO 27001 certificate, SOC 2 report, and Shared Responsibility Model as third-party evidence. Review annually.</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Low — doc + annual review</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PR.AA-06</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PROTECT</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Physical access controls at data centre level</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Google's shared responsibility model covers physical security. Download Google's ISO 27001 and SOC 3 certificates from cloud.google.com/security/compliance and attach them to your evidence folder.</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None — obtain Google artefacts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RS.MI-01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RESPOND</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Incident containment runbooks for each finding type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Write one-page response playbooks per finding category: (1) stale SA key detected, (2) MFA disabled user, (3) critical SCC finding, (4) external Drive share detected. Store in docs/runbooks/. The GitHub Issue body already provides the resource name and remediation step — the runbook adds the who, when, and escalation path.</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Medium — runbook authoring</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RC.RP-01</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Documented and tested recovery plan for GCP and Workspace</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Create a BC/DR plan referencing: Cloud Storage versioning and cross-region replication, Cloud SQL automated backups, Cloud KMS key backup and import procedures, and Workspace Vault for email/Drive recovery. Schedule an annual tabletop exercise and document outcomes.</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High — plan + annual exercise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RC.CO-04</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Public and regulatory communications plan for major incidents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Define a stakeholder notification plan covering: internal escalation path, customer communication template, and regulatory notification timelines (e.g. GDPR 72-hour reporting obligation if personal data is processed). Store in docs/incident-comms.md.</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Medium — comms plan</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6. How the Weekly Workflow Satisfies CSF 2.0</w:t>
      </w:r>
    </w:p>
    <w:p>
      <w:pPr>
        <w:spacing w:before="80" w:after="80"/>
      </w:pPr>
      <w:r>
        <w:rPr>
          <w:rFonts w:ascii="Arial" w:cs="Arial" w:eastAsia="Arial" w:hAnsi="Arial"/>
          <w:color w:val="1A1A1A"/>
          <w:sz w:val="20"/>
          <w:szCs w:val="20"/>
        </w:rPr>
        <w:t xml:space="preserve">This section explains, in plain terms, how each step of the GitHub Actions workflow produces evidence that satisfies a NIST CSF 2.0 function. It is written for compliance team members who are learning how the system works.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60"/>
        <w:gridCol w:w="4200"/>
      </w:tblGrid>
      <w:t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Workflow Step</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CSF Function(s)</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Subcategories Satisfied</w:t>
            </w:r>
          </w:p>
        </w:tc>
        <w:tc>
          <w:tcPr>
            <w:tcW w:type="dxa" w:w="4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It Counts as Evidence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1 — Workload Identity Federation (no long-lived keys)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GOVERN + PROTECT</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GV.RM-01, PR.AA-05</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WIF issues short-lived GCP tokens scoped to a specific GitHub repository and workflow run. There are no service account keys to leak, rotate, or forget. This directly satisfies the 'no stale credential' control in GV.RM-01 and the least-privilege access control in PR.AA-05.</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2 — boto3-equivalent collectors run (IAM, Logging, Encryption, SCC, Workspace)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IDENTIFY + DETECT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ID.AM-01, ID.AM-02, ID.RA-01, DE.CM-01, DE.CM-09</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Five independent services are queried every week. This is automated asset discovery (Identify) and continuous configuration monitoring (Detect). The Workspace collector is unique to this version — it adds user activity and data-sharing monitoring that has no AWS equivalent.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3 — controls.yaml maps evidence to framework control IDs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GOVERN + IDENTIFY</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GV.RM-01, ID.RA-04</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The controls.yaml file is a machine-readable risk register. Each entry connects a specific technical check to the control IDs it satisfies across all four frameworks simultaneously. The overlap field (HIGH / MEDIUM / LOW) documents control efficiency — a single piece of evidence satisfying multiple frameworks.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4 — generate_report.py produces three CSV reports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IDENTIFY + DETECT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ID.RA-04, DE.AE-02</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01_summary.csv is the signal health dashboard. 02_control_coverage.csv is the auditor's evidence map. 03_findings_detail.csv is the prioritised remediation worklist. Together they document the current risk posture in a format any auditor can consume without access to GCP.</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5 — git commit of evidence and reports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GOVERN + DETECT</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GV.RM-06, DE.CM-03</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Every run creates a timestamped, append-only record in git history. Audit trail entries include the run ID, region, fail count, and finding count in the commit message. An auditor can reconstruct the compliance posture for any past week by checking out a specific commit.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6 — GitHub Issues opened for every FAIL signal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DETECT + RESPOND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DE.AE-06, RS.CO-02, RS.AN-03</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Issues are assigned, tracked, and closed — a lightweight incident workflow embedded in the development platform. Each issue includes: evidence ID, signal name, affected GCP project, frameworks impacted, resource names, and a remediation link. Closing the issue after re-run confirmation creates a recovery record.</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7. Quick Reference — Framework Comparison</w:t>
      </w:r>
    </w:p>
    <w:p>
      <w:pPr>
        <w:spacing w:before="80" w:after="80"/>
      </w:pPr>
      <w:r>
        <w:rPr>
          <w:rFonts w:ascii="Arial" w:cs="Arial" w:eastAsia="Arial" w:hAnsi="Arial"/>
          <w:color w:val="1A1A1A"/>
          <w:sz w:val="20"/>
          <w:szCs w:val="20"/>
        </w:rPr>
        <w:t xml:space="preserve">This one-page summary shows which framework most strongly addresses each CSF function in the GCP and Workspace context. Use it to direct an auditor to the right evidence source quickly.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30"/>
        <w:gridCol w:w="1630"/>
        <w:gridCol w:w="1630"/>
        <w:gridCol w:w="1630"/>
        <w:gridCol w:w="1640"/>
      </w:tblGrid>
      <w:t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CSF Function</w:t>
            </w:r>
          </w:p>
        </w:tc>
        <w:tc>
          <w:tcPr>
            <w:tcW w:type="dxa" w:w="16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27001</w:t>
            </w:r>
          </w:p>
        </w:tc>
        <w:tc>
          <w:tcPr>
            <w:tcW w:type="dxa" w:w="16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PCI-DSS v4</w:t>
            </w:r>
          </w:p>
        </w:tc>
        <w:tc>
          <w:tcPr>
            <w:tcW w:type="dxa" w:w="16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SOC 2 Type II</w:t>
            </w:r>
          </w:p>
        </w:tc>
        <w:tc>
          <w:tcPr>
            <w:tcW w:type="dxa" w:w="16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42001</w:t>
            </w:r>
          </w:p>
        </w:tc>
        <w:tc>
          <w:tcPr>
            <w:tcW w:type="dxa" w:w="16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GCP Evidence Source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GOVERN (GV)</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Clauses 4-10 governance, risk, leadership accountability</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Partial — Req 12 policy, vendor management</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Partial — CC3 risk, CC1 control environment</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AI governance clauses 4-10</w:t>
            </w:r>
          </w:p>
        </w:tc>
        <w:tc>
          <w:tcPr>
            <w:tcW w:type="dxa" w:w="1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A73E8"/>
                <w:sz w:val="18"/>
                <w:szCs w:val="18"/>
              </w:rPr>
              <w:t xml:space="preserve">controls.yaml (risk register) + Policy docs (gap)</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IDENTIFY (ID)</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A.8.1 asset mgmt, 6.1.2 risk assessment</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Req 2 (inventory), Req 11 (scanning)</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CC3 risk assessment, CC7.1</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8.1 AI asset management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A73E8"/>
                <w:sz w:val="18"/>
                <w:szCs w:val="18"/>
              </w:rPr>
              <w:t xml:space="preserve">gcp_iam_posture, gcp_scc_findings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PROTECT (PR)</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A.5.15-A.5.18 access, A.8.24 encryption, A.8.20 network</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Req 7-8 (access), Req 3-4 (crypto)</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CC6 logical access and data protection</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6.1.2 access to AI systems, 8.4</w:t>
            </w:r>
          </w:p>
        </w:tc>
        <w:tc>
          <w:tcPr>
            <w:tcW w:type="dxa" w:w="1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A73E8"/>
                <w:sz w:val="18"/>
                <w:szCs w:val="18"/>
              </w:rPr>
              <w:t xml:space="preserve">gcp_iam_posture, gcp_encryption, workspace_access_control</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DETECT (DE)</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A.8.15-A.8.16 logging, A.8.8 monitoring</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Req 10 (logging), Req 11 (testing)</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CC7 monitoring and anomaly detection</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9.1 performance monitoring</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A73E8"/>
                <w:sz w:val="18"/>
                <w:szCs w:val="18"/>
              </w:rPr>
              <w:t xml:space="preserve">gcp_audit_logging, gcp_scc_findings, workspace_access_control</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RESPOND (RS)</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A.5.26 incident response</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Req 12.10 incident response plan</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CC7.3, CC7.4</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Limited</w:t>
            </w:r>
          </w:p>
        </w:tc>
        <w:tc>
          <w:tcPr>
            <w:tcW w:type="dxa" w:w="1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A73E8"/>
                <w:sz w:val="18"/>
                <w:szCs w:val="18"/>
              </w:rPr>
              <w:t xml:space="preserve">GitHub Issues (automated) + IR runbook (gap)</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RECOVER (RC)</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A.5.29, A.5.30 BC/DR</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Req 12.10.4 recovery procedures</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A1 availability criteria</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Limited</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A73E8"/>
                <w:sz w:val="18"/>
                <w:szCs w:val="18"/>
              </w:rPr>
              <w:t xml:space="preserve">GitHub Issue close (automated) + DR plan (gap)</w:t>
            </w:r>
          </w:p>
        </w:tc>
      </w:tr>
    </w:tbl>
    <w:p>
      <w:pPr>
        <w:spacing w:before="60" w:after="60"/>
      </w:pPr>
      <w:r>
        <w:t xml:space="preserve"/>
      </w:r>
    </w:p>
    <w:p>
      <w:pPr>
        <w:pStyle w:val="Heading2"/>
        <w:spacing w:before="240" w:after="120"/>
      </w:pPr>
      <w:r>
        <w:rPr>
          <w:rFonts w:ascii="Arial" w:cs="Arial" w:eastAsia="Arial" w:hAnsi="Arial"/>
          <w:b/>
          <w:bCs/>
          <w:color w:val="1F4E79"/>
          <w:sz w:val="26"/>
          <w:szCs w:val="26"/>
        </w:rPr>
        <w:t xml:space="preserve">7.1 GCP-Specific Coverage Advantages vs the AWS Version</w:t>
      </w:r>
    </w:p>
    <w:p>
      <w:pPr>
        <w:spacing w:before="80" w:after="80"/>
      </w:pPr>
      <w:r>
        <w:rPr>
          <w:rFonts w:ascii="Arial" w:cs="Arial" w:eastAsia="Arial" w:hAnsi="Arial"/>
          <w:color w:val="1A1A1A"/>
          <w:sz w:val="20"/>
          <w:szCs w:val="20"/>
        </w:rPr>
        <w:t xml:space="preserve">The Google GRC system covers two CSF subcategories that the AWS version does not, due to the addition of Workspace collectors: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CSF Subcategory</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Coverage in AWS Version</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Coverage in GCP Version</w:t>
            </w:r>
          </w:p>
        </w:tc>
        <w:tc>
          <w:tcPr>
            <w:tcW w:type="dxa" w:w="3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the Workspace Collector Adds</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DE.CM-03 (user activity)</w:t>
            </w:r>
          </w:p>
        </w:tc>
        <w:tc>
          <w:tcPr>
            <w:tcW w:type="dxa" w:w="20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CloudTrail captures API events only</w:t>
            </w:r>
          </w:p>
        </w:tc>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r>
              <w:rPr>
                <w:rFonts w:ascii="Arial" w:cs="Arial" w:eastAsia="Arial" w:hAnsi="Arial"/>
                <w:b w:val="false"/>
                <w:bCs w:val="false"/>
                <w:color w:val="1E6B3C"/>
                <w:sz w:val="18"/>
                <w:szCs w:val="18"/>
              </w:rPr>
              <w:t xml:space="preserve">Workspace login audit — suspicious logins, admin grants</w:t>
            </w:r>
          </w:p>
        </w:tc>
        <w:tc>
          <w:tcPr>
            <w:tcW w:type="dxa" w:w="3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collect_workspace.py queries the Admin SDK Reports API for login_failure, suspicious_login, and account_disabled_hijacking events over a 7-day window.</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PR.DS-10 (data exfiltration)</w:t>
            </w:r>
          </w:p>
        </w:tc>
        <w:tc>
          <w:tcPr>
            <w:tcW w:type="dxa" w:w="20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equivalent signal</w:t>
            </w:r>
          </w:p>
        </w:tc>
        <w:tc>
          <w:tcPr>
            <w:tcW w:type="dxa" w:w="20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r>
              <w:rPr>
                <w:rFonts w:ascii="Arial" w:cs="Arial" w:eastAsia="Arial" w:hAnsi="Arial"/>
                <w:b w:val="false"/>
                <w:bCs w:val="false"/>
                <w:color w:val="1E6B3C"/>
                <w:sz w:val="18"/>
                <w:szCs w:val="18"/>
              </w:rPr>
              <w:t xml:space="preserve">no_external_drive_sharing — detects files leaving org domain</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collect_workspace.py queries Drive audit logs for change_acl_editors events where the target domain does not match the organisation's domain.</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8. Sources and References</w:t>
      </w:r>
    </w:p>
    <w:p>
      <w:pPr>
        <w:spacing w:before="80" w:after="80"/>
      </w:pPr>
      <w:r>
        <w:rPr>
          <w:rFonts w:ascii="Arial" w:cs="Arial" w:eastAsia="Arial" w:hAnsi="Arial"/>
          <w:color w:val="1A1A1A"/>
          <w:sz w:val="20"/>
          <w:szCs w:val="20"/>
        </w:rPr>
        <w:t xml:space="preserve">All framework mappings in this document are derived from the following authoritative sources. Mappings are drawn from NIST-published crosswalk tables and the framework texts — they are not invented.</w:t>
      </w:r>
    </w:p>
    <w:p>
      <w:pPr>
        <w:spacing w:before="60" w:after="60"/>
      </w:pPr>
      <w:r>
        <w:t xml:space="preserve"/>
      </w:r>
    </w:p>
    <w:p>
      <w:pPr>
        <w:spacing w:before="80" w:after="80"/>
      </w:pPr>
      <w:r>
        <w:rPr>
          <w:rFonts w:ascii="Arial" w:cs="Arial" w:eastAsia="Arial" w:hAnsi="Arial"/>
          <w:b/>
          <w:bCs/>
          <w:color w:val="1A1A1A"/>
          <w:sz w:val="20"/>
          <w:szCs w:val="20"/>
        </w:rPr>
        <w:t xml:space="preserve">NIST CSF 2.0</w:t>
      </w:r>
    </w:p>
    <w:p>
      <w:pPr>
        <w:pStyle w:val="ListParagraph"/>
        <w:numPr>
          <w:ilvl w:val="0"/>
          <w:numId w:val="2"/>
        </w:numPr>
        <w:spacing w:before="40" w:after="40"/>
      </w:pPr>
      <w:r>
        <w:rPr>
          <w:rFonts w:ascii="Arial" w:cs="Arial" w:eastAsia="Arial" w:hAnsi="Arial"/>
          <w:color w:val="1A1A1A"/>
          <w:sz w:val="20"/>
          <w:szCs w:val="20"/>
        </w:rPr>
        <w:t xml:space="preserve">NIST Cybersecurity Framework 2.0 — NIST CSWP 29, February 2024. doi:10.6028/NIST.CSWP.29</w:t>
      </w:r>
    </w:p>
    <w:p>
      <w:pPr>
        <w:pStyle w:val="ListParagraph"/>
        <w:numPr>
          <w:ilvl w:val="0"/>
          <w:numId w:val="2"/>
        </w:numPr>
        <w:spacing w:before="40" w:after="40"/>
      </w:pPr>
      <w:r>
        <w:rPr>
          <w:rFonts w:ascii="Arial" w:cs="Arial" w:eastAsia="Arial" w:hAnsi="Arial"/>
          <w:color w:val="1A1A1A"/>
          <w:sz w:val="20"/>
          <w:szCs w:val="20"/>
        </w:rPr>
        <w:t xml:space="preserve">NIST CSF 2.0 Reference Tool and mapping tables: https://csrc.nist.gov/projects/cybersecurity-framework</w:t>
      </w:r>
    </w:p>
    <w:p>
      <w:pPr>
        <w:pStyle w:val="ListParagraph"/>
        <w:numPr>
          <w:ilvl w:val="0"/>
          <w:numId w:val="2"/>
        </w:numPr>
        <w:spacing w:before="40" w:after="40"/>
      </w:pPr>
      <w:r>
        <w:rPr>
          <w:rFonts w:ascii="Arial" w:cs="Arial" w:eastAsia="Arial" w:hAnsi="Arial"/>
          <w:color w:val="1A1A1A"/>
          <w:sz w:val="20"/>
          <w:szCs w:val="20"/>
        </w:rPr>
        <w:t xml:space="preserve">NIST informative references crosswalk (CSF 2.0 to ISO 27001, NIST SP 800-53): https://www.nist.gov/cyberframework</w:t>
      </w:r>
    </w:p>
    <w:p>
      <w:pPr>
        <w:spacing w:before="60" w:after="60"/>
      </w:pPr>
      <w:r>
        <w:t xml:space="preserve"/>
      </w:r>
    </w:p>
    <w:p>
      <w:pPr>
        <w:spacing w:before="80" w:after="80"/>
      </w:pPr>
      <w:r>
        <w:rPr>
          <w:rFonts w:ascii="Arial" w:cs="Arial" w:eastAsia="Arial" w:hAnsi="Arial"/>
          <w:b/>
          <w:bCs/>
          <w:color w:val="1A1A1A"/>
          <w:sz w:val="20"/>
          <w:szCs w:val="20"/>
        </w:rPr>
        <w:t xml:space="preserve">ISO/IEC 27001:2022</w:t>
      </w:r>
    </w:p>
    <w:p>
      <w:pPr>
        <w:pStyle w:val="ListParagraph"/>
        <w:numPr>
          <w:ilvl w:val="0"/>
          <w:numId w:val="2"/>
        </w:numPr>
        <w:spacing w:before="40" w:after="40"/>
      </w:pPr>
      <w:r>
        <w:rPr>
          <w:rFonts w:ascii="Arial" w:cs="Arial" w:eastAsia="Arial" w:hAnsi="Arial"/>
          <w:color w:val="1A1A1A"/>
          <w:sz w:val="20"/>
          <w:szCs w:val="20"/>
        </w:rPr>
        <w:t xml:space="preserve">ISO/IEC 27001:2022 — Information security, cybersecurity and privacy protection. Published October 2022.</w:t>
      </w:r>
    </w:p>
    <w:p>
      <w:pPr>
        <w:pStyle w:val="ListParagraph"/>
        <w:numPr>
          <w:ilvl w:val="0"/>
          <w:numId w:val="2"/>
        </w:numPr>
        <w:spacing w:before="40" w:after="40"/>
      </w:pPr>
      <w:r>
        <w:rPr>
          <w:rFonts w:ascii="Arial" w:cs="Arial" w:eastAsia="Arial" w:hAnsi="Arial"/>
          <w:color w:val="1A1A1A"/>
          <w:sz w:val="20"/>
          <w:szCs w:val="20"/>
        </w:rPr>
        <w:t xml:space="preserve">Annex A controls referenced per the 2022 revision (93 controls, reorganised from the 2013 version).</w:t>
      </w:r>
    </w:p>
    <w:p>
      <w:pPr>
        <w:spacing w:before="60" w:after="60"/>
      </w:pPr>
      <w:r>
        <w:t xml:space="preserve"/>
      </w:r>
    </w:p>
    <w:p>
      <w:pPr>
        <w:spacing w:before="80" w:after="80"/>
      </w:pPr>
      <w:r>
        <w:rPr>
          <w:rFonts w:ascii="Arial" w:cs="Arial" w:eastAsia="Arial" w:hAnsi="Arial"/>
          <w:b/>
          <w:bCs/>
          <w:color w:val="1A1A1A"/>
          <w:sz w:val="20"/>
          <w:szCs w:val="20"/>
        </w:rPr>
        <w:t xml:space="preserve">PCI DSS v4.0</w:t>
      </w:r>
    </w:p>
    <w:p>
      <w:pPr>
        <w:pStyle w:val="ListParagraph"/>
        <w:numPr>
          <w:ilvl w:val="0"/>
          <w:numId w:val="2"/>
        </w:numPr>
        <w:spacing w:before="40" w:after="40"/>
      </w:pPr>
      <w:r>
        <w:rPr>
          <w:rFonts w:ascii="Arial" w:cs="Arial" w:eastAsia="Arial" w:hAnsi="Arial"/>
          <w:color w:val="1A1A1A"/>
          <w:sz w:val="20"/>
          <w:szCs w:val="20"/>
        </w:rPr>
        <w:t xml:space="preserve">PCI DSS v4.0 — Payment Card Industry Data Security Standard. Published March 2022. PCI Security Standards Council.</w:t>
      </w:r>
    </w:p>
    <w:p>
      <w:pPr>
        <w:pStyle w:val="ListParagraph"/>
        <w:numPr>
          <w:ilvl w:val="0"/>
          <w:numId w:val="2"/>
        </w:numPr>
        <w:spacing w:before="40" w:after="40"/>
      </w:pPr>
      <w:r>
        <w:rPr>
          <w:rFonts w:ascii="Arial" w:cs="Arial" w:eastAsia="Arial" w:hAnsi="Arial"/>
          <w:color w:val="1A1A1A"/>
          <w:sz w:val="20"/>
          <w:szCs w:val="20"/>
        </w:rPr>
        <w:t xml:space="preserve">PCI DSS v4.0 to NIST CSF mapping available via the PCI SSC Information Supplement library.</w:t>
      </w:r>
    </w:p>
    <w:p>
      <w:pPr>
        <w:spacing w:before="60" w:after="60"/>
      </w:pPr>
      <w:r>
        <w:t xml:space="preserve"/>
      </w:r>
    </w:p>
    <w:p>
      <w:pPr>
        <w:spacing w:before="80" w:after="80"/>
      </w:pPr>
      <w:r>
        <w:rPr>
          <w:rFonts w:ascii="Arial" w:cs="Arial" w:eastAsia="Arial" w:hAnsi="Arial"/>
          <w:b/>
          <w:bCs/>
          <w:color w:val="1A1A1A"/>
          <w:sz w:val="20"/>
          <w:szCs w:val="20"/>
        </w:rPr>
        <w:t xml:space="preserve">SOC 2</w:t>
      </w:r>
    </w:p>
    <w:p>
      <w:pPr>
        <w:pStyle w:val="ListParagraph"/>
        <w:numPr>
          <w:ilvl w:val="0"/>
          <w:numId w:val="2"/>
        </w:numPr>
        <w:spacing w:before="40" w:after="40"/>
      </w:pPr>
      <w:r>
        <w:rPr>
          <w:rFonts w:ascii="Arial" w:cs="Arial" w:eastAsia="Arial" w:hAnsi="Arial"/>
          <w:color w:val="1A1A1A"/>
          <w:sz w:val="20"/>
          <w:szCs w:val="20"/>
        </w:rPr>
        <w:t xml:space="preserve">AICPA Trust Services Criteria (2017 with 2022 points of focus updates). American Institute of CPAs.</w:t>
      </w:r>
    </w:p>
    <w:p>
      <w:pPr>
        <w:pStyle w:val="ListParagraph"/>
        <w:numPr>
          <w:ilvl w:val="0"/>
          <w:numId w:val="2"/>
        </w:numPr>
        <w:spacing w:before="40" w:after="40"/>
      </w:pPr>
      <w:r>
        <w:rPr>
          <w:rFonts w:ascii="Arial" w:cs="Arial" w:eastAsia="Arial" w:hAnsi="Arial"/>
          <w:color w:val="1A1A1A"/>
          <w:sz w:val="20"/>
          <w:szCs w:val="20"/>
        </w:rPr>
        <w:t xml:space="preserve">CC series (Common Criteria) referenced throughout. Availability criteria (A1 series) referenced in the Recover function.</w:t>
      </w:r>
    </w:p>
    <w:p>
      <w:pPr>
        <w:spacing w:before="60" w:after="60"/>
      </w:pPr>
      <w:r>
        <w:t xml:space="preserve"/>
      </w:r>
    </w:p>
    <w:p>
      <w:pPr>
        <w:spacing w:before="80" w:after="80"/>
      </w:pPr>
      <w:r>
        <w:rPr>
          <w:rFonts w:ascii="Arial" w:cs="Arial" w:eastAsia="Arial" w:hAnsi="Arial"/>
          <w:b/>
          <w:bCs/>
          <w:color w:val="1A1A1A"/>
          <w:sz w:val="20"/>
          <w:szCs w:val="20"/>
        </w:rPr>
        <w:t xml:space="preserve">ISO 42001:2023</w:t>
      </w:r>
    </w:p>
    <w:p>
      <w:pPr>
        <w:pStyle w:val="ListParagraph"/>
        <w:numPr>
          <w:ilvl w:val="0"/>
          <w:numId w:val="2"/>
        </w:numPr>
        <w:spacing w:before="40" w:after="40"/>
      </w:pPr>
      <w:r>
        <w:rPr>
          <w:rFonts w:ascii="Arial" w:cs="Arial" w:eastAsia="Arial" w:hAnsi="Arial"/>
          <w:color w:val="1A1A1A"/>
          <w:sz w:val="20"/>
          <w:szCs w:val="20"/>
        </w:rPr>
        <w:t xml:space="preserve">ISO/IEC 42001:2023 — Artificial intelligence management system. Published December 2023.</w:t>
      </w:r>
    </w:p>
    <w:p>
      <w:pPr>
        <w:pStyle w:val="ListParagraph"/>
        <w:numPr>
          <w:ilvl w:val="0"/>
          <w:numId w:val="2"/>
        </w:numPr>
        <w:spacing w:before="40" w:after="40"/>
      </w:pPr>
      <w:r>
        <w:rPr>
          <w:rFonts w:ascii="Arial" w:cs="Arial" w:eastAsia="Arial" w:hAnsi="Arial"/>
          <w:color w:val="1A1A1A"/>
          <w:sz w:val="20"/>
          <w:szCs w:val="20"/>
        </w:rPr>
        <w:t xml:space="preserve">Mapped to GV and PR functions where AI governance and access controls overlap with GCP IAM and KMS controls.</w:t>
      </w:r>
    </w:p>
    <w:p>
      <w:pPr>
        <w:spacing w:before="60" w:after="60"/>
      </w:pPr>
      <w:r>
        <w:t xml:space="preserve"/>
      </w:r>
    </w:p>
    <w:p>
      <w:pPr>
        <w:spacing w:before="80" w:after="80"/>
      </w:pPr>
      <w:r>
        <w:rPr>
          <w:rFonts w:ascii="Arial" w:cs="Arial" w:eastAsia="Arial" w:hAnsi="Arial"/>
          <w:b/>
          <w:bCs/>
          <w:color w:val="1A1A1A"/>
          <w:sz w:val="20"/>
          <w:szCs w:val="20"/>
        </w:rPr>
        <w:t xml:space="preserve">Google Cloud Platform</w:t>
      </w:r>
    </w:p>
    <w:p>
      <w:pPr>
        <w:pStyle w:val="ListParagraph"/>
        <w:numPr>
          <w:ilvl w:val="0"/>
          <w:numId w:val="2"/>
        </w:numPr>
        <w:spacing w:before="40" w:after="40"/>
      </w:pPr>
      <w:r>
        <w:rPr>
          <w:rFonts w:ascii="Arial" w:cs="Arial" w:eastAsia="Arial" w:hAnsi="Arial"/>
          <w:color w:val="1A1A1A"/>
          <w:sz w:val="20"/>
          <w:szCs w:val="20"/>
        </w:rPr>
        <w:t xml:space="preserve">Google Cloud compliance documentation: https://cloud.google.com/security/compliance</w:t>
      </w:r>
    </w:p>
    <w:p>
      <w:pPr>
        <w:pStyle w:val="ListParagraph"/>
        <w:numPr>
          <w:ilvl w:val="0"/>
          <w:numId w:val="2"/>
        </w:numPr>
        <w:spacing w:before="40" w:after="40"/>
      </w:pPr>
      <w:r>
        <w:rPr>
          <w:rFonts w:ascii="Arial" w:cs="Arial" w:eastAsia="Arial" w:hAnsi="Arial"/>
          <w:color w:val="1A1A1A"/>
          <w:sz w:val="20"/>
          <w:szCs w:val="20"/>
        </w:rPr>
        <w:t xml:space="preserve">GCP Security Command Center documentation: https://cloud.google.com/security-command-center/docs</w:t>
      </w:r>
    </w:p>
    <w:p>
      <w:pPr>
        <w:pStyle w:val="ListParagraph"/>
        <w:numPr>
          <w:ilvl w:val="0"/>
          <w:numId w:val="2"/>
        </w:numPr>
        <w:spacing w:before="40" w:after="40"/>
      </w:pPr>
      <w:r>
        <w:rPr>
          <w:rFonts w:ascii="Arial" w:cs="Arial" w:eastAsia="Arial" w:hAnsi="Arial"/>
          <w:color w:val="1A1A1A"/>
          <w:sz w:val="20"/>
          <w:szCs w:val="20"/>
        </w:rPr>
        <w:t xml:space="preserve">GCP IAM best practices and org policy constraints: https://cloud.google.com/iam/docs/org-policy-constraints</w:t>
      </w:r>
    </w:p>
    <w:p>
      <w:pPr>
        <w:pStyle w:val="ListParagraph"/>
        <w:numPr>
          <w:ilvl w:val="0"/>
          <w:numId w:val="2"/>
        </w:numPr>
        <w:spacing w:before="40" w:after="40"/>
      </w:pPr>
      <w:r>
        <w:rPr>
          <w:rFonts w:ascii="Arial" w:cs="Arial" w:eastAsia="Arial" w:hAnsi="Arial"/>
          <w:color w:val="1A1A1A"/>
          <w:sz w:val="20"/>
          <w:szCs w:val="20"/>
        </w:rPr>
        <w:t xml:space="preserve">Workload Identity Federation: https://cloud.google.com/iam/docs/workload-identity-federation</w:t>
      </w:r>
    </w:p>
    <w:p>
      <w:pPr>
        <w:spacing w:before="60" w:after="60"/>
      </w:pPr>
      <w:r>
        <w:t xml:space="preserve"/>
      </w:r>
    </w:p>
    <w:p>
      <w:pPr>
        <w:spacing w:before="80" w:after="80"/>
      </w:pPr>
      <w:r>
        <w:rPr>
          <w:rFonts w:ascii="Arial" w:cs="Arial" w:eastAsia="Arial" w:hAnsi="Arial"/>
          <w:b/>
          <w:bCs/>
          <w:color w:val="1A1A1A"/>
          <w:sz w:val="20"/>
          <w:szCs w:val="20"/>
        </w:rPr>
        <w:t xml:space="preserve">Google Workspace</w:t>
      </w:r>
    </w:p>
    <w:p>
      <w:pPr>
        <w:pStyle w:val="ListParagraph"/>
        <w:numPr>
          <w:ilvl w:val="0"/>
          <w:numId w:val="2"/>
        </w:numPr>
        <w:spacing w:before="40" w:after="40"/>
      </w:pPr>
      <w:r>
        <w:rPr>
          <w:rFonts w:ascii="Arial" w:cs="Arial" w:eastAsia="Arial" w:hAnsi="Arial"/>
          <w:color w:val="1A1A1A"/>
          <w:sz w:val="20"/>
          <w:szCs w:val="20"/>
        </w:rPr>
        <w:t xml:space="preserve">Google Workspace Admin SDK Reports API: https://developers.google.com/admin-sdk/reports</w:t>
      </w:r>
    </w:p>
    <w:p>
      <w:pPr>
        <w:pStyle w:val="ListParagraph"/>
        <w:numPr>
          <w:ilvl w:val="0"/>
          <w:numId w:val="2"/>
        </w:numPr>
        <w:spacing w:before="40" w:after="40"/>
      </w:pPr>
      <w:r>
        <w:rPr>
          <w:rFonts w:ascii="Arial" w:cs="Arial" w:eastAsia="Arial" w:hAnsi="Arial"/>
          <w:color w:val="1A1A1A"/>
          <w:sz w:val="20"/>
          <w:szCs w:val="20"/>
        </w:rPr>
        <w:t xml:space="preserve">Workspace security best practices: https://workspace.google.com/intl/en/features/security/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i/>
                <w:iCs/>
                <w:color w:val="1A1A1A"/>
                <w:sz w:val="19"/>
                <w:szCs w:val="19"/>
              </w:rPr>
              <w:t xml:space="preserve">Mapping confidence: Framework crosswalks are inherently interpretive. The mappings in this document follow NIST published informative references wherever available, and reasoned professional judgment where NIST has not published a direct mapping. Different auditors may draw slightly different lines between subcategories.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tabs>
        <w:tab w:val="right" w:pos="9026"/>
      </w:tabs>
    </w:pPr>
    <w:r>
      <w:rPr>
        <w:rFonts w:ascii="Arial" w:cs="Arial" w:eastAsia="Arial" w:hAnsi="Arial"/>
        <w:color w:val="999999"/>
        <w:sz w:val="16"/>
        <w:szCs w:val="16"/>
      </w:rPr>
      <w:t xml:space="preserve">Generated March 25, 2026  |  NIST CSF 2.0 (Feb 2024)  |  GCP + Workspace</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6" w:space="1"/>
      </w:pBdr>
      <w:tabs>
        <w:tab w:val="right" w:pos="9026"/>
      </w:tabs>
    </w:pPr>
    <w:r>
      <w:rPr>
        <w:rFonts w:ascii="Arial" w:cs="Arial" w:eastAsia="Arial" w:hAnsi="Arial"/>
        <w:b/>
        <w:bCs/>
        <w:color w:val="1A73E8"/>
        <w:sz w:val="16"/>
        <w:szCs w:val="16"/>
      </w:rPr>
      <w:t xml:space="preserve">NIST CSF 2.0 Crosswalk — GCP &amp; Google Workspace</w:t>
    </w:r>
    <w:r>
      <w:rPr>
        <w:rFonts w:ascii="Arial" w:cs="Arial" w:eastAsia="Arial" w:hAnsi="Arial"/>
        <w:color w:val="999999"/>
        <w:sz w:val="16"/>
        <w:szCs w:val="16"/>
      </w:rPr>
      <w:t xml:space="preserve">	Google GRC Compliance as Code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2026-03-25T21:06:14.188Z</dcterms:created>
  <dcterms:modified xsi:type="dcterms:W3CDTF">2026-03-25T21:06:14.188Z</dcterms:modified>
</cp:coreProperties>
</file>

<file path=docProps/custom.xml><?xml version="1.0" encoding="utf-8"?>
<Properties xmlns="http://schemas.openxmlformats.org/officeDocument/2006/custom-properties" xmlns:vt="http://schemas.openxmlformats.org/officeDocument/2006/docPropsVTypes"/>
</file>