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D9A" w:rsidRPr="00BA102E" w:rsidRDefault="00DD0D9A" w:rsidP="00994212">
      <w:pPr>
        <w:pStyle w:val="Heading2"/>
        <w:tabs>
          <w:tab w:val="left" w:pos="1440"/>
          <w:tab w:val="left" w:pos="1560"/>
        </w:tabs>
        <w:rPr>
          <w:szCs w:val="16"/>
        </w:rPr>
      </w:pPr>
      <w:bookmarkStart w:id="0" w:name="_Toc128065002"/>
      <w:bookmarkStart w:id="1" w:name="_GoBack"/>
      <w:bookmarkEnd w:id="1"/>
      <w:r w:rsidRPr="00BA102E">
        <w:rPr>
          <w:szCs w:val="16"/>
        </w:rPr>
        <w:t>HIGHLIGHTS OF PRESCRIBING INFORMATION</w:t>
      </w:r>
      <w:bookmarkEnd w:id="0"/>
    </w:p>
    <w:p w:rsidR="00DD0D9A" w:rsidRPr="00BA102E" w:rsidRDefault="00DD0D9A" w:rsidP="005E7B72">
      <w:pPr>
        <w:pStyle w:val="BodyText"/>
        <w:rPr>
          <w:szCs w:val="16"/>
        </w:rPr>
      </w:pPr>
      <w:r w:rsidRPr="00BA102E">
        <w:rPr>
          <w:szCs w:val="16"/>
        </w:rPr>
        <w:t>These highlights do not include all the</w:t>
      </w:r>
      <w:r w:rsidR="002745CA" w:rsidRPr="00BA102E">
        <w:rPr>
          <w:szCs w:val="16"/>
        </w:rPr>
        <w:t xml:space="preserve"> information needed to use </w:t>
      </w:r>
      <w:r w:rsidR="001A2032">
        <w:rPr>
          <w:szCs w:val="16"/>
        </w:rPr>
        <w:t xml:space="preserve">LORBRENA </w:t>
      </w:r>
      <w:r w:rsidR="001C6A53">
        <w:rPr>
          <w:szCs w:val="16"/>
        </w:rPr>
        <w:t xml:space="preserve">safely and effectively. </w:t>
      </w:r>
      <w:r w:rsidRPr="00BA102E">
        <w:rPr>
          <w:szCs w:val="16"/>
        </w:rPr>
        <w:t>See full p</w:t>
      </w:r>
      <w:r w:rsidR="002745CA" w:rsidRPr="00BA102E">
        <w:rPr>
          <w:szCs w:val="16"/>
        </w:rPr>
        <w:t xml:space="preserve">rescribing information for </w:t>
      </w:r>
      <w:r w:rsidR="001A2032">
        <w:rPr>
          <w:szCs w:val="16"/>
        </w:rPr>
        <w:t>LORBRENA</w:t>
      </w:r>
      <w:r w:rsidRPr="00BA102E">
        <w:rPr>
          <w:szCs w:val="16"/>
        </w:rPr>
        <w:t>.</w:t>
      </w:r>
    </w:p>
    <w:p w:rsidR="00DD0D9A" w:rsidRPr="00BA102E" w:rsidRDefault="00DD0D9A" w:rsidP="005E7B72">
      <w:pPr>
        <w:rPr>
          <w:b/>
          <w:bCs/>
          <w:sz w:val="16"/>
          <w:szCs w:val="16"/>
        </w:rPr>
      </w:pPr>
    </w:p>
    <w:p w:rsidR="00DD0D9A" w:rsidRPr="00BA102E" w:rsidRDefault="001A2032" w:rsidP="005E7B72">
      <w:pPr>
        <w:rPr>
          <w:b/>
          <w:bCs/>
          <w:sz w:val="16"/>
          <w:szCs w:val="16"/>
        </w:rPr>
      </w:pPr>
      <w:r>
        <w:rPr>
          <w:b/>
          <w:bCs/>
          <w:sz w:val="16"/>
          <w:szCs w:val="16"/>
        </w:rPr>
        <w:t>LORBRENA</w:t>
      </w:r>
      <w:r w:rsidR="001D756B" w:rsidRPr="005B72D8">
        <w:rPr>
          <w:szCs w:val="16"/>
          <w:vertAlign w:val="superscript"/>
        </w:rPr>
        <w:t>®</w:t>
      </w:r>
      <w:r w:rsidR="002745CA" w:rsidRPr="00BA102E">
        <w:rPr>
          <w:b/>
          <w:bCs/>
          <w:sz w:val="16"/>
          <w:szCs w:val="16"/>
        </w:rPr>
        <w:t xml:space="preserve"> (</w:t>
      </w:r>
      <w:r w:rsidR="008F4814" w:rsidRPr="00BA102E">
        <w:rPr>
          <w:b/>
          <w:bCs/>
          <w:sz w:val="16"/>
          <w:szCs w:val="16"/>
        </w:rPr>
        <w:t>lorlatinib</w:t>
      </w:r>
      <w:r w:rsidR="002745CA" w:rsidRPr="00BA102E">
        <w:rPr>
          <w:b/>
          <w:bCs/>
          <w:sz w:val="16"/>
          <w:szCs w:val="16"/>
        </w:rPr>
        <w:t xml:space="preserve">) </w:t>
      </w:r>
      <w:r w:rsidR="00636F91" w:rsidRPr="00BA102E">
        <w:rPr>
          <w:b/>
          <w:bCs/>
          <w:sz w:val="16"/>
          <w:szCs w:val="16"/>
        </w:rPr>
        <w:t>tablets</w:t>
      </w:r>
      <w:r w:rsidR="00137534" w:rsidRPr="00BA102E">
        <w:rPr>
          <w:b/>
          <w:bCs/>
          <w:sz w:val="16"/>
          <w:szCs w:val="16"/>
        </w:rPr>
        <w:t>,</w:t>
      </w:r>
      <w:r w:rsidR="002745CA" w:rsidRPr="00BA102E">
        <w:rPr>
          <w:b/>
          <w:bCs/>
          <w:sz w:val="16"/>
          <w:szCs w:val="16"/>
        </w:rPr>
        <w:t xml:space="preserve"> </w:t>
      </w:r>
      <w:r w:rsidR="00636F91" w:rsidRPr="00BA102E">
        <w:rPr>
          <w:b/>
          <w:bCs/>
          <w:sz w:val="16"/>
          <w:szCs w:val="16"/>
        </w:rPr>
        <w:t>for oral use</w:t>
      </w:r>
    </w:p>
    <w:p w:rsidR="00DD0D9A" w:rsidRPr="00BA102E" w:rsidRDefault="00DD0D9A" w:rsidP="00DD0D9A">
      <w:pPr>
        <w:rPr>
          <w:b/>
          <w:bCs/>
          <w:sz w:val="16"/>
          <w:szCs w:val="16"/>
        </w:rPr>
      </w:pPr>
      <w:r w:rsidRPr="00BA102E">
        <w:rPr>
          <w:b/>
          <w:bCs/>
          <w:sz w:val="16"/>
          <w:szCs w:val="16"/>
        </w:rPr>
        <w:t>Initial U.S.</w:t>
      </w:r>
      <w:r w:rsidR="001C6A53">
        <w:rPr>
          <w:b/>
          <w:bCs/>
          <w:sz w:val="16"/>
          <w:szCs w:val="16"/>
        </w:rPr>
        <w:t xml:space="preserve"> Approval: </w:t>
      </w:r>
      <w:r w:rsidR="004E0EA5">
        <w:rPr>
          <w:b/>
          <w:bCs/>
          <w:sz w:val="16"/>
          <w:szCs w:val="16"/>
        </w:rPr>
        <w:t>20</w:t>
      </w:r>
      <w:r w:rsidR="004D2032">
        <w:rPr>
          <w:b/>
          <w:bCs/>
          <w:sz w:val="16"/>
          <w:szCs w:val="16"/>
        </w:rPr>
        <w:t>1</w:t>
      </w:r>
      <w:r w:rsidR="00606091">
        <w:rPr>
          <w:b/>
          <w:bCs/>
          <w:sz w:val="16"/>
          <w:szCs w:val="16"/>
        </w:rPr>
        <w:t>8</w:t>
      </w:r>
    </w:p>
    <w:p w:rsidR="005637FA" w:rsidRPr="00BA102E" w:rsidRDefault="005637FA" w:rsidP="005637FA">
      <w:pPr>
        <w:rPr>
          <w:sz w:val="16"/>
          <w:szCs w:val="16"/>
        </w:rPr>
      </w:pPr>
    </w:p>
    <w:p w:rsidR="005637FA" w:rsidRPr="001C6A53" w:rsidRDefault="005637FA" w:rsidP="005637FA">
      <w:pPr>
        <w:pStyle w:val="USPIHPIHeading"/>
      </w:pPr>
      <w:r>
        <w:tab/>
      </w:r>
      <w:r w:rsidRPr="001C6A53">
        <w:t>INDICATIONS AND USAGE</w:t>
      </w:r>
      <w:r>
        <w:tab/>
      </w:r>
    </w:p>
    <w:p w:rsidR="008857F5" w:rsidRDefault="005637FA" w:rsidP="008857F5">
      <w:pPr>
        <w:rPr>
          <w:rFonts w:cs="Arial"/>
          <w:sz w:val="16"/>
          <w:szCs w:val="16"/>
        </w:rPr>
      </w:pPr>
      <w:r>
        <w:rPr>
          <w:rFonts w:cs="Arial"/>
          <w:sz w:val="16"/>
          <w:szCs w:val="16"/>
        </w:rPr>
        <w:t>LORBRENA</w:t>
      </w:r>
      <w:r w:rsidRPr="00BA102E">
        <w:rPr>
          <w:rFonts w:cs="Arial"/>
          <w:sz w:val="16"/>
          <w:szCs w:val="16"/>
        </w:rPr>
        <w:t xml:space="preserve"> is a </w:t>
      </w:r>
      <w:r w:rsidRPr="00CF494C">
        <w:rPr>
          <w:rFonts w:cs="Arial"/>
          <w:sz w:val="16"/>
          <w:szCs w:val="16"/>
        </w:rPr>
        <w:t>kinase inhibitor indicated for the treatment of patients with anaplastic lymphoma kinase (ALK)</w:t>
      </w:r>
      <w:r>
        <w:rPr>
          <w:rFonts w:cs="Arial"/>
          <w:sz w:val="16"/>
          <w:szCs w:val="16"/>
        </w:rPr>
        <w:t>-</w:t>
      </w:r>
      <w:r w:rsidRPr="00CF494C">
        <w:rPr>
          <w:rFonts w:cs="Arial"/>
          <w:sz w:val="16"/>
          <w:szCs w:val="16"/>
        </w:rPr>
        <w:t xml:space="preserve">positive metastatic non-small cell lung cancer (NSCLC) </w:t>
      </w:r>
      <w:r w:rsidR="00380B13">
        <w:rPr>
          <w:rFonts w:cs="Arial"/>
          <w:sz w:val="16"/>
          <w:szCs w:val="16"/>
        </w:rPr>
        <w:t xml:space="preserve">whose disease has progressed </w:t>
      </w:r>
      <w:r w:rsidR="008857F5">
        <w:rPr>
          <w:rFonts w:cs="Arial"/>
          <w:sz w:val="16"/>
          <w:szCs w:val="16"/>
        </w:rPr>
        <w:t xml:space="preserve">on </w:t>
      </w:r>
    </w:p>
    <w:p w:rsidR="008857F5" w:rsidRDefault="008857F5" w:rsidP="002712C4">
      <w:pPr>
        <w:numPr>
          <w:ilvl w:val="0"/>
          <w:numId w:val="67"/>
        </w:numPr>
        <w:tabs>
          <w:tab w:val="left" w:pos="284"/>
        </w:tabs>
        <w:ind w:left="284" w:hanging="284"/>
        <w:rPr>
          <w:rFonts w:cs="Arial"/>
          <w:sz w:val="16"/>
          <w:szCs w:val="16"/>
        </w:rPr>
      </w:pPr>
      <w:r w:rsidRPr="00DB7F6D">
        <w:rPr>
          <w:rFonts w:cs="Arial"/>
          <w:sz w:val="16"/>
          <w:szCs w:val="16"/>
        </w:rPr>
        <w:t xml:space="preserve">crizotinib and </w:t>
      </w:r>
      <w:r>
        <w:rPr>
          <w:rFonts w:cs="Arial"/>
          <w:sz w:val="16"/>
          <w:szCs w:val="16"/>
        </w:rPr>
        <w:t>at least one other</w:t>
      </w:r>
      <w:r w:rsidRPr="00DB7F6D">
        <w:rPr>
          <w:rFonts w:cs="Arial"/>
          <w:sz w:val="16"/>
          <w:szCs w:val="16"/>
        </w:rPr>
        <w:t xml:space="preserve"> ALK inhibitor for metastatic disease</w:t>
      </w:r>
      <w:r>
        <w:rPr>
          <w:rFonts w:cs="Arial"/>
          <w:sz w:val="16"/>
          <w:szCs w:val="16"/>
        </w:rPr>
        <w:t>;</w:t>
      </w:r>
      <w:r w:rsidRPr="00DB7F6D">
        <w:rPr>
          <w:rFonts w:cs="Arial"/>
          <w:sz w:val="16"/>
          <w:szCs w:val="16"/>
        </w:rPr>
        <w:t xml:space="preserve"> </w:t>
      </w:r>
      <w:r>
        <w:rPr>
          <w:rFonts w:cs="Arial"/>
          <w:sz w:val="16"/>
          <w:szCs w:val="16"/>
        </w:rPr>
        <w:t xml:space="preserve">or </w:t>
      </w:r>
    </w:p>
    <w:p w:rsidR="008857F5" w:rsidRDefault="008857F5" w:rsidP="002712C4">
      <w:pPr>
        <w:numPr>
          <w:ilvl w:val="0"/>
          <w:numId w:val="67"/>
        </w:numPr>
        <w:tabs>
          <w:tab w:val="left" w:pos="284"/>
        </w:tabs>
        <w:ind w:left="284" w:hanging="284"/>
        <w:rPr>
          <w:rFonts w:cs="Arial"/>
          <w:sz w:val="16"/>
          <w:szCs w:val="16"/>
        </w:rPr>
      </w:pPr>
      <w:r w:rsidRPr="00DB7F6D">
        <w:rPr>
          <w:rFonts w:cs="Arial"/>
          <w:sz w:val="16"/>
          <w:szCs w:val="16"/>
        </w:rPr>
        <w:t>alectinib</w:t>
      </w:r>
      <w:r>
        <w:rPr>
          <w:rFonts w:cs="Arial"/>
          <w:sz w:val="16"/>
          <w:szCs w:val="16"/>
        </w:rPr>
        <w:t xml:space="preserve"> as the first ALK inhibitor therapy for metastatic disease;</w:t>
      </w:r>
      <w:r w:rsidRPr="00DB7F6D">
        <w:rPr>
          <w:rFonts w:cs="Arial"/>
          <w:sz w:val="16"/>
          <w:szCs w:val="16"/>
        </w:rPr>
        <w:t xml:space="preserve"> or </w:t>
      </w:r>
    </w:p>
    <w:p w:rsidR="008857F5" w:rsidRDefault="008857F5" w:rsidP="002712C4">
      <w:pPr>
        <w:numPr>
          <w:ilvl w:val="0"/>
          <w:numId w:val="67"/>
        </w:numPr>
        <w:tabs>
          <w:tab w:val="left" w:pos="284"/>
        </w:tabs>
        <w:ind w:left="284" w:hanging="284"/>
        <w:rPr>
          <w:rFonts w:cs="Arial"/>
          <w:sz w:val="16"/>
          <w:szCs w:val="16"/>
        </w:rPr>
      </w:pPr>
      <w:r w:rsidRPr="00DB7F6D">
        <w:rPr>
          <w:rFonts w:cs="Arial"/>
          <w:sz w:val="16"/>
          <w:szCs w:val="16"/>
        </w:rPr>
        <w:t xml:space="preserve">ceritinib as the first ALK inhibitor therapy </w:t>
      </w:r>
      <w:r w:rsidRPr="006C0790">
        <w:rPr>
          <w:rFonts w:cs="Arial"/>
          <w:sz w:val="16"/>
          <w:szCs w:val="16"/>
        </w:rPr>
        <w:t>for metastatic disease</w:t>
      </w:r>
      <w:r>
        <w:rPr>
          <w:rFonts w:cs="Arial"/>
          <w:sz w:val="16"/>
          <w:szCs w:val="16"/>
        </w:rPr>
        <w:t>.</w:t>
      </w:r>
    </w:p>
    <w:p w:rsidR="00380B13" w:rsidRDefault="00380B13" w:rsidP="00C32129">
      <w:pPr>
        <w:rPr>
          <w:rFonts w:cs="Arial"/>
          <w:sz w:val="16"/>
          <w:szCs w:val="16"/>
        </w:rPr>
      </w:pPr>
      <w:r>
        <w:rPr>
          <w:rFonts w:cs="Arial"/>
          <w:sz w:val="16"/>
          <w:szCs w:val="16"/>
        </w:rPr>
        <w:t xml:space="preserve"> </w:t>
      </w:r>
    </w:p>
    <w:p w:rsidR="008F406B" w:rsidRDefault="005637FA" w:rsidP="008F406B">
      <w:pPr>
        <w:rPr>
          <w:rFonts w:cs="Arial"/>
          <w:sz w:val="16"/>
          <w:szCs w:val="16"/>
        </w:rPr>
      </w:pPr>
      <w:r>
        <w:rPr>
          <w:rFonts w:cs="Arial"/>
          <w:sz w:val="16"/>
          <w:szCs w:val="16"/>
        </w:rPr>
        <w:t xml:space="preserve">This indication is approved under accelerated approval based on tumor response rate and duration of response. Continued approval for this indication may be contingent upon verification and description of clinical benefit in a confirmatory trial. </w:t>
      </w:r>
      <w:r w:rsidR="008F406B">
        <w:rPr>
          <w:rFonts w:cs="Arial"/>
          <w:sz w:val="16"/>
          <w:szCs w:val="16"/>
        </w:rPr>
        <w:t>(1)</w:t>
      </w:r>
    </w:p>
    <w:p w:rsidR="005637FA" w:rsidRPr="00BA102E" w:rsidRDefault="005637FA" w:rsidP="008F406B">
      <w:pPr>
        <w:rPr>
          <w:rFonts w:cs="Arial"/>
          <w:sz w:val="16"/>
          <w:szCs w:val="16"/>
        </w:rPr>
      </w:pPr>
    </w:p>
    <w:p w:rsidR="005637FA" w:rsidRPr="001C6A53" w:rsidRDefault="005637FA" w:rsidP="005637FA">
      <w:pPr>
        <w:pStyle w:val="USPIHPIHeading"/>
      </w:pPr>
      <w:r>
        <w:tab/>
      </w:r>
      <w:r w:rsidRPr="001C6A53">
        <w:t>DOSAGE AND ADMINISTRATION</w:t>
      </w:r>
      <w:r>
        <w:tab/>
      </w:r>
    </w:p>
    <w:p w:rsidR="005637FA" w:rsidRPr="00BA102E" w:rsidRDefault="00EC0517" w:rsidP="005637FA">
      <w:pPr>
        <w:rPr>
          <w:rFonts w:eastAsia="Arial" w:cs="Arial"/>
          <w:sz w:val="16"/>
          <w:szCs w:val="16"/>
        </w:rPr>
      </w:pPr>
      <w:r>
        <w:rPr>
          <w:rFonts w:eastAsia="Arial" w:cs="Arial"/>
          <w:sz w:val="16"/>
          <w:szCs w:val="16"/>
        </w:rPr>
        <w:t xml:space="preserve">The recommended dosage is </w:t>
      </w:r>
      <w:r w:rsidR="005637FA">
        <w:rPr>
          <w:rFonts w:eastAsia="Arial" w:cs="Arial"/>
          <w:sz w:val="16"/>
          <w:szCs w:val="16"/>
        </w:rPr>
        <w:t>100 mg orally once daily</w:t>
      </w:r>
      <w:r>
        <w:rPr>
          <w:rFonts w:eastAsia="Arial" w:cs="Arial"/>
          <w:sz w:val="16"/>
          <w:szCs w:val="16"/>
        </w:rPr>
        <w:t>.</w:t>
      </w:r>
      <w:r w:rsidR="005637FA">
        <w:rPr>
          <w:rFonts w:eastAsia="Arial" w:cs="Arial"/>
          <w:sz w:val="16"/>
          <w:szCs w:val="16"/>
        </w:rPr>
        <w:t xml:space="preserve"> (2.1)</w:t>
      </w:r>
    </w:p>
    <w:p w:rsidR="005637FA" w:rsidRPr="00BA102E" w:rsidRDefault="005637FA" w:rsidP="005637FA">
      <w:pPr>
        <w:jc w:val="both"/>
        <w:rPr>
          <w:rFonts w:eastAsia="Arial" w:cs="Arial"/>
          <w:sz w:val="16"/>
          <w:szCs w:val="16"/>
        </w:rPr>
      </w:pPr>
    </w:p>
    <w:p w:rsidR="005637FA" w:rsidRPr="005C47A9" w:rsidRDefault="00F424C7" w:rsidP="005C47A9">
      <w:pPr>
        <w:pStyle w:val="USPIHPIHeading"/>
      </w:pPr>
      <w:r>
        <w:tab/>
      </w:r>
      <w:r w:rsidR="005637FA" w:rsidRPr="005C47A9">
        <w:t>DOSAGE FORMS AND STRENGTHS</w:t>
      </w:r>
      <w:r>
        <w:tab/>
      </w:r>
    </w:p>
    <w:p w:rsidR="005637FA" w:rsidRPr="00BA102E" w:rsidRDefault="005637FA" w:rsidP="005637FA">
      <w:pPr>
        <w:jc w:val="both"/>
      </w:pPr>
      <w:r w:rsidRPr="0094479D">
        <w:rPr>
          <w:sz w:val="16"/>
          <w:szCs w:val="16"/>
        </w:rPr>
        <w:t xml:space="preserve">Tablets: 25 mg </w:t>
      </w:r>
      <w:r w:rsidR="0099378E">
        <w:rPr>
          <w:sz w:val="16"/>
          <w:szCs w:val="16"/>
        </w:rPr>
        <w:t>or</w:t>
      </w:r>
      <w:r w:rsidR="0099378E" w:rsidRPr="0094479D">
        <w:rPr>
          <w:sz w:val="16"/>
          <w:szCs w:val="16"/>
        </w:rPr>
        <w:t xml:space="preserve"> </w:t>
      </w:r>
      <w:r w:rsidRPr="0094479D">
        <w:rPr>
          <w:sz w:val="16"/>
          <w:szCs w:val="16"/>
        </w:rPr>
        <w:t>100 mg</w:t>
      </w:r>
      <w:r w:rsidR="0043755E">
        <w:rPr>
          <w:sz w:val="16"/>
          <w:szCs w:val="16"/>
        </w:rPr>
        <w:t>.</w:t>
      </w:r>
      <w:r w:rsidRPr="0094479D">
        <w:rPr>
          <w:sz w:val="16"/>
          <w:szCs w:val="16"/>
        </w:rPr>
        <w:t xml:space="preserve"> (3)</w:t>
      </w:r>
    </w:p>
    <w:p w:rsidR="005637FA" w:rsidRPr="00BA102E" w:rsidRDefault="005637FA" w:rsidP="005637FA">
      <w:pPr>
        <w:rPr>
          <w:sz w:val="16"/>
          <w:szCs w:val="16"/>
        </w:rPr>
      </w:pPr>
    </w:p>
    <w:p w:rsidR="005637FA" w:rsidRPr="001C6A53" w:rsidRDefault="005637FA" w:rsidP="005637FA">
      <w:pPr>
        <w:pStyle w:val="USPIHPIHeading"/>
      </w:pPr>
      <w:r>
        <w:tab/>
      </w:r>
      <w:r w:rsidRPr="001C6A53">
        <w:t>CONTRAINDICATIONS</w:t>
      </w:r>
      <w:r>
        <w:tab/>
      </w:r>
    </w:p>
    <w:p w:rsidR="005637FA" w:rsidRPr="00BA102E" w:rsidRDefault="0099378E" w:rsidP="005637FA">
      <w:pPr>
        <w:rPr>
          <w:sz w:val="16"/>
          <w:szCs w:val="16"/>
        </w:rPr>
      </w:pPr>
      <w:r>
        <w:rPr>
          <w:sz w:val="16"/>
          <w:szCs w:val="16"/>
        </w:rPr>
        <w:t xml:space="preserve">Concomitant </w:t>
      </w:r>
      <w:r w:rsidR="005637FA">
        <w:rPr>
          <w:sz w:val="16"/>
          <w:szCs w:val="16"/>
        </w:rPr>
        <w:t>use with strong CYP3A inducers. (4)</w:t>
      </w:r>
    </w:p>
    <w:p w:rsidR="005637FA" w:rsidRPr="00BA102E" w:rsidRDefault="005637FA" w:rsidP="005637FA">
      <w:pPr>
        <w:pStyle w:val="Heading1"/>
        <w:jc w:val="left"/>
        <w:rPr>
          <w:szCs w:val="16"/>
        </w:rPr>
      </w:pPr>
    </w:p>
    <w:p w:rsidR="005637FA" w:rsidRPr="001C6A53" w:rsidRDefault="005637FA" w:rsidP="005637FA">
      <w:pPr>
        <w:pStyle w:val="USPIHPIHeading"/>
      </w:pPr>
      <w:r>
        <w:tab/>
      </w:r>
      <w:r w:rsidRPr="001C6A53">
        <w:t>WARNINGS AND PRECAUTIONS</w:t>
      </w:r>
      <w:r>
        <w:tab/>
      </w:r>
      <w:r w:rsidRPr="001C6A53">
        <w:t>-</w:t>
      </w:r>
    </w:p>
    <w:p w:rsidR="005637FA" w:rsidRDefault="005637FA" w:rsidP="005637FA">
      <w:pPr>
        <w:numPr>
          <w:ilvl w:val="0"/>
          <w:numId w:val="4"/>
        </w:numPr>
        <w:tabs>
          <w:tab w:val="clear" w:pos="720"/>
          <w:tab w:val="num" w:pos="270"/>
        </w:tabs>
        <w:ind w:left="270" w:hanging="270"/>
        <w:rPr>
          <w:rFonts w:eastAsia="Arial" w:cs="Arial"/>
          <w:sz w:val="16"/>
          <w:szCs w:val="16"/>
        </w:rPr>
      </w:pPr>
      <w:r>
        <w:rPr>
          <w:rFonts w:eastAsia="Arial" w:cs="Arial"/>
          <w:sz w:val="16"/>
          <w:szCs w:val="16"/>
        </w:rPr>
        <w:t xml:space="preserve">Risk of </w:t>
      </w:r>
      <w:r w:rsidR="008F406B">
        <w:rPr>
          <w:rFonts w:eastAsia="Arial" w:cs="Arial"/>
          <w:sz w:val="16"/>
          <w:szCs w:val="16"/>
        </w:rPr>
        <w:t xml:space="preserve">Serious </w:t>
      </w:r>
      <w:r>
        <w:rPr>
          <w:rFonts w:eastAsia="Arial" w:cs="Arial"/>
          <w:sz w:val="16"/>
          <w:szCs w:val="16"/>
        </w:rPr>
        <w:t xml:space="preserve">Hepatotoxicity with Concomitant Use of Strong CYP3A Inducers: </w:t>
      </w:r>
      <w:r w:rsidRPr="000B54B5">
        <w:rPr>
          <w:rFonts w:eastAsia="Arial" w:cs="Arial"/>
          <w:sz w:val="16"/>
          <w:szCs w:val="16"/>
        </w:rPr>
        <w:t xml:space="preserve">Discontinue strong CYP3A inducers </w:t>
      </w:r>
      <w:r w:rsidR="008F406B" w:rsidRPr="000B54B5">
        <w:rPr>
          <w:rFonts w:eastAsia="Arial" w:cs="Arial"/>
          <w:sz w:val="16"/>
          <w:szCs w:val="16"/>
        </w:rPr>
        <w:t xml:space="preserve">for </w:t>
      </w:r>
      <w:r w:rsidRPr="000B54B5">
        <w:rPr>
          <w:rFonts w:eastAsia="Arial" w:cs="Arial"/>
          <w:sz w:val="16"/>
          <w:szCs w:val="16"/>
        </w:rPr>
        <w:t>3 plasma half-liv</w:t>
      </w:r>
      <w:r>
        <w:rPr>
          <w:rFonts w:eastAsia="Arial" w:cs="Arial"/>
          <w:sz w:val="16"/>
          <w:szCs w:val="16"/>
        </w:rPr>
        <w:t xml:space="preserve">es of the strong CYP3A inducer </w:t>
      </w:r>
      <w:r w:rsidRPr="000B54B5">
        <w:rPr>
          <w:rFonts w:eastAsia="Arial" w:cs="Arial"/>
          <w:sz w:val="16"/>
          <w:szCs w:val="16"/>
        </w:rPr>
        <w:t>prior to initiating LORBRENA.</w:t>
      </w:r>
      <w:r>
        <w:rPr>
          <w:rFonts w:eastAsia="Arial" w:cs="Arial"/>
          <w:sz w:val="16"/>
          <w:szCs w:val="16"/>
        </w:rPr>
        <w:t xml:space="preserve"> (2.3, 5.1)</w:t>
      </w:r>
    </w:p>
    <w:p w:rsidR="004A1D09" w:rsidRDefault="004A1D09" w:rsidP="004A1D09">
      <w:pPr>
        <w:numPr>
          <w:ilvl w:val="0"/>
          <w:numId w:val="4"/>
        </w:numPr>
        <w:tabs>
          <w:tab w:val="clear" w:pos="720"/>
          <w:tab w:val="num" w:pos="270"/>
        </w:tabs>
        <w:ind w:left="270" w:hanging="270"/>
        <w:rPr>
          <w:rFonts w:eastAsia="Arial" w:cs="Arial"/>
          <w:sz w:val="16"/>
          <w:szCs w:val="16"/>
        </w:rPr>
      </w:pPr>
      <w:r>
        <w:rPr>
          <w:rFonts w:eastAsia="Arial" w:cs="Arial"/>
          <w:sz w:val="16"/>
          <w:szCs w:val="16"/>
        </w:rPr>
        <w:t>Central Nervous System (CNS) Effects: CNS effects</w:t>
      </w:r>
      <w:r w:rsidRPr="00A03007">
        <w:rPr>
          <w:rFonts w:eastAsia="Arial" w:cs="Arial"/>
          <w:sz w:val="16"/>
          <w:szCs w:val="16"/>
        </w:rPr>
        <w:t xml:space="preserve"> includ</w:t>
      </w:r>
      <w:r>
        <w:rPr>
          <w:rFonts w:eastAsia="Arial" w:cs="Arial"/>
          <w:sz w:val="16"/>
          <w:szCs w:val="16"/>
        </w:rPr>
        <w:t>e seizures, hallucinations and</w:t>
      </w:r>
      <w:r w:rsidRPr="00A03007">
        <w:rPr>
          <w:rFonts w:eastAsia="Arial" w:cs="Arial"/>
          <w:sz w:val="16"/>
          <w:szCs w:val="16"/>
        </w:rPr>
        <w:t xml:space="preserve"> changes in cognitive function, mood</w:t>
      </w:r>
      <w:r>
        <w:rPr>
          <w:rFonts w:eastAsia="Arial" w:cs="Arial"/>
          <w:sz w:val="16"/>
          <w:szCs w:val="16"/>
        </w:rPr>
        <w:t xml:space="preserve"> (including suicidal ideation)</w:t>
      </w:r>
      <w:r w:rsidRPr="00A03007">
        <w:rPr>
          <w:rFonts w:eastAsia="Arial" w:cs="Arial"/>
          <w:sz w:val="16"/>
          <w:szCs w:val="16"/>
        </w:rPr>
        <w:t xml:space="preserve">, speech, mental status, </w:t>
      </w:r>
      <w:r>
        <w:rPr>
          <w:rFonts w:eastAsia="Arial" w:cs="Arial"/>
          <w:sz w:val="16"/>
          <w:szCs w:val="16"/>
        </w:rPr>
        <w:t xml:space="preserve">and sleep. Withhold and resume LORBRENA at same or </w:t>
      </w:r>
      <w:r w:rsidRPr="00957492">
        <w:rPr>
          <w:rFonts w:eastAsia="Arial" w:cs="Arial"/>
          <w:sz w:val="16"/>
          <w:szCs w:val="16"/>
        </w:rPr>
        <w:t>reduce</w:t>
      </w:r>
      <w:r>
        <w:rPr>
          <w:rFonts w:eastAsia="Arial" w:cs="Arial"/>
          <w:sz w:val="16"/>
          <w:szCs w:val="16"/>
        </w:rPr>
        <w:t>d</w:t>
      </w:r>
      <w:r w:rsidRPr="00957492">
        <w:rPr>
          <w:rFonts w:eastAsia="Arial" w:cs="Arial"/>
          <w:sz w:val="16"/>
          <w:szCs w:val="16"/>
        </w:rPr>
        <w:t xml:space="preserve"> dose</w:t>
      </w:r>
      <w:r>
        <w:rPr>
          <w:rFonts w:eastAsia="Arial" w:cs="Arial"/>
          <w:sz w:val="16"/>
          <w:szCs w:val="16"/>
        </w:rPr>
        <w:t xml:space="preserve"> </w:t>
      </w:r>
      <w:r w:rsidRPr="00957492">
        <w:rPr>
          <w:rFonts w:eastAsia="Arial" w:cs="Arial"/>
          <w:sz w:val="16"/>
          <w:szCs w:val="16"/>
        </w:rPr>
        <w:t>or permanently discontinue LORBRENA based on severity</w:t>
      </w:r>
      <w:r>
        <w:rPr>
          <w:rFonts w:eastAsia="Arial" w:cs="Arial"/>
          <w:sz w:val="16"/>
          <w:szCs w:val="16"/>
        </w:rPr>
        <w:t>.</w:t>
      </w:r>
      <w:r w:rsidRPr="0000529E">
        <w:rPr>
          <w:rFonts w:eastAsia="Arial" w:cs="Arial"/>
          <w:sz w:val="16"/>
          <w:szCs w:val="16"/>
        </w:rPr>
        <w:t xml:space="preserve"> </w:t>
      </w:r>
      <w:r>
        <w:rPr>
          <w:rFonts w:eastAsia="Arial" w:cs="Arial"/>
          <w:sz w:val="16"/>
          <w:szCs w:val="16"/>
        </w:rPr>
        <w:t>(2.2, 5.2)</w:t>
      </w:r>
    </w:p>
    <w:p w:rsidR="005637FA" w:rsidRDefault="004A1D09" w:rsidP="004A1D09">
      <w:pPr>
        <w:numPr>
          <w:ilvl w:val="0"/>
          <w:numId w:val="4"/>
        </w:numPr>
        <w:tabs>
          <w:tab w:val="clear" w:pos="720"/>
          <w:tab w:val="num" w:pos="270"/>
        </w:tabs>
        <w:ind w:left="270" w:hanging="270"/>
        <w:rPr>
          <w:rFonts w:eastAsia="Arial" w:cs="Arial"/>
          <w:sz w:val="16"/>
          <w:szCs w:val="16"/>
        </w:rPr>
      </w:pPr>
      <w:r>
        <w:rPr>
          <w:rFonts w:eastAsia="Arial" w:cs="Arial"/>
          <w:sz w:val="16"/>
          <w:szCs w:val="16"/>
        </w:rPr>
        <w:t>Hyperlipidemia: Initiate or increase the dose of lipid-lowering agents. Withhold and resume LORBRENA at same or reduced dose based on severity. (2.2, 5.3)</w:t>
      </w:r>
    </w:p>
    <w:p w:rsidR="005637FA" w:rsidRDefault="005637FA" w:rsidP="005637FA">
      <w:pPr>
        <w:keepNext/>
        <w:numPr>
          <w:ilvl w:val="0"/>
          <w:numId w:val="4"/>
        </w:numPr>
        <w:tabs>
          <w:tab w:val="clear" w:pos="720"/>
        </w:tabs>
        <w:ind w:left="245" w:hanging="245"/>
        <w:rPr>
          <w:rFonts w:eastAsia="Arial" w:cs="Arial"/>
          <w:sz w:val="16"/>
          <w:szCs w:val="16"/>
        </w:rPr>
      </w:pPr>
      <w:r>
        <w:rPr>
          <w:rFonts w:eastAsia="Arial" w:cs="Arial"/>
          <w:sz w:val="16"/>
          <w:szCs w:val="16"/>
        </w:rPr>
        <w:t xml:space="preserve">Atrioventricular Block: </w:t>
      </w:r>
      <w:r w:rsidR="008F406B">
        <w:rPr>
          <w:rFonts w:eastAsia="Arial" w:cs="Arial"/>
          <w:sz w:val="16"/>
          <w:szCs w:val="16"/>
        </w:rPr>
        <w:t xml:space="preserve">Withhold and resume </w:t>
      </w:r>
      <w:r w:rsidR="008F406B" w:rsidRPr="00E62463">
        <w:rPr>
          <w:rFonts w:eastAsia="Arial" w:cs="Arial"/>
          <w:sz w:val="16"/>
          <w:szCs w:val="16"/>
        </w:rPr>
        <w:t xml:space="preserve">LORBRENA </w:t>
      </w:r>
      <w:r w:rsidR="008F406B">
        <w:rPr>
          <w:rFonts w:eastAsia="Arial" w:cs="Arial"/>
          <w:sz w:val="16"/>
          <w:szCs w:val="16"/>
        </w:rPr>
        <w:t>at same or reduce</w:t>
      </w:r>
      <w:r w:rsidR="00BE4FC2">
        <w:rPr>
          <w:rFonts w:eastAsia="Arial" w:cs="Arial"/>
          <w:sz w:val="16"/>
          <w:szCs w:val="16"/>
        </w:rPr>
        <w:t>d</w:t>
      </w:r>
      <w:r w:rsidR="008F406B">
        <w:rPr>
          <w:rFonts w:eastAsia="Arial" w:cs="Arial"/>
          <w:sz w:val="16"/>
          <w:szCs w:val="16"/>
        </w:rPr>
        <w:t xml:space="preserve"> dose based on severity</w:t>
      </w:r>
      <w:r>
        <w:rPr>
          <w:rFonts w:eastAsia="Arial" w:cs="Arial"/>
          <w:sz w:val="16"/>
          <w:szCs w:val="16"/>
        </w:rPr>
        <w:t>. (2.2, 5.4)</w:t>
      </w:r>
    </w:p>
    <w:p w:rsidR="005637FA" w:rsidRDefault="004A1D09" w:rsidP="0036096D">
      <w:pPr>
        <w:keepNext/>
        <w:numPr>
          <w:ilvl w:val="0"/>
          <w:numId w:val="4"/>
        </w:numPr>
        <w:tabs>
          <w:tab w:val="clear" w:pos="720"/>
          <w:tab w:val="num" w:pos="270"/>
        </w:tabs>
        <w:ind w:left="270" w:hanging="270"/>
        <w:rPr>
          <w:rFonts w:eastAsia="Arial" w:cs="Arial"/>
          <w:sz w:val="16"/>
          <w:szCs w:val="16"/>
        </w:rPr>
      </w:pPr>
      <w:r>
        <w:rPr>
          <w:rFonts w:eastAsia="Arial" w:cs="Arial"/>
          <w:sz w:val="16"/>
          <w:szCs w:val="16"/>
        </w:rPr>
        <w:t xml:space="preserve">Interstitial Lung Disease/Pneumonitis: </w:t>
      </w:r>
      <w:r w:rsidRPr="00E53CE2">
        <w:rPr>
          <w:rFonts w:eastAsia="Arial" w:cs="Arial"/>
          <w:sz w:val="16"/>
          <w:szCs w:val="16"/>
        </w:rPr>
        <w:t xml:space="preserve">Immediately withhold </w:t>
      </w:r>
      <w:r>
        <w:rPr>
          <w:rFonts w:eastAsia="Arial" w:cs="Arial"/>
          <w:sz w:val="16"/>
          <w:szCs w:val="16"/>
        </w:rPr>
        <w:t>LORBRENA</w:t>
      </w:r>
      <w:r w:rsidRPr="00E53CE2">
        <w:rPr>
          <w:rFonts w:eastAsia="Arial" w:cs="Arial"/>
          <w:sz w:val="16"/>
          <w:szCs w:val="16"/>
        </w:rPr>
        <w:t xml:space="preserve"> in patients with </w:t>
      </w:r>
      <w:r>
        <w:rPr>
          <w:rFonts w:eastAsia="Arial" w:cs="Arial"/>
          <w:sz w:val="16"/>
          <w:szCs w:val="16"/>
        </w:rPr>
        <w:t xml:space="preserve">suspected </w:t>
      </w:r>
      <w:r w:rsidRPr="00E53CE2">
        <w:rPr>
          <w:rFonts w:eastAsia="Arial" w:cs="Arial"/>
          <w:sz w:val="16"/>
          <w:szCs w:val="16"/>
        </w:rPr>
        <w:t>ILD/pneumonitis</w:t>
      </w:r>
      <w:r>
        <w:rPr>
          <w:rFonts w:eastAsia="Arial" w:cs="Arial"/>
          <w:sz w:val="16"/>
          <w:szCs w:val="16"/>
        </w:rPr>
        <w:t>. P</w:t>
      </w:r>
      <w:r w:rsidRPr="00385196">
        <w:rPr>
          <w:rFonts w:eastAsia="Arial" w:cs="Arial"/>
          <w:sz w:val="16"/>
          <w:szCs w:val="16"/>
        </w:rPr>
        <w:t xml:space="preserve">ermanently discontinue LORBRENA </w:t>
      </w:r>
      <w:r>
        <w:rPr>
          <w:rFonts w:eastAsia="Arial" w:cs="Arial"/>
          <w:sz w:val="16"/>
          <w:szCs w:val="16"/>
        </w:rPr>
        <w:t>for treatment-related ILD/pneumonitis of any severity. (2.2, 5.5)</w:t>
      </w:r>
    </w:p>
    <w:p w:rsidR="005637FA" w:rsidRPr="005C47A9" w:rsidRDefault="005637FA" w:rsidP="004F251C">
      <w:pPr>
        <w:numPr>
          <w:ilvl w:val="0"/>
          <w:numId w:val="4"/>
        </w:numPr>
        <w:tabs>
          <w:tab w:val="clear" w:pos="720"/>
          <w:tab w:val="num" w:pos="270"/>
        </w:tabs>
        <w:ind w:left="270" w:hanging="270"/>
        <w:rPr>
          <w:sz w:val="16"/>
          <w:szCs w:val="16"/>
        </w:rPr>
      </w:pPr>
      <w:r>
        <w:rPr>
          <w:rFonts w:eastAsia="Arial" w:cs="Arial"/>
          <w:sz w:val="16"/>
          <w:szCs w:val="16"/>
        </w:rPr>
        <w:t xml:space="preserve">Embryo-Fetal Toxicity: </w:t>
      </w:r>
      <w:r w:rsidRPr="00C369B7">
        <w:rPr>
          <w:rFonts w:eastAsia="Arial" w:cs="Arial"/>
          <w:sz w:val="16"/>
          <w:szCs w:val="16"/>
        </w:rPr>
        <w:t>Can cause fetal harm. Advise females of reproductive potential of the potential risk to a fetus</w:t>
      </w:r>
      <w:r w:rsidR="00BE4FC2">
        <w:rPr>
          <w:rFonts w:eastAsia="Arial" w:cs="Arial"/>
          <w:sz w:val="16"/>
          <w:szCs w:val="16"/>
        </w:rPr>
        <w:t>. Advise males</w:t>
      </w:r>
      <w:r w:rsidRPr="00C369B7">
        <w:rPr>
          <w:rFonts w:eastAsia="Arial" w:cs="Arial"/>
          <w:sz w:val="16"/>
          <w:szCs w:val="16"/>
        </w:rPr>
        <w:t xml:space="preserve"> and</w:t>
      </w:r>
      <w:r w:rsidR="00BE4FC2">
        <w:rPr>
          <w:rFonts w:eastAsia="Arial" w:cs="Arial"/>
          <w:sz w:val="16"/>
          <w:szCs w:val="16"/>
        </w:rPr>
        <w:t xml:space="preserve"> females of reproductive potential</w:t>
      </w:r>
      <w:r w:rsidRPr="00C369B7">
        <w:rPr>
          <w:rFonts w:eastAsia="Arial" w:cs="Arial"/>
          <w:sz w:val="16"/>
          <w:szCs w:val="16"/>
        </w:rPr>
        <w:t xml:space="preserve"> </w:t>
      </w:r>
      <w:r>
        <w:rPr>
          <w:rFonts w:eastAsia="Arial" w:cs="Arial"/>
          <w:sz w:val="16"/>
          <w:szCs w:val="16"/>
        </w:rPr>
        <w:t>to use an effective non-hormonal method of contraception. (5.6, 7.2, 8.1, 8.3)</w:t>
      </w:r>
    </w:p>
    <w:p w:rsidR="00F424C7" w:rsidRPr="00BA102E" w:rsidRDefault="00F424C7" w:rsidP="005C47A9">
      <w:pPr>
        <w:ind w:left="270"/>
        <w:jc w:val="both"/>
        <w:rPr>
          <w:sz w:val="16"/>
          <w:szCs w:val="16"/>
        </w:rPr>
      </w:pPr>
    </w:p>
    <w:p w:rsidR="005637FA" w:rsidRPr="001C6A53" w:rsidRDefault="005637FA" w:rsidP="005637FA">
      <w:pPr>
        <w:pStyle w:val="USPIHPIHeading"/>
      </w:pPr>
      <w:r>
        <w:tab/>
      </w:r>
      <w:r w:rsidRPr="001C6A53">
        <w:t>ADVERSE REACTIONS</w:t>
      </w:r>
      <w:r>
        <w:tab/>
      </w:r>
    </w:p>
    <w:p w:rsidR="005637FA" w:rsidRPr="00BA102E" w:rsidRDefault="005637FA" w:rsidP="005637FA">
      <w:pPr>
        <w:rPr>
          <w:sz w:val="16"/>
          <w:szCs w:val="16"/>
        </w:rPr>
      </w:pPr>
      <w:r w:rsidRPr="00BA102E">
        <w:rPr>
          <w:sz w:val="16"/>
          <w:szCs w:val="16"/>
        </w:rPr>
        <w:t xml:space="preserve">Most common adverse reactions (incidence </w:t>
      </w:r>
      <w:r>
        <w:rPr>
          <w:sz w:val="16"/>
          <w:szCs w:val="16"/>
        </w:rPr>
        <w:t>≥20</w:t>
      </w:r>
      <w:r w:rsidRPr="00BA102E">
        <w:rPr>
          <w:sz w:val="16"/>
          <w:szCs w:val="16"/>
        </w:rPr>
        <w:t xml:space="preserve">%) are </w:t>
      </w:r>
      <w:r w:rsidRPr="00DE762D">
        <w:rPr>
          <w:sz w:val="16"/>
          <w:szCs w:val="16"/>
        </w:rPr>
        <w:t>edema, peripheral neuropathy</w:t>
      </w:r>
      <w:r w:rsidR="003740A7" w:rsidRPr="00DE762D">
        <w:rPr>
          <w:sz w:val="16"/>
          <w:szCs w:val="16"/>
        </w:rPr>
        <w:t xml:space="preserve">, </w:t>
      </w:r>
      <w:r w:rsidR="003740A7">
        <w:rPr>
          <w:sz w:val="16"/>
          <w:szCs w:val="16"/>
        </w:rPr>
        <w:t xml:space="preserve">cognitive effects, dyspnea, fatigue, weight gain, arthralgia, </w:t>
      </w:r>
      <w:r w:rsidR="003740A7" w:rsidRPr="00DE762D">
        <w:rPr>
          <w:sz w:val="16"/>
          <w:szCs w:val="16"/>
        </w:rPr>
        <w:t xml:space="preserve">mood </w:t>
      </w:r>
      <w:r w:rsidR="003740A7">
        <w:rPr>
          <w:sz w:val="16"/>
          <w:szCs w:val="16"/>
        </w:rPr>
        <w:t>effects</w:t>
      </w:r>
      <w:r w:rsidR="003740A7" w:rsidRPr="00DE762D">
        <w:rPr>
          <w:sz w:val="16"/>
          <w:szCs w:val="16"/>
        </w:rPr>
        <w:t xml:space="preserve">, </w:t>
      </w:r>
      <w:r w:rsidR="003740A7">
        <w:rPr>
          <w:sz w:val="16"/>
          <w:szCs w:val="16"/>
        </w:rPr>
        <w:t>and diarrhea</w:t>
      </w:r>
      <w:r w:rsidRPr="00BA102E">
        <w:rPr>
          <w:sz w:val="16"/>
          <w:szCs w:val="16"/>
        </w:rPr>
        <w:t>.</w:t>
      </w:r>
      <w:r>
        <w:rPr>
          <w:sz w:val="16"/>
          <w:szCs w:val="16"/>
        </w:rPr>
        <w:t xml:space="preserve"> (6.1)</w:t>
      </w:r>
    </w:p>
    <w:p w:rsidR="005637FA" w:rsidRPr="00BA102E" w:rsidRDefault="005637FA" w:rsidP="005637FA">
      <w:pPr>
        <w:rPr>
          <w:sz w:val="16"/>
          <w:szCs w:val="16"/>
        </w:rPr>
      </w:pPr>
    </w:p>
    <w:p w:rsidR="005637FA" w:rsidRPr="00BA102E" w:rsidRDefault="005637FA" w:rsidP="005637FA">
      <w:pPr>
        <w:pStyle w:val="BodyText2"/>
        <w:rPr>
          <w:b/>
          <w:szCs w:val="16"/>
        </w:rPr>
      </w:pPr>
      <w:r w:rsidRPr="00BA102E">
        <w:rPr>
          <w:b/>
          <w:szCs w:val="16"/>
        </w:rPr>
        <w:t xml:space="preserve">To report SUSPECTED ADVERSE REACTIONS, contact Pfizer, </w:t>
      </w:r>
      <w:r w:rsidRPr="00BA102E">
        <w:rPr>
          <w:b/>
          <w:bCs/>
          <w:szCs w:val="16"/>
          <w:lang w:eastAsia="ja-JP" w:bidi="ml-IN"/>
        </w:rPr>
        <w:t>Inc. at 1-800-438-1985</w:t>
      </w:r>
      <w:r w:rsidRPr="00BA102E">
        <w:rPr>
          <w:b/>
          <w:szCs w:val="16"/>
        </w:rPr>
        <w:t xml:space="preserve"> </w:t>
      </w:r>
      <w:r>
        <w:rPr>
          <w:b/>
          <w:szCs w:val="16"/>
        </w:rPr>
        <w:t>or</w:t>
      </w:r>
      <w:r w:rsidRPr="00397CB5">
        <w:t xml:space="preserve"> </w:t>
      </w:r>
      <w:hyperlink r:id="rId14" w:history="1">
        <w:r w:rsidRPr="00153C2E">
          <w:rPr>
            <w:rStyle w:val="Hyperlink"/>
            <w:b/>
            <w:szCs w:val="16"/>
            <w:u w:val="none"/>
          </w:rPr>
          <w:t>www.pfizer</w:t>
        </w:r>
        <w:r w:rsidRPr="00153C2E">
          <w:rPr>
            <w:rStyle w:val="Hyperlink"/>
            <w:b/>
            <w:szCs w:val="16"/>
            <w:u w:val="none"/>
          </w:rPr>
          <w:t>.</w:t>
        </w:r>
        <w:r w:rsidRPr="00153C2E">
          <w:rPr>
            <w:rStyle w:val="Hyperlink"/>
            <w:b/>
            <w:szCs w:val="16"/>
            <w:u w:val="none"/>
          </w:rPr>
          <w:t>com</w:t>
        </w:r>
      </w:hyperlink>
      <w:r w:rsidRPr="00397CB5">
        <w:rPr>
          <w:b/>
          <w:szCs w:val="16"/>
        </w:rPr>
        <w:t xml:space="preserve"> </w:t>
      </w:r>
      <w:r w:rsidRPr="00BA102E">
        <w:rPr>
          <w:b/>
          <w:szCs w:val="16"/>
        </w:rPr>
        <w:t xml:space="preserve">or FDA at 1-800-FDA-1088 or </w:t>
      </w:r>
      <w:hyperlink r:id="rId15" w:history="1">
        <w:r w:rsidRPr="00397CB5">
          <w:rPr>
            <w:rStyle w:val="Hyperlink"/>
            <w:b/>
            <w:szCs w:val="16"/>
            <w:u w:val="none"/>
          </w:rPr>
          <w:t>www.fda.gov/medwatch</w:t>
        </w:r>
      </w:hyperlink>
      <w:r w:rsidRPr="00BA102E">
        <w:rPr>
          <w:b/>
          <w:szCs w:val="16"/>
        </w:rPr>
        <w:t>.</w:t>
      </w:r>
    </w:p>
    <w:p w:rsidR="005637FA" w:rsidRPr="00BA102E" w:rsidRDefault="005637FA" w:rsidP="005637FA">
      <w:pPr>
        <w:pStyle w:val="BodyText"/>
        <w:rPr>
          <w:b w:val="0"/>
          <w:bCs/>
          <w:szCs w:val="16"/>
        </w:rPr>
      </w:pPr>
    </w:p>
    <w:p w:rsidR="005637FA" w:rsidRPr="001C6A53" w:rsidRDefault="005637FA" w:rsidP="005637FA">
      <w:pPr>
        <w:pStyle w:val="USPIHPIHeading"/>
      </w:pPr>
      <w:r>
        <w:tab/>
      </w:r>
      <w:r w:rsidRPr="001C6A53">
        <w:t>DRUG INTERACTIONS</w:t>
      </w:r>
      <w:r>
        <w:tab/>
      </w:r>
    </w:p>
    <w:p w:rsidR="005637FA" w:rsidRDefault="005637FA" w:rsidP="005637FA">
      <w:pPr>
        <w:pStyle w:val="BodyText"/>
        <w:numPr>
          <w:ilvl w:val="0"/>
          <w:numId w:val="20"/>
        </w:numPr>
        <w:tabs>
          <w:tab w:val="clear" w:pos="720"/>
          <w:tab w:val="num" w:pos="270"/>
        </w:tabs>
        <w:ind w:left="270" w:hanging="270"/>
        <w:rPr>
          <w:b w:val="0"/>
          <w:bCs/>
          <w:szCs w:val="16"/>
        </w:rPr>
      </w:pPr>
      <w:r>
        <w:rPr>
          <w:b w:val="0"/>
          <w:bCs/>
          <w:szCs w:val="16"/>
        </w:rPr>
        <w:t xml:space="preserve">CYP3A Inducers: </w:t>
      </w:r>
      <w:r w:rsidR="0000261E">
        <w:rPr>
          <w:b w:val="0"/>
          <w:bCs/>
          <w:szCs w:val="16"/>
        </w:rPr>
        <w:t xml:space="preserve">Contraindicated with strong CYP3A inducers. </w:t>
      </w:r>
      <w:r w:rsidR="00EC0517">
        <w:rPr>
          <w:b w:val="0"/>
          <w:bCs/>
          <w:szCs w:val="16"/>
        </w:rPr>
        <w:t>A</w:t>
      </w:r>
      <w:r w:rsidR="00644A74">
        <w:rPr>
          <w:b w:val="0"/>
          <w:bCs/>
          <w:szCs w:val="16"/>
        </w:rPr>
        <w:t xml:space="preserve">void concomitant use with moderate CYP3A inducers. (2.3, </w:t>
      </w:r>
      <w:r>
        <w:rPr>
          <w:b w:val="0"/>
          <w:bCs/>
          <w:szCs w:val="16"/>
        </w:rPr>
        <w:t xml:space="preserve">7.1) </w:t>
      </w:r>
    </w:p>
    <w:p w:rsidR="005637FA" w:rsidRPr="00BA102E" w:rsidRDefault="005637FA" w:rsidP="005637FA">
      <w:pPr>
        <w:pStyle w:val="BodyText"/>
        <w:numPr>
          <w:ilvl w:val="0"/>
          <w:numId w:val="20"/>
        </w:numPr>
        <w:tabs>
          <w:tab w:val="clear" w:pos="720"/>
          <w:tab w:val="num" w:pos="270"/>
        </w:tabs>
        <w:ind w:left="270" w:hanging="270"/>
        <w:rPr>
          <w:b w:val="0"/>
          <w:bCs/>
          <w:szCs w:val="16"/>
        </w:rPr>
      </w:pPr>
      <w:r>
        <w:rPr>
          <w:b w:val="0"/>
          <w:bCs/>
          <w:szCs w:val="16"/>
        </w:rPr>
        <w:t xml:space="preserve">CYP3A Inhibitors: Avoid </w:t>
      </w:r>
      <w:r w:rsidR="00644A74">
        <w:rPr>
          <w:b w:val="0"/>
          <w:bCs/>
          <w:szCs w:val="16"/>
        </w:rPr>
        <w:t xml:space="preserve">concomitant use with strong CYP3A inhibitors; reduce </w:t>
      </w:r>
      <w:r w:rsidR="00CD3A94">
        <w:rPr>
          <w:b w:val="0"/>
          <w:bCs/>
          <w:szCs w:val="16"/>
        </w:rPr>
        <w:t xml:space="preserve">LORBRENA </w:t>
      </w:r>
      <w:r w:rsidR="00644A74">
        <w:rPr>
          <w:b w:val="0"/>
          <w:bCs/>
          <w:szCs w:val="16"/>
        </w:rPr>
        <w:t xml:space="preserve">dose </w:t>
      </w:r>
      <w:r w:rsidR="0099378E">
        <w:rPr>
          <w:b w:val="0"/>
          <w:bCs/>
          <w:szCs w:val="16"/>
        </w:rPr>
        <w:t>if concomitant use cannot be avoided</w:t>
      </w:r>
      <w:r w:rsidR="00644A74">
        <w:rPr>
          <w:b w:val="0"/>
          <w:bCs/>
          <w:szCs w:val="16"/>
        </w:rPr>
        <w:t xml:space="preserve">. (2.4, </w:t>
      </w:r>
      <w:r>
        <w:rPr>
          <w:b w:val="0"/>
          <w:bCs/>
          <w:szCs w:val="16"/>
        </w:rPr>
        <w:t>7.1)</w:t>
      </w:r>
    </w:p>
    <w:p w:rsidR="00912469" w:rsidRDefault="005637FA" w:rsidP="00912469">
      <w:pPr>
        <w:pStyle w:val="BodyText"/>
        <w:numPr>
          <w:ilvl w:val="0"/>
          <w:numId w:val="20"/>
        </w:numPr>
        <w:tabs>
          <w:tab w:val="clear" w:pos="720"/>
          <w:tab w:val="num" w:pos="270"/>
        </w:tabs>
        <w:ind w:left="270" w:hanging="270"/>
        <w:rPr>
          <w:b w:val="0"/>
          <w:bCs/>
          <w:szCs w:val="16"/>
        </w:rPr>
      </w:pPr>
      <w:r w:rsidRPr="00912469">
        <w:rPr>
          <w:b w:val="0"/>
          <w:bCs/>
          <w:szCs w:val="16"/>
        </w:rPr>
        <w:t xml:space="preserve">CYP3A Substrates: </w:t>
      </w:r>
      <w:r w:rsidR="00912469" w:rsidRPr="009D1268">
        <w:rPr>
          <w:b w:val="0"/>
          <w:bCs/>
          <w:szCs w:val="16"/>
        </w:rPr>
        <w:t>Avoid conc</w:t>
      </w:r>
      <w:r w:rsidR="00912469">
        <w:rPr>
          <w:b w:val="0"/>
          <w:bCs/>
          <w:szCs w:val="16"/>
        </w:rPr>
        <w:t xml:space="preserve">omitant </w:t>
      </w:r>
      <w:r w:rsidR="00912469" w:rsidRPr="009D1268">
        <w:rPr>
          <w:b w:val="0"/>
          <w:bCs/>
          <w:szCs w:val="16"/>
        </w:rPr>
        <w:t>use with CYP3A substrates</w:t>
      </w:r>
      <w:r w:rsidR="00912469">
        <w:rPr>
          <w:b w:val="0"/>
          <w:bCs/>
          <w:szCs w:val="16"/>
        </w:rPr>
        <w:t>, where minimal concentration changes</w:t>
      </w:r>
      <w:r w:rsidR="00912469" w:rsidRPr="000B664D">
        <w:rPr>
          <w:b w:val="0"/>
          <w:bCs/>
          <w:szCs w:val="16"/>
        </w:rPr>
        <w:t xml:space="preserve"> may lead to serious therapeutic failures</w:t>
      </w:r>
      <w:r w:rsidR="00A204EE">
        <w:rPr>
          <w:b w:val="0"/>
          <w:bCs/>
          <w:szCs w:val="16"/>
        </w:rPr>
        <w:t>.</w:t>
      </w:r>
      <w:r w:rsidR="00912469" w:rsidRPr="009D1268">
        <w:rPr>
          <w:b w:val="0"/>
          <w:bCs/>
          <w:szCs w:val="16"/>
        </w:rPr>
        <w:t xml:space="preserve"> </w:t>
      </w:r>
      <w:r w:rsidR="00912469">
        <w:rPr>
          <w:b w:val="0"/>
          <w:bCs/>
          <w:szCs w:val="16"/>
        </w:rPr>
        <w:t>(7</w:t>
      </w:r>
      <w:r w:rsidR="00912469" w:rsidRPr="009D1268">
        <w:rPr>
          <w:b w:val="0"/>
          <w:bCs/>
          <w:szCs w:val="16"/>
        </w:rPr>
        <w:t>.</w:t>
      </w:r>
      <w:r w:rsidR="00912469">
        <w:rPr>
          <w:b w:val="0"/>
          <w:bCs/>
          <w:szCs w:val="16"/>
        </w:rPr>
        <w:t>2</w:t>
      </w:r>
      <w:r w:rsidR="00912469" w:rsidRPr="009D1268">
        <w:rPr>
          <w:b w:val="0"/>
          <w:bCs/>
          <w:szCs w:val="16"/>
        </w:rPr>
        <w:t>)</w:t>
      </w:r>
      <w:r w:rsidR="00912469" w:rsidRPr="00644A74">
        <w:rPr>
          <w:b w:val="0"/>
          <w:bCs/>
          <w:szCs w:val="16"/>
        </w:rPr>
        <w:t xml:space="preserve"> </w:t>
      </w:r>
    </w:p>
    <w:p w:rsidR="00644A74" w:rsidRPr="00912469" w:rsidRDefault="00644A74" w:rsidP="00335180">
      <w:pPr>
        <w:pStyle w:val="BodyText"/>
        <w:jc w:val="both"/>
        <w:rPr>
          <w:bCs/>
          <w:szCs w:val="16"/>
        </w:rPr>
      </w:pPr>
    </w:p>
    <w:p w:rsidR="00644A74" w:rsidRPr="005C47A9" w:rsidRDefault="00F424C7" w:rsidP="005C47A9">
      <w:pPr>
        <w:pStyle w:val="USPIHPIHeading"/>
      </w:pPr>
      <w:r>
        <w:tab/>
      </w:r>
      <w:r w:rsidR="00644A74" w:rsidRPr="008D5890">
        <w:t>USE IN SPECIFIC POPULATIONS</w:t>
      </w:r>
      <w:r>
        <w:tab/>
      </w:r>
    </w:p>
    <w:p w:rsidR="00644A74" w:rsidRPr="005C47A9" w:rsidRDefault="00644A74" w:rsidP="00644A74">
      <w:pPr>
        <w:pStyle w:val="BodyText3"/>
        <w:jc w:val="left"/>
        <w:rPr>
          <w:b w:val="0"/>
          <w:bCs/>
          <w:i w:val="0"/>
          <w:szCs w:val="16"/>
        </w:rPr>
      </w:pPr>
      <w:r w:rsidRPr="005C47A9">
        <w:rPr>
          <w:b w:val="0"/>
          <w:bCs/>
          <w:i w:val="0"/>
          <w:szCs w:val="16"/>
        </w:rPr>
        <w:t>Lactation: Advise not to breastfeed. (8.2)</w:t>
      </w:r>
    </w:p>
    <w:p w:rsidR="00644A74" w:rsidRDefault="00644A74" w:rsidP="00644A74">
      <w:pPr>
        <w:pStyle w:val="BodyText3"/>
        <w:jc w:val="left"/>
        <w:rPr>
          <w:bCs/>
          <w:i w:val="0"/>
          <w:szCs w:val="16"/>
        </w:rPr>
      </w:pPr>
    </w:p>
    <w:p w:rsidR="00DD0D9A" w:rsidRPr="00241E33" w:rsidRDefault="00DD0D9A" w:rsidP="00241E33">
      <w:pPr>
        <w:pStyle w:val="BodyText"/>
        <w:rPr>
          <w:bCs/>
          <w:szCs w:val="16"/>
        </w:rPr>
      </w:pPr>
      <w:r w:rsidRPr="00241E33">
        <w:rPr>
          <w:bCs/>
          <w:szCs w:val="16"/>
        </w:rPr>
        <w:t>See 17 for PATIENT</w:t>
      </w:r>
      <w:r w:rsidR="00CF2407" w:rsidRPr="00241E33">
        <w:rPr>
          <w:bCs/>
          <w:szCs w:val="16"/>
        </w:rPr>
        <w:t xml:space="preserve"> COUNSELING INFORMATION and FDA</w:t>
      </w:r>
      <w:r w:rsidR="0043755E">
        <w:rPr>
          <w:bCs/>
          <w:szCs w:val="16"/>
        </w:rPr>
        <w:noBreakHyphen/>
      </w:r>
      <w:r w:rsidRPr="00241E33">
        <w:rPr>
          <w:bCs/>
          <w:szCs w:val="16"/>
        </w:rPr>
        <w:t>approved patient labeling</w:t>
      </w:r>
      <w:r w:rsidR="004F1BBF" w:rsidRPr="00241E33">
        <w:rPr>
          <w:b w:val="0"/>
          <w:bCs/>
          <w:szCs w:val="16"/>
        </w:rPr>
        <w:t>.</w:t>
      </w:r>
    </w:p>
    <w:p w:rsidR="00DD0D9A" w:rsidRPr="00BA102E" w:rsidRDefault="00DD0D9A" w:rsidP="00E6596C">
      <w:pPr>
        <w:pStyle w:val="BodyText"/>
        <w:rPr>
          <w:szCs w:val="16"/>
        </w:rPr>
      </w:pPr>
    </w:p>
    <w:p w:rsidR="00FA3EF0" w:rsidRPr="00BA102E" w:rsidRDefault="00FA3EF0" w:rsidP="00FA3EF0">
      <w:pPr>
        <w:pStyle w:val="BodyText3"/>
        <w:jc w:val="right"/>
        <w:rPr>
          <w:i w:val="0"/>
          <w:szCs w:val="16"/>
        </w:rPr>
      </w:pPr>
      <w:r w:rsidRPr="00BE0072">
        <w:rPr>
          <w:i w:val="0"/>
          <w:szCs w:val="16"/>
        </w:rPr>
        <w:t xml:space="preserve">Revised: </w:t>
      </w:r>
      <w:r w:rsidR="006826C4">
        <w:rPr>
          <w:i w:val="0"/>
          <w:szCs w:val="16"/>
        </w:rPr>
        <w:t>11</w:t>
      </w:r>
      <w:r w:rsidRPr="00BE0072">
        <w:rPr>
          <w:i w:val="0"/>
          <w:szCs w:val="16"/>
        </w:rPr>
        <w:t>/</w:t>
      </w:r>
      <w:r>
        <w:rPr>
          <w:i w:val="0"/>
          <w:szCs w:val="16"/>
        </w:rPr>
        <w:t>2018</w:t>
      </w:r>
    </w:p>
    <w:p w:rsidR="008F1284" w:rsidRPr="00BA102E" w:rsidRDefault="008F1284">
      <w:pPr>
        <w:pStyle w:val="BodyText3"/>
        <w:rPr>
          <w:i w:val="0"/>
          <w:szCs w:val="16"/>
        </w:rPr>
      </w:pPr>
    </w:p>
    <w:p w:rsidR="008F1284" w:rsidRPr="00BA102E" w:rsidRDefault="008F1284">
      <w:pPr>
        <w:pStyle w:val="BodyText3"/>
        <w:rPr>
          <w:i w:val="0"/>
          <w:szCs w:val="16"/>
        </w:rPr>
      </w:pPr>
    </w:p>
    <w:p w:rsidR="001262A9" w:rsidRPr="00BA102E" w:rsidRDefault="001262A9">
      <w:pPr>
        <w:pStyle w:val="BodyText3"/>
        <w:rPr>
          <w:i w:val="0"/>
          <w:sz w:val="24"/>
          <w:szCs w:val="24"/>
        </w:rPr>
        <w:sectPr w:rsidR="001262A9" w:rsidRPr="00BA102E" w:rsidSect="00CE525C">
          <w:pgSz w:w="12240" w:h="15840" w:code="1"/>
          <w:pgMar w:top="720" w:right="720" w:bottom="720" w:left="720" w:header="720" w:footer="720" w:gutter="0"/>
          <w:cols w:num="2" w:space="720" w:equalWidth="0">
            <w:col w:w="5040" w:space="720"/>
            <w:col w:w="5040"/>
          </w:cols>
          <w:docGrid w:linePitch="272"/>
        </w:sectPr>
      </w:pPr>
    </w:p>
    <w:p w:rsidR="001262A9" w:rsidRPr="00D740EC" w:rsidRDefault="001262A9">
      <w:pPr>
        <w:pStyle w:val="BodyText3"/>
        <w:jc w:val="left"/>
        <w:rPr>
          <w:i w:val="0"/>
          <w:szCs w:val="16"/>
        </w:rPr>
      </w:pPr>
      <w:r w:rsidRPr="00D740EC">
        <w:rPr>
          <w:i w:val="0"/>
          <w:szCs w:val="16"/>
        </w:rPr>
        <w:t>_______________________________________________________________________________________________________________________________________</w:t>
      </w:r>
    </w:p>
    <w:p w:rsidR="001262A9" w:rsidRPr="00D740EC" w:rsidRDefault="001262A9">
      <w:pPr>
        <w:pStyle w:val="BodyText3"/>
        <w:rPr>
          <w:i w:val="0"/>
          <w:szCs w:val="16"/>
        </w:rPr>
      </w:pPr>
    </w:p>
    <w:p w:rsidR="001262A9" w:rsidRPr="00D740EC" w:rsidRDefault="001262A9">
      <w:pPr>
        <w:pStyle w:val="BodyText3"/>
        <w:jc w:val="left"/>
        <w:rPr>
          <w:i w:val="0"/>
          <w:szCs w:val="16"/>
        </w:rPr>
        <w:sectPr w:rsidR="001262A9" w:rsidRPr="00D740EC">
          <w:type w:val="continuous"/>
          <w:pgSz w:w="12240" w:h="15840" w:code="1"/>
          <w:pgMar w:top="720" w:right="720" w:bottom="720" w:left="720" w:header="720" w:footer="720" w:gutter="0"/>
          <w:cols w:space="720" w:equalWidth="0">
            <w:col w:w="10800" w:space="720"/>
          </w:cols>
        </w:sectPr>
      </w:pPr>
    </w:p>
    <w:p w:rsidR="005637FA" w:rsidRDefault="005637FA" w:rsidP="005637FA">
      <w:pPr>
        <w:pStyle w:val="BodyText3"/>
        <w:jc w:val="left"/>
        <w:rPr>
          <w:bCs/>
          <w:i w:val="0"/>
          <w:szCs w:val="16"/>
        </w:rPr>
      </w:pPr>
      <w:r w:rsidRPr="00D740EC">
        <w:rPr>
          <w:bCs/>
          <w:i w:val="0"/>
          <w:szCs w:val="16"/>
        </w:rPr>
        <w:t>FULL PRESCRIBING INFORMATION: CONTENTS*</w:t>
      </w:r>
    </w:p>
    <w:p w:rsidR="005637FA" w:rsidRPr="00D740EC" w:rsidRDefault="005637FA" w:rsidP="005637FA">
      <w:pPr>
        <w:pStyle w:val="BodyText3"/>
        <w:jc w:val="left"/>
        <w:rPr>
          <w:bCs/>
          <w:i w:val="0"/>
          <w:szCs w:val="16"/>
        </w:rPr>
      </w:pPr>
    </w:p>
    <w:p w:rsidR="005637FA" w:rsidRPr="00D740EC" w:rsidRDefault="005637FA" w:rsidP="005637FA">
      <w:pPr>
        <w:pStyle w:val="Heading2"/>
        <w:numPr>
          <w:ilvl w:val="0"/>
          <w:numId w:val="1"/>
        </w:numPr>
        <w:tabs>
          <w:tab w:val="left" w:pos="274"/>
        </w:tabs>
        <w:rPr>
          <w:szCs w:val="16"/>
        </w:rPr>
      </w:pPr>
      <w:r w:rsidRPr="00D740EC">
        <w:rPr>
          <w:szCs w:val="16"/>
        </w:rPr>
        <w:t>INDICATIONS AND USAGE</w:t>
      </w:r>
    </w:p>
    <w:p w:rsidR="005637FA" w:rsidRPr="00D740EC" w:rsidRDefault="005637FA" w:rsidP="005637FA">
      <w:pPr>
        <w:pStyle w:val="Heading2"/>
        <w:tabs>
          <w:tab w:val="left" w:pos="274"/>
          <w:tab w:val="left" w:pos="360"/>
        </w:tabs>
        <w:rPr>
          <w:szCs w:val="16"/>
        </w:rPr>
      </w:pPr>
      <w:r w:rsidRPr="00D740EC">
        <w:rPr>
          <w:szCs w:val="16"/>
        </w:rPr>
        <w:t>2</w:t>
      </w:r>
      <w:r w:rsidRPr="00D740EC">
        <w:rPr>
          <w:szCs w:val="16"/>
        </w:rPr>
        <w:tab/>
        <w:t>DOSAGE AND ADMINISTRATION</w:t>
      </w:r>
    </w:p>
    <w:p w:rsidR="005637FA" w:rsidRPr="00D740EC" w:rsidRDefault="005637FA" w:rsidP="005637FA">
      <w:pPr>
        <w:tabs>
          <w:tab w:val="left" w:pos="270"/>
          <w:tab w:val="left" w:pos="720"/>
        </w:tabs>
        <w:ind w:left="270"/>
        <w:rPr>
          <w:sz w:val="16"/>
          <w:szCs w:val="16"/>
        </w:rPr>
      </w:pPr>
      <w:r w:rsidRPr="00D740EC">
        <w:rPr>
          <w:sz w:val="16"/>
          <w:szCs w:val="16"/>
        </w:rPr>
        <w:t>2.1</w:t>
      </w:r>
      <w:r w:rsidRPr="00D740EC">
        <w:rPr>
          <w:sz w:val="16"/>
          <w:szCs w:val="16"/>
        </w:rPr>
        <w:tab/>
      </w:r>
      <w:r>
        <w:rPr>
          <w:sz w:val="16"/>
          <w:szCs w:val="16"/>
        </w:rPr>
        <w:t xml:space="preserve">Recommended Dosage </w:t>
      </w:r>
    </w:p>
    <w:p w:rsidR="005637FA" w:rsidRDefault="005637FA" w:rsidP="005637FA">
      <w:pPr>
        <w:tabs>
          <w:tab w:val="left" w:pos="270"/>
          <w:tab w:val="left" w:pos="720"/>
        </w:tabs>
        <w:ind w:left="270"/>
        <w:rPr>
          <w:sz w:val="16"/>
          <w:szCs w:val="16"/>
        </w:rPr>
      </w:pPr>
      <w:r w:rsidRPr="00D740EC">
        <w:rPr>
          <w:sz w:val="16"/>
          <w:szCs w:val="16"/>
        </w:rPr>
        <w:t>2.2</w:t>
      </w:r>
      <w:r w:rsidRPr="00D740EC">
        <w:rPr>
          <w:sz w:val="16"/>
          <w:szCs w:val="16"/>
        </w:rPr>
        <w:tab/>
      </w:r>
      <w:r>
        <w:rPr>
          <w:sz w:val="16"/>
          <w:szCs w:val="16"/>
        </w:rPr>
        <w:t>Dosage Modifications for Adverse Reactions</w:t>
      </w:r>
    </w:p>
    <w:p w:rsidR="005637FA" w:rsidRDefault="005637FA" w:rsidP="005637FA">
      <w:pPr>
        <w:tabs>
          <w:tab w:val="left" w:pos="270"/>
          <w:tab w:val="left" w:pos="720"/>
        </w:tabs>
        <w:ind w:left="270"/>
        <w:rPr>
          <w:sz w:val="16"/>
          <w:szCs w:val="16"/>
        </w:rPr>
      </w:pPr>
      <w:r>
        <w:rPr>
          <w:sz w:val="16"/>
          <w:szCs w:val="16"/>
        </w:rPr>
        <w:t>2.3</w:t>
      </w:r>
      <w:r>
        <w:rPr>
          <w:sz w:val="16"/>
          <w:szCs w:val="16"/>
        </w:rPr>
        <w:tab/>
        <w:t xml:space="preserve">Concomitant Use of </w:t>
      </w:r>
      <w:r w:rsidR="007C0A35">
        <w:rPr>
          <w:sz w:val="16"/>
          <w:szCs w:val="16"/>
        </w:rPr>
        <w:t xml:space="preserve">Strong or Moderate </w:t>
      </w:r>
      <w:r>
        <w:rPr>
          <w:sz w:val="16"/>
          <w:szCs w:val="16"/>
        </w:rPr>
        <w:t>CYP3A Inducers</w:t>
      </w:r>
    </w:p>
    <w:p w:rsidR="005637FA" w:rsidRDefault="005637FA" w:rsidP="005637FA">
      <w:pPr>
        <w:tabs>
          <w:tab w:val="left" w:pos="270"/>
          <w:tab w:val="left" w:pos="720"/>
        </w:tabs>
        <w:ind w:left="270"/>
        <w:rPr>
          <w:sz w:val="16"/>
          <w:szCs w:val="16"/>
        </w:rPr>
      </w:pPr>
      <w:r>
        <w:rPr>
          <w:sz w:val="16"/>
          <w:szCs w:val="16"/>
        </w:rPr>
        <w:t>2.4</w:t>
      </w:r>
      <w:r>
        <w:rPr>
          <w:sz w:val="16"/>
          <w:szCs w:val="16"/>
        </w:rPr>
        <w:tab/>
      </w:r>
      <w:r w:rsidRPr="008F3589">
        <w:rPr>
          <w:sz w:val="16"/>
          <w:szCs w:val="16"/>
        </w:rPr>
        <w:t>Dos</w:t>
      </w:r>
      <w:r>
        <w:rPr>
          <w:sz w:val="16"/>
          <w:szCs w:val="16"/>
        </w:rPr>
        <w:t>ag</w:t>
      </w:r>
      <w:r w:rsidRPr="008F3589">
        <w:rPr>
          <w:sz w:val="16"/>
          <w:szCs w:val="16"/>
        </w:rPr>
        <w:t>e Modification for Strong CYP3A Inhibitors</w:t>
      </w:r>
    </w:p>
    <w:p w:rsidR="005637FA" w:rsidRPr="00D740EC" w:rsidRDefault="005637FA" w:rsidP="005637FA">
      <w:pPr>
        <w:pStyle w:val="Heading2"/>
        <w:tabs>
          <w:tab w:val="left" w:pos="274"/>
          <w:tab w:val="left" w:pos="360"/>
        </w:tabs>
        <w:rPr>
          <w:szCs w:val="16"/>
        </w:rPr>
      </w:pPr>
      <w:r w:rsidRPr="00D740EC">
        <w:rPr>
          <w:szCs w:val="16"/>
        </w:rPr>
        <w:t>3</w:t>
      </w:r>
      <w:r w:rsidRPr="00D740EC">
        <w:rPr>
          <w:szCs w:val="16"/>
        </w:rPr>
        <w:tab/>
        <w:t>DOSAGE FORMS AND STRENGTHS</w:t>
      </w:r>
    </w:p>
    <w:p w:rsidR="005637FA" w:rsidRPr="00D740EC" w:rsidRDefault="005637FA" w:rsidP="005637FA">
      <w:pPr>
        <w:pStyle w:val="Heading2"/>
        <w:tabs>
          <w:tab w:val="left" w:pos="274"/>
          <w:tab w:val="left" w:pos="360"/>
        </w:tabs>
        <w:rPr>
          <w:szCs w:val="16"/>
        </w:rPr>
      </w:pPr>
      <w:r w:rsidRPr="00D740EC">
        <w:rPr>
          <w:szCs w:val="16"/>
        </w:rPr>
        <w:t>4</w:t>
      </w:r>
      <w:r w:rsidRPr="00D740EC">
        <w:rPr>
          <w:szCs w:val="16"/>
        </w:rPr>
        <w:tab/>
        <w:t>CONTRAINDICATIONS</w:t>
      </w:r>
    </w:p>
    <w:p w:rsidR="005637FA" w:rsidRPr="00D740EC" w:rsidRDefault="005637FA" w:rsidP="005637FA">
      <w:pPr>
        <w:pStyle w:val="Heading2"/>
        <w:tabs>
          <w:tab w:val="left" w:pos="274"/>
          <w:tab w:val="left" w:pos="360"/>
        </w:tabs>
        <w:rPr>
          <w:szCs w:val="16"/>
        </w:rPr>
      </w:pPr>
      <w:r w:rsidRPr="00D740EC">
        <w:rPr>
          <w:szCs w:val="16"/>
        </w:rPr>
        <w:t>5</w:t>
      </w:r>
      <w:r w:rsidRPr="00D740EC">
        <w:rPr>
          <w:szCs w:val="16"/>
        </w:rPr>
        <w:tab/>
        <w:t>WARNINGS AND PRECAUTIONS</w:t>
      </w:r>
    </w:p>
    <w:p w:rsidR="005637FA" w:rsidRPr="00D740EC" w:rsidRDefault="005637FA" w:rsidP="005637FA">
      <w:pPr>
        <w:tabs>
          <w:tab w:val="left" w:pos="720"/>
        </w:tabs>
        <w:ind w:left="720" w:hanging="450"/>
        <w:rPr>
          <w:sz w:val="16"/>
          <w:szCs w:val="16"/>
        </w:rPr>
      </w:pPr>
      <w:r w:rsidRPr="00D740EC">
        <w:rPr>
          <w:sz w:val="16"/>
          <w:szCs w:val="16"/>
        </w:rPr>
        <w:t>5.1</w:t>
      </w:r>
      <w:r w:rsidRPr="00D740EC">
        <w:rPr>
          <w:sz w:val="16"/>
          <w:szCs w:val="16"/>
        </w:rPr>
        <w:tab/>
      </w:r>
      <w:r w:rsidRPr="004D06E7">
        <w:rPr>
          <w:sz w:val="16"/>
          <w:szCs w:val="16"/>
        </w:rPr>
        <w:t xml:space="preserve">Risk of </w:t>
      </w:r>
      <w:r w:rsidR="00740D9F">
        <w:rPr>
          <w:sz w:val="16"/>
          <w:szCs w:val="16"/>
        </w:rPr>
        <w:t xml:space="preserve">Serious </w:t>
      </w:r>
      <w:r w:rsidRPr="004D06E7">
        <w:rPr>
          <w:sz w:val="16"/>
          <w:szCs w:val="16"/>
        </w:rPr>
        <w:t xml:space="preserve">Hepatotoxicity with Concomitant Use </w:t>
      </w:r>
      <w:r>
        <w:rPr>
          <w:sz w:val="16"/>
          <w:szCs w:val="16"/>
        </w:rPr>
        <w:t>of Strong CYP3A Inducers</w:t>
      </w:r>
    </w:p>
    <w:p w:rsidR="005637FA" w:rsidRPr="00D740EC" w:rsidRDefault="005637FA" w:rsidP="005637FA">
      <w:pPr>
        <w:tabs>
          <w:tab w:val="left" w:pos="270"/>
          <w:tab w:val="left" w:pos="720"/>
        </w:tabs>
        <w:ind w:left="270"/>
        <w:rPr>
          <w:sz w:val="16"/>
          <w:szCs w:val="16"/>
        </w:rPr>
      </w:pPr>
      <w:r w:rsidRPr="00D740EC">
        <w:rPr>
          <w:sz w:val="16"/>
          <w:szCs w:val="16"/>
        </w:rPr>
        <w:t>5.2</w:t>
      </w:r>
      <w:r w:rsidRPr="00D740EC">
        <w:rPr>
          <w:sz w:val="16"/>
          <w:szCs w:val="16"/>
        </w:rPr>
        <w:tab/>
      </w:r>
      <w:r w:rsidRPr="00FD19F4">
        <w:rPr>
          <w:sz w:val="16"/>
          <w:szCs w:val="16"/>
        </w:rPr>
        <w:t>Central Nervous System Effects</w:t>
      </w:r>
      <w:r w:rsidRPr="008F3589">
        <w:rPr>
          <w:sz w:val="16"/>
          <w:szCs w:val="16"/>
        </w:rPr>
        <w:t xml:space="preserve"> </w:t>
      </w:r>
    </w:p>
    <w:p w:rsidR="005637FA" w:rsidRDefault="005637FA" w:rsidP="005637FA">
      <w:pPr>
        <w:tabs>
          <w:tab w:val="left" w:pos="270"/>
          <w:tab w:val="left" w:pos="720"/>
        </w:tabs>
        <w:ind w:left="270"/>
        <w:rPr>
          <w:sz w:val="16"/>
          <w:szCs w:val="16"/>
        </w:rPr>
      </w:pPr>
      <w:r w:rsidRPr="00D740EC">
        <w:rPr>
          <w:sz w:val="16"/>
          <w:szCs w:val="16"/>
        </w:rPr>
        <w:t>5.3</w:t>
      </w:r>
      <w:r w:rsidRPr="00D740EC">
        <w:rPr>
          <w:sz w:val="16"/>
          <w:szCs w:val="16"/>
        </w:rPr>
        <w:tab/>
      </w:r>
      <w:r w:rsidRPr="008F3589">
        <w:rPr>
          <w:sz w:val="16"/>
          <w:szCs w:val="16"/>
        </w:rPr>
        <w:t>Hyperlipidemia</w:t>
      </w:r>
      <w:r w:rsidRPr="00FD19F4">
        <w:rPr>
          <w:sz w:val="16"/>
          <w:szCs w:val="16"/>
        </w:rPr>
        <w:t xml:space="preserve"> </w:t>
      </w:r>
    </w:p>
    <w:p w:rsidR="005637FA" w:rsidRDefault="005637FA" w:rsidP="005637FA">
      <w:pPr>
        <w:tabs>
          <w:tab w:val="left" w:pos="270"/>
          <w:tab w:val="left" w:pos="720"/>
        </w:tabs>
        <w:ind w:left="270"/>
        <w:rPr>
          <w:sz w:val="16"/>
          <w:szCs w:val="16"/>
        </w:rPr>
      </w:pPr>
      <w:r>
        <w:rPr>
          <w:sz w:val="16"/>
          <w:szCs w:val="16"/>
        </w:rPr>
        <w:t>5.4</w:t>
      </w:r>
      <w:r>
        <w:rPr>
          <w:sz w:val="16"/>
          <w:szCs w:val="16"/>
        </w:rPr>
        <w:tab/>
      </w:r>
      <w:r w:rsidRPr="00FD19F4">
        <w:rPr>
          <w:sz w:val="16"/>
          <w:szCs w:val="16"/>
        </w:rPr>
        <w:t>Atri</w:t>
      </w:r>
      <w:r>
        <w:rPr>
          <w:sz w:val="16"/>
          <w:szCs w:val="16"/>
        </w:rPr>
        <w:t>ov</w:t>
      </w:r>
      <w:r w:rsidRPr="00FD19F4">
        <w:rPr>
          <w:sz w:val="16"/>
          <w:szCs w:val="16"/>
        </w:rPr>
        <w:t>entricular Block</w:t>
      </w:r>
      <w:r>
        <w:rPr>
          <w:sz w:val="16"/>
          <w:szCs w:val="16"/>
        </w:rPr>
        <w:t xml:space="preserve"> </w:t>
      </w:r>
    </w:p>
    <w:p w:rsidR="005637FA" w:rsidRDefault="005637FA" w:rsidP="005637FA">
      <w:pPr>
        <w:tabs>
          <w:tab w:val="left" w:pos="270"/>
          <w:tab w:val="left" w:pos="720"/>
        </w:tabs>
        <w:ind w:left="270"/>
        <w:rPr>
          <w:sz w:val="16"/>
          <w:szCs w:val="16"/>
        </w:rPr>
      </w:pPr>
      <w:r>
        <w:rPr>
          <w:sz w:val="16"/>
          <w:szCs w:val="16"/>
        </w:rPr>
        <w:t>5.5</w:t>
      </w:r>
      <w:r>
        <w:rPr>
          <w:sz w:val="16"/>
          <w:szCs w:val="16"/>
        </w:rPr>
        <w:tab/>
        <w:t>Interstitial Lung Disease/Pneumonitis</w:t>
      </w:r>
    </w:p>
    <w:p w:rsidR="005637FA" w:rsidRDefault="005637FA" w:rsidP="005637FA">
      <w:pPr>
        <w:tabs>
          <w:tab w:val="left" w:pos="270"/>
          <w:tab w:val="left" w:pos="720"/>
        </w:tabs>
        <w:ind w:left="270"/>
        <w:rPr>
          <w:sz w:val="16"/>
          <w:szCs w:val="16"/>
        </w:rPr>
      </w:pPr>
      <w:r>
        <w:rPr>
          <w:sz w:val="16"/>
          <w:szCs w:val="16"/>
        </w:rPr>
        <w:t>5.6</w:t>
      </w:r>
      <w:r w:rsidRPr="00FD19F4" w:rsidDel="00DA60BA">
        <w:rPr>
          <w:sz w:val="16"/>
          <w:szCs w:val="16"/>
        </w:rPr>
        <w:t xml:space="preserve"> </w:t>
      </w:r>
      <w:r>
        <w:rPr>
          <w:sz w:val="16"/>
          <w:szCs w:val="16"/>
        </w:rPr>
        <w:tab/>
      </w:r>
      <w:r w:rsidRPr="00031CFC">
        <w:rPr>
          <w:sz w:val="16"/>
          <w:szCs w:val="16"/>
        </w:rPr>
        <w:t>Embryo</w:t>
      </w:r>
      <w:r>
        <w:rPr>
          <w:sz w:val="16"/>
          <w:szCs w:val="16"/>
        </w:rPr>
        <w:t>-F</w:t>
      </w:r>
      <w:r w:rsidRPr="00031CFC">
        <w:rPr>
          <w:sz w:val="16"/>
          <w:szCs w:val="16"/>
        </w:rPr>
        <w:t>etal Toxicity</w:t>
      </w:r>
    </w:p>
    <w:p w:rsidR="005637FA" w:rsidRPr="00D740EC" w:rsidRDefault="005637FA" w:rsidP="005637FA">
      <w:pPr>
        <w:pStyle w:val="Heading2"/>
        <w:tabs>
          <w:tab w:val="left" w:pos="274"/>
          <w:tab w:val="left" w:pos="360"/>
        </w:tabs>
        <w:rPr>
          <w:szCs w:val="16"/>
        </w:rPr>
      </w:pPr>
      <w:r w:rsidRPr="00D740EC">
        <w:rPr>
          <w:szCs w:val="16"/>
        </w:rPr>
        <w:t>6</w:t>
      </w:r>
      <w:r w:rsidRPr="00D740EC">
        <w:rPr>
          <w:szCs w:val="16"/>
        </w:rPr>
        <w:tab/>
        <w:t>ADVERSE REACTIONS</w:t>
      </w:r>
    </w:p>
    <w:p w:rsidR="005637FA" w:rsidRPr="00D740EC" w:rsidRDefault="005637FA" w:rsidP="005637FA">
      <w:pPr>
        <w:tabs>
          <w:tab w:val="left" w:pos="270"/>
          <w:tab w:val="left" w:pos="720"/>
        </w:tabs>
        <w:ind w:left="270"/>
        <w:rPr>
          <w:sz w:val="16"/>
          <w:szCs w:val="16"/>
        </w:rPr>
      </w:pPr>
      <w:r w:rsidRPr="00D740EC">
        <w:rPr>
          <w:sz w:val="16"/>
          <w:szCs w:val="16"/>
        </w:rPr>
        <w:t>6.1</w:t>
      </w:r>
      <w:r w:rsidRPr="00D740EC">
        <w:rPr>
          <w:sz w:val="16"/>
          <w:szCs w:val="16"/>
        </w:rPr>
        <w:tab/>
      </w:r>
      <w:r>
        <w:rPr>
          <w:sz w:val="16"/>
          <w:szCs w:val="16"/>
        </w:rPr>
        <w:t xml:space="preserve">Clinical </w:t>
      </w:r>
      <w:r w:rsidRPr="00D4776C">
        <w:rPr>
          <w:sz w:val="16"/>
          <w:szCs w:val="16"/>
        </w:rPr>
        <w:t>Trial</w:t>
      </w:r>
      <w:r>
        <w:rPr>
          <w:sz w:val="16"/>
          <w:szCs w:val="16"/>
        </w:rPr>
        <w:t>s Experience</w:t>
      </w:r>
      <w:r w:rsidRPr="00D740EC">
        <w:rPr>
          <w:sz w:val="16"/>
          <w:szCs w:val="16"/>
        </w:rPr>
        <w:t xml:space="preserve"> </w:t>
      </w:r>
    </w:p>
    <w:p w:rsidR="005637FA" w:rsidRPr="00D740EC" w:rsidRDefault="005637FA" w:rsidP="005637FA">
      <w:pPr>
        <w:pStyle w:val="Heading2"/>
        <w:tabs>
          <w:tab w:val="left" w:pos="274"/>
          <w:tab w:val="left" w:pos="360"/>
        </w:tabs>
        <w:rPr>
          <w:szCs w:val="16"/>
        </w:rPr>
      </w:pPr>
      <w:r w:rsidRPr="00D740EC">
        <w:rPr>
          <w:szCs w:val="16"/>
        </w:rPr>
        <w:t>7</w:t>
      </w:r>
      <w:r w:rsidRPr="00D740EC">
        <w:rPr>
          <w:szCs w:val="16"/>
        </w:rPr>
        <w:tab/>
        <w:t>DRUG INTERACTIONS</w:t>
      </w:r>
    </w:p>
    <w:p w:rsidR="005637FA" w:rsidRPr="00D740EC" w:rsidRDefault="005637FA" w:rsidP="005637FA">
      <w:pPr>
        <w:tabs>
          <w:tab w:val="left" w:pos="270"/>
          <w:tab w:val="left" w:pos="720"/>
        </w:tabs>
        <w:ind w:left="270"/>
        <w:rPr>
          <w:sz w:val="16"/>
          <w:szCs w:val="16"/>
        </w:rPr>
      </w:pPr>
      <w:r w:rsidRPr="00D740EC">
        <w:rPr>
          <w:sz w:val="16"/>
          <w:szCs w:val="16"/>
        </w:rPr>
        <w:t>7.1</w:t>
      </w:r>
      <w:r w:rsidRPr="00D740EC">
        <w:rPr>
          <w:sz w:val="16"/>
          <w:szCs w:val="16"/>
        </w:rPr>
        <w:tab/>
      </w:r>
      <w:r>
        <w:rPr>
          <w:sz w:val="16"/>
          <w:szCs w:val="16"/>
        </w:rPr>
        <w:t xml:space="preserve">Effect of Other </w:t>
      </w:r>
      <w:r w:rsidRPr="00B34DF5">
        <w:rPr>
          <w:sz w:val="16"/>
          <w:szCs w:val="16"/>
        </w:rPr>
        <w:t xml:space="preserve">Drugs </w:t>
      </w:r>
      <w:r>
        <w:rPr>
          <w:sz w:val="16"/>
          <w:szCs w:val="16"/>
        </w:rPr>
        <w:t>on LORBRENA</w:t>
      </w:r>
    </w:p>
    <w:p w:rsidR="005637FA" w:rsidRDefault="005637FA" w:rsidP="005637FA">
      <w:pPr>
        <w:tabs>
          <w:tab w:val="left" w:pos="270"/>
          <w:tab w:val="left" w:pos="720"/>
        </w:tabs>
        <w:ind w:left="270"/>
        <w:rPr>
          <w:sz w:val="16"/>
          <w:szCs w:val="16"/>
        </w:rPr>
      </w:pPr>
      <w:r w:rsidRPr="00D740EC">
        <w:rPr>
          <w:sz w:val="16"/>
          <w:szCs w:val="16"/>
        </w:rPr>
        <w:t>7.2</w:t>
      </w:r>
      <w:r w:rsidRPr="00D740EC">
        <w:rPr>
          <w:sz w:val="16"/>
          <w:szCs w:val="16"/>
        </w:rPr>
        <w:tab/>
      </w:r>
      <w:r>
        <w:rPr>
          <w:sz w:val="16"/>
          <w:szCs w:val="16"/>
        </w:rPr>
        <w:t xml:space="preserve">Effect of LORBRENA on Other </w:t>
      </w:r>
      <w:r w:rsidRPr="00B34DF5">
        <w:rPr>
          <w:sz w:val="16"/>
          <w:szCs w:val="16"/>
        </w:rPr>
        <w:t>Drugs</w:t>
      </w:r>
    </w:p>
    <w:p w:rsidR="005637FA" w:rsidRPr="00417B2B" w:rsidRDefault="005637FA" w:rsidP="005637FA"/>
    <w:p w:rsidR="00F424C7" w:rsidRDefault="00F424C7" w:rsidP="005637FA">
      <w:pPr>
        <w:pStyle w:val="Heading2"/>
        <w:tabs>
          <w:tab w:val="left" w:pos="274"/>
        </w:tabs>
        <w:rPr>
          <w:szCs w:val="16"/>
        </w:rPr>
      </w:pPr>
    </w:p>
    <w:p w:rsidR="00F424C7" w:rsidRDefault="00F424C7" w:rsidP="005637FA">
      <w:pPr>
        <w:pStyle w:val="Heading2"/>
        <w:tabs>
          <w:tab w:val="left" w:pos="274"/>
        </w:tabs>
        <w:rPr>
          <w:szCs w:val="16"/>
        </w:rPr>
      </w:pPr>
    </w:p>
    <w:p w:rsidR="005637FA" w:rsidRPr="00D740EC" w:rsidRDefault="005637FA" w:rsidP="005637FA">
      <w:pPr>
        <w:pStyle w:val="Heading2"/>
        <w:tabs>
          <w:tab w:val="left" w:pos="274"/>
        </w:tabs>
        <w:rPr>
          <w:szCs w:val="16"/>
        </w:rPr>
      </w:pPr>
      <w:r w:rsidRPr="00D740EC">
        <w:rPr>
          <w:szCs w:val="16"/>
        </w:rPr>
        <w:t>8</w:t>
      </w:r>
      <w:r w:rsidRPr="00D740EC">
        <w:rPr>
          <w:szCs w:val="16"/>
        </w:rPr>
        <w:tab/>
        <w:t>USE IN SPECIFIC POPULATIONS</w:t>
      </w:r>
    </w:p>
    <w:p w:rsidR="005637FA" w:rsidRPr="00D740EC" w:rsidRDefault="005637FA" w:rsidP="005637FA">
      <w:pPr>
        <w:keepNext/>
        <w:shd w:val="clear" w:color="auto" w:fill="FFFFFF"/>
        <w:tabs>
          <w:tab w:val="left" w:pos="270"/>
          <w:tab w:val="left" w:pos="720"/>
        </w:tabs>
        <w:ind w:left="270"/>
        <w:rPr>
          <w:sz w:val="16"/>
          <w:szCs w:val="16"/>
        </w:rPr>
      </w:pPr>
      <w:r w:rsidRPr="00D740EC">
        <w:rPr>
          <w:sz w:val="16"/>
          <w:szCs w:val="16"/>
        </w:rPr>
        <w:t>8.1</w:t>
      </w:r>
      <w:r w:rsidRPr="00D740EC">
        <w:rPr>
          <w:sz w:val="16"/>
          <w:szCs w:val="16"/>
        </w:rPr>
        <w:tab/>
        <w:t>Pregnancy</w:t>
      </w:r>
    </w:p>
    <w:p w:rsidR="005637FA" w:rsidRPr="00D740EC" w:rsidRDefault="005637FA" w:rsidP="005637FA">
      <w:pPr>
        <w:keepNext/>
        <w:shd w:val="clear" w:color="auto" w:fill="FFFFFF"/>
        <w:tabs>
          <w:tab w:val="left" w:pos="270"/>
          <w:tab w:val="left" w:pos="720"/>
        </w:tabs>
        <w:ind w:left="270"/>
        <w:rPr>
          <w:sz w:val="16"/>
          <w:szCs w:val="16"/>
        </w:rPr>
      </w:pPr>
      <w:r w:rsidRPr="00D740EC">
        <w:rPr>
          <w:sz w:val="16"/>
          <w:szCs w:val="16"/>
        </w:rPr>
        <w:t>8.2</w:t>
      </w:r>
      <w:r w:rsidRPr="00D740EC">
        <w:rPr>
          <w:sz w:val="16"/>
          <w:szCs w:val="16"/>
        </w:rPr>
        <w:tab/>
        <w:t>Lactation</w:t>
      </w:r>
    </w:p>
    <w:p w:rsidR="005637FA" w:rsidRPr="00D740EC" w:rsidRDefault="005637FA" w:rsidP="005637FA">
      <w:pPr>
        <w:keepNext/>
        <w:shd w:val="clear" w:color="auto" w:fill="FFFFFF"/>
        <w:tabs>
          <w:tab w:val="left" w:pos="270"/>
          <w:tab w:val="left" w:pos="720"/>
        </w:tabs>
        <w:ind w:left="270"/>
        <w:rPr>
          <w:sz w:val="16"/>
          <w:szCs w:val="16"/>
        </w:rPr>
      </w:pPr>
      <w:r w:rsidRPr="00D740EC">
        <w:rPr>
          <w:sz w:val="16"/>
          <w:szCs w:val="16"/>
        </w:rPr>
        <w:t>8.3</w:t>
      </w:r>
      <w:r w:rsidRPr="00D740EC">
        <w:rPr>
          <w:sz w:val="16"/>
          <w:szCs w:val="16"/>
        </w:rPr>
        <w:tab/>
        <w:t>Females and Males of Reproductive Potential</w:t>
      </w:r>
    </w:p>
    <w:p w:rsidR="005637FA" w:rsidRPr="00D740EC" w:rsidRDefault="005637FA" w:rsidP="005637FA">
      <w:pPr>
        <w:shd w:val="clear" w:color="auto" w:fill="FFFFFF"/>
        <w:tabs>
          <w:tab w:val="left" w:pos="270"/>
          <w:tab w:val="left" w:pos="720"/>
        </w:tabs>
        <w:ind w:left="270"/>
        <w:rPr>
          <w:sz w:val="16"/>
          <w:szCs w:val="16"/>
        </w:rPr>
      </w:pPr>
      <w:r w:rsidRPr="00D740EC">
        <w:rPr>
          <w:sz w:val="16"/>
          <w:szCs w:val="16"/>
        </w:rPr>
        <w:t>8.4</w:t>
      </w:r>
      <w:r w:rsidRPr="00D740EC">
        <w:rPr>
          <w:sz w:val="16"/>
          <w:szCs w:val="16"/>
        </w:rPr>
        <w:tab/>
        <w:t>Pediatric Use</w:t>
      </w:r>
    </w:p>
    <w:p w:rsidR="005637FA" w:rsidRPr="00D740EC" w:rsidRDefault="005637FA" w:rsidP="005637FA">
      <w:pPr>
        <w:shd w:val="clear" w:color="auto" w:fill="FFFFFF"/>
        <w:tabs>
          <w:tab w:val="left" w:pos="270"/>
          <w:tab w:val="left" w:pos="720"/>
        </w:tabs>
        <w:ind w:left="270"/>
        <w:rPr>
          <w:sz w:val="16"/>
          <w:szCs w:val="16"/>
        </w:rPr>
      </w:pPr>
      <w:r w:rsidRPr="00D740EC">
        <w:rPr>
          <w:sz w:val="16"/>
          <w:szCs w:val="16"/>
        </w:rPr>
        <w:t>8.5</w:t>
      </w:r>
      <w:r w:rsidRPr="00D740EC">
        <w:rPr>
          <w:sz w:val="16"/>
          <w:szCs w:val="16"/>
        </w:rPr>
        <w:tab/>
        <w:t>Geriatric Use</w:t>
      </w:r>
    </w:p>
    <w:p w:rsidR="005637FA" w:rsidRPr="00D740EC" w:rsidRDefault="005637FA" w:rsidP="005637FA">
      <w:pPr>
        <w:shd w:val="clear" w:color="auto" w:fill="FFFFFF"/>
        <w:tabs>
          <w:tab w:val="left" w:pos="270"/>
          <w:tab w:val="left" w:pos="720"/>
        </w:tabs>
        <w:ind w:left="270"/>
        <w:rPr>
          <w:sz w:val="16"/>
          <w:szCs w:val="16"/>
        </w:rPr>
      </w:pPr>
      <w:r w:rsidRPr="00D740EC">
        <w:rPr>
          <w:sz w:val="16"/>
          <w:szCs w:val="16"/>
        </w:rPr>
        <w:t>8.6</w:t>
      </w:r>
      <w:r w:rsidRPr="00D740EC">
        <w:rPr>
          <w:sz w:val="16"/>
          <w:szCs w:val="16"/>
        </w:rPr>
        <w:tab/>
        <w:t>Hepatic Impairment</w:t>
      </w:r>
    </w:p>
    <w:p w:rsidR="005637FA" w:rsidRPr="00570870" w:rsidRDefault="005637FA" w:rsidP="00570870">
      <w:pPr>
        <w:shd w:val="clear" w:color="auto" w:fill="FFFFFF"/>
        <w:tabs>
          <w:tab w:val="left" w:pos="270"/>
          <w:tab w:val="left" w:pos="720"/>
        </w:tabs>
        <w:ind w:left="270"/>
        <w:rPr>
          <w:sz w:val="16"/>
          <w:szCs w:val="16"/>
        </w:rPr>
      </w:pPr>
      <w:r w:rsidRPr="00D740EC">
        <w:rPr>
          <w:sz w:val="16"/>
          <w:szCs w:val="16"/>
        </w:rPr>
        <w:t>8.7</w:t>
      </w:r>
      <w:r w:rsidRPr="00D740EC">
        <w:rPr>
          <w:sz w:val="16"/>
          <w:szCs w:val="16"/>
        </w:rPr>
        <w:tab/>
        <w:t>Renal Impairment</w:t>
      </w:r>
    </w:p>
    <w:p w:rsidR="005637FA" w:rsidRPr="00D740EC" w:rsidRDefault="005637FA" w:rsidP="005637FA">
      <w:pPr>
        <w:pStyle w:val="Heading2"/>
        <w:tabs>
          <w:tab w:val="left" w:pos="274"/>
          <w:tab w:val="left" w:pos="333"/>
        </w:tabs>
        <w:rPr>
          <w:szCs w:val="16"/>
        </w:rPr>
      </w:pPr>
      <w:r w:rsidRPr="00D740EC">
        <w:rPr>
          <w:szCs w:val="16"/>
        </w:rPr>
        <w:t>11</w:t>
      </w:r>
      <w:r w:rsidRPr="00D740EC">
        <w:rPr>
          <w:szCs w:val="16"/>
        </w:rPr>
        <w:tab/>
        <w:t>DESCRIPTION</w:t>
      </w:r>
    </w:p>
    <w:p w:rsidR="005637FA" w:rsidRPr="00D740EC" w:rsidRDefault="005637FA" w:rsidP="005637FA">
      <w:pPr>
        <w:pStyle w:val="Heading5"/>
        <w:tabs>
          <w:tab w:val="left" w:pos="274"/>
          <w:tab w:val="left" w:pos="333"/>
        </w:tabs>
        <w:rPr>
          <w:sz w:val="16"/>
          <w:szCs w:val="16"/>
          <w:u w:val="none"/>
        </w:rPr>
      </w:pPr>
      <w:r w:rsidRPr="00D740EC">
        <w:rPr>
          <w:sz w:val="16"/>
          <w:szCs w:val="16"/>
          <w:u w:val="none"/>
        </w:rPr>
        <w:t>12</w:t>
      </w:r>
      <w:r w:rsidRPr="00D740EC">
        <w:rPr>
          <w:sz w:val="16"/>
          <w:szCs w:val="16"/>
          <w:u w:val="none"/>
        </w:rPr>
        <w:tab/>
        <w:t>CLINICAL PHARMACOLOGY</w:t>
      </w:r>
    </w:p>
    <w:p w:rsidR="005637FA" w:rsidRPr="00D740EC" w:rsidRDefault="005637FA" w:rsidP="005637FA">
      <w:pPr>
        <w:shd w:val="clear" w:color="auto" w:fill="FFFFFF"/>
        <w:tabs>
          <w:tab w:val="left" w:pos="270"/>
          <w:tab w:val="left" w:pos="720"/>
        </w:tabs>
        <w:ind w:left="270"/>
        <w:rPr>
          <w:sz w:val="16"/>
          <w:szCs w:val="16"/>
        </w:rPr>
      </w:pPr>
      <w:r w:rsidRPr="00D740EC">
        <w:rPr>
          <w:sz w:val="16"/>
          <w:szCs w:val="16"/>
        </w:rPr>
        <w:t>12.1</w:t>
      </w:r>
      <w:r w:rsidRPr="00D740EC">
        <w:rPr>
          <w:sz w:val="16"/>
          <w:szCs w:val="16"/>
        </w:rPr>
        <w:tab/>
        <w:t>Mechanism of Action</w:t>
      </w:r>
    </w:p>
    <w:p w:rsidR="005637FA" w:rsidRPr="001C6A53" w:rsidRDefault="005637FA" w:rsidP="005637FA">
      <w:pPr>
        <w:shd w:val="clear" w:color="auto" w:fill="FFFFFF"/>
        <w:tabs>
          <w:tab w:val="left" w:pos="270"/>
          <w:tab w:val="left" w:pos="720"/>
        </w:tabs>
        <w:ind w:left="270"/>
        <w:rPr>
          <w:sz w:val="16"/>
          <w:szCs w:val="16"/>
        </w:rPr>
      </w:pPr>
      <w:r w:rsidRPr="001C6A53">
        <w:rPr>
          <w:sz w:val="16"/>
          <w:szCs w:val="16"/>
        </w:rPr>
        <w:t>12.2</w:t>
      </w:r>
      <w:r w:rsidRPr="001C6A53">
        <w:rPr>
          <w:sz w:val="16"/>
          <w:szCs w:val="16"/>
        </w:rPr>
        <w:tab/>
        <w:t>Pharmacodynamics</w:t>
      </w:r>
    </w:p>
    <w:p w:rsidR="005637FA" w:rsidRPr="001C6A53" w:rsidRDefault="005637FA" w:rsidP="005637FA">
      <w:pPr>
        <w:shd w:val="clear" w:color="auto" w:fill="FFFFFF"/>
        <w:tabs>
          <w:tab w:val="left" w:pos="270"/>
          <w:tab w:val="left" w:pos="720"/>
        </w:tabs>
        <w:ind w:left="270"/>
        <w:rPr>
          <w:sz w:val="16"/>
          <w:szCs w:val="16"/>
        </w:rPr>
      </w:pPr>
      <w:r w:rsidRPr="001C6A53">
        <w:rPr>
          <w:sz w:val="16"/>
          <w:szCs w:val="16"/>
        </w:rPr>
        <w:t>12.3</w:t>
      </w:r>
      <w:r w:rsidRPr="001C6A53">
        <w:rPr>
          <w:sz w:val="16"/>
          <w:szCs w:val="16"/>
        </w:rPr>
        <w:tab/>
        <w:t>Pharmacokinetics</w:t>
      </w:r>
    </w:p>
    <w:p w:rsidR="005637FA" w:rsidRPr="00D740EC" w:rsidRDefault="005637FA" w:rsidP="005637FA">
      <w:pPr>
        <w:pStyle w:val="Heading2"/>
        <w:tabs>
          <w:tab w:val="left" w:pos="274"/>
          <w:tab w:val="left" w:pos="315"/>
        </w:tabs>
        <w:rPr>
          <w:szCs w:val="16"/>
        </w:rPr>
      </w:pPr>
      <w:r w:rsidRPr="00D740EC">
        <w:rPr>
          <w:szCs w:val="16"/>
        </w:rPr>
        <w:t>13</w:t>
      </w:r>
      <w:r w:rsidRPr="00D740EC">
        <w:rPr>
          <w:szCs w:val="16"/>
        </w:rPr>
        <w:tab/>
        <w:t>NONCLINICAL TOXICOLOGY</w:t>
      </w:r>
    </w:p>
    <w:p w:rsidR="005637FA" w:rsidRDefault="005637FA" w:rsidP="005637FA">
      <w:pPr>
        <w:shd w:val="clear" w:color="auto" w:fill="FFFFFF"/>
        <w:tabs>
          <w:tab w:val="left" w:pos="270"/>
          <w:tab w:val="left" w:pos="720"/>
        </w:tabs>
        <w:ind w:left="270"/>
        <w:rPr>
          <w:sz w:val="16"/>
          <w:szCs w:val="16"/>
        </w:rPr>
      </w:pPr>
      <w:r w:rsidRPr="00D740EC">
        <w:rPr>
          <w:sz w:val="16"/>
          <w:szCs w:val="16"/>
        </w:rPr>
        <w:t>13.1</w:t>
      </w:r>
      <w:r w:rsidRPr="00D740EC">
        <w:rPr>
          <w:sz w:val="16"/>
          <w:szCs w:val="16"/>
        </w:rPr>
        <w:tab/>
        <w:t>Carcinogenesis, Mutagenesis, Impairment of Fertility</w:t>
      </w:r>
    </w:p>
    <w:p w:rsidR="007A350B" w:rsidRPr="00D740EC" w:rsidRDefault="007A350B" w:rsidP="005637FA">
      <w:pPr>
        <w:shd w:val="clear" w:color="auto" w:fill="FFFFFF"/>
        <w:tabs>
          <w:tab w:val="left" w:pos="270"/>
          <w:tab w:val="left" w:pos="720"/>
        </w:tabs>
        <w:ind w:left="270"/>
        <w:rPr>
          <w:sz w:val="16"/>
          <w:szCs w:val="16"/>
        </w:rPr>
      </w:pPr>
      <w:r w:rsidRPr="007A350B">
        <w:rPr>
          <w:sz w:val="16"/>
          <w:szCs w:val="16"/>
        </w:rPr>
        <w:t>13.2</w:t>
      </w:r>
      <w:r w:rsidRPr="007A350B">
        <w:rPr>
          <w:sz w:val="16"/>
          <w:szCs w:val="16"/>
        </w:rPr>
        <w:tab/>
        <w:t>Animal Toxicology and/or Pharmacology</w:t>
      </w:r>
    </w:p>
    <w:p w:rsidR="005637FA" w:rsidRPr="00D740EC" w:rsidRDefault="005637FA" w:rsidP="005637FA">
      <w:pPr>
        <w:pStyle w:val="Heading2"/>
        <w:tabs>
          <w:tab w:val="left" w:pos="274"/>
        </w:tabs>
        <w:rPr>
          <w:szCs w:val="16"/>
        </w:rPr>
      </w:pPr>
      <w:r w:rsidRPr="00D740EC">
        <w:rPr>
          <w:szCs w:val="16"/>
        </w:rPr>
        <w:t>14</w:t>
      </w:r>
      <w:r>
        <w:rPr>
          <w:szCs w:val="16"/>
        </w:rPr>
        <w:tab/>
      </w:r>
      <w:r w:rsidRPr="00D740EC">
        <w:rPr>
          <w:szCs w:val="16"/>
        </w:rPr>
        <w:t>CLINICAL STUDIES</w:t>
      </w:r>
    </w:p>
    <w:p w:rsidR="005637FA" w:rsidRPr="00D740EC" w:rsidRDefault="005637FA" w:rsidP="005637FA">
      <w:pPr>
        <w:shd w:val="clear" w:color="auto" w:fill="FFFFFF"/>
        <w:tabs>
          <w:tab w:val="left" w:pos="720"/>
        </w:tabs>
        <w:ind w:left="720" w:hanging="446"/>
        <w:rPr>
          <w:sz w:val="16"/>
          <w:szCs w:val="16"/>
        </w:rPr>
      </w:pPr>
      <w:r w:rsidRPr="00D740EC">
        <w:rPr>
          <w:sz w:val="16"/>
          <w:szCs w:val="16"/>
        </w:rPr>
        <w:t>14.1</w:t>
      </w:r>
      <w:r w:rsidRPr="00D740EC">
        <w:rPr>
          <w:sz w:val="16"/>
          <w:szCs w:val="16"/>
        </w:rPr>
        <w:tab/>
      </w:r>
      <w:r w:rsidRPr="005A366D">
        <w:rPr>
          <w:sz w:val="16"/>
          <w:szCs w:val="16"/>
        </w:rPr>
        <w:t xml:space="preserve">ALK-Positive </w:t>
      </w:r>
      <w:r>
        <w:rPr>
          <w:sz w:val="16"/>
          <w:szCs w:val="16"/>
        </w:rPr>
        <w:t>Metastatic</w:t>
      </w:r>
      <w:r w:rsidRPr="005A366D">
        <w:rPr>
          <w:sz w:val="16"/>
          <w:szCs w:val="16"/>
        </w:rPr>
        <w:t xml:space="preserve"> NSCLC</w:t>
      </w:r>
      <w:r>
        <w:rPr>
          <w:sz w:val="16"/>
          <w:szCs w:val="16"/>
        </w:rPr>
        <w:t xml:space="preserve"> Previously Treated with an ALK </w:t>
      </w:r>
      <w:r w:rsidR="0043755E">
        <w:rPr>
          <w:sz w:val="16"/>
          <w:szCs w:val="16"/>
        </w:rPr>
        <w:t xml:space="preserve">Kinase </w:t>
      </w:r>
      <w:r>
        <w:rPr>
          <w:sz w:val="16"/>
          <w:szCs w:val="16"/>
        </w:rPr>
        <w:t>Inhibitor</w:t>
      </w:r>
    </w:p>
    <w:p w:rsidR="005637FA" w:rsidRPr="00D740EC" w:rsidRDefault="005637FA" w:rsidP="005637FA">
      <w:pPr>
        <w:pStyle w:val="Heading2"/>
        <w:tabs>
          <w:tab w:val="left" w:pos="274"/>
        </w:tabs>
        <w:rPr>
          <w:szCs w:val="16"/>
        </w:rPr>
      </w:pPr>
      <w:r>
        <w:rPr>
          <w:szCs w:val="16"/>
        </w:rPr>
        <w:t>16</w:t>
      </w:r>
      <w:r>
        <w:rPr>
          <w:szCs w:val="16"/>
        </w:rPr>
        <w:tab/>
      </w:r>
      <w:r w:rsidRPr="00D740EC">
        <w:rPr>
          <w:szCs w:val="16"/>
        </w:rPr>
        <w:t>HOW SUPPLIED/STORAGE AND HANDLING</w:t>
      </w:r>
    </w:p>
    <w:p w:rsidR="005637FA" w:rsidRPr="00D740EC" w:rsidRDefault="005637FA" w:rsidP="005637FA">
      <w:pPr>
        <w:pStyle w:val="Heading2"/>
        <w:tabs>
          <w:tab w:val="left" w:pos="274"/>
        </w:tabs>
        <w:rPr>
          <w:szCs w:val="16"/>
        </w:rPr>
      </w:pPr>
      <w:r w:rsidRPr="00D740EC">
        <w:rPr>
          <w:szCs w:val="16"/>
        </w:rPr>
        <w:t>17</w:t>
      </w:r>
      <w:r>
        <w:rPr>
          <w:szCs w:val="16"/>
        </w:rPr>
        <w:tab/>
      </w:r>
      <w:r w:rsidRPr="00D740EC">
        <w:rPr>
          <w:szCs w:val="16"/>
        </w:rPr>
        <w:t>PATIENT COUNSELING INFORMATION</w:t>
      </w:r>
    </w:p>
    <w:p w:rsidR="005637FA" w:rsidRPr="00D740EC" w:rsidRDefault="005637FA" w:rsidP="005637FA">
      <w:pPr>
        <w:tabs>
          <w:tab w:val="left" w:pos="274"/>
        </w:tabs>
        <w:jc w:val="both"/>
        <w:rPr>
          <w:sz w:val="16"/>
          <w:szCs w:val="16"/>
        </w:rPr>
      </w:pPr>
    </w:p>
    <w:p w:rsidR="005637FA" w:rsidRPr="00D740EC" w:rsidRDefault="005637FA" w:rsidP="005637FA">
      <w:pPr>
        <w:tabs>
          <w:tab w:val="left" w:pos="270"/>
        </w:tabs>
        <w:rPr>
          <w:sz w:val="16"/>
          <w:szCs w:val="16"/>
        </w:rPr>
        <w:sectPr w:rsidR="005637FA" w:rsidRPr="00D740EC">
          <w:type w:val="continuous"/>
          <w:pgSz w:w="12240" w:h="15840"/>
          <w:pgMar w:top="720" w:right="720" w:bottom="720" w:left="720" w:header="720" w:footer="720" w:gutter="0"/>
          <w:cols w:num="2" w:space="720"/>
          <w:docGrid w:linePitch="360"/>
        </w:sectPr>
      </w:pPr>
      <w:r w:rsidRPr="00D740EC">
        <w:rPr>
          <w:sz w:val="16"/>
          <w:szCs w:val="16"/>
        </w:rPr>
        <w:t>*Sections or subsections omitted from the full prescribing information are not listed.</w:t>
      </w:r>
    </w:p>
    <w:p w:rsidR="00B87DC4" w:rsidRPr="00D740EC" w:rsidRDefault="00B87DC4" w:rsidP="00832FC0">
      <w:pPr>
        <w:pStyle w:val="Heading3"/>
        <w:sectPr w:rsidR="00B87DC4" w:rsidRPr="00D740EC" w:rsidSect="00DD0D9A">
          <w:type w:val="continuous"/>
          <w:pgSz w:w="12240" w:h="15840" w:code="1"/>
          <w:pgMar w:top="864" w:right="864" w:bottom="864" w:left="864" w:header="720" w:footer="720" w:gutter="0"/>
          <w:cols w:num="2" w:space="720"/>
          <w:docGrid w:linePitch="360"/>
        </w:sectPr>
      </w:pPr>
    </w:p>
    <w:p w:rsidR="00793D84" w:rsidRPr="00D740EC" w:rsidRDefault="00793D84" w:rsidP="00793D84">
      <w:pPr>
        <w:pStyle w:val="BodyText3"/>
        <w:jc w:val="left"/>
        <w:rPr>
          <w:i w:val="0"/>
          <w:szCs w:val="16"/>
        </w:rPr>
      </w:pPr>
      <w:bookmarkStart w:id="2" w:name="_Toc128065003"/>
      <w:r w:rsidRPr="00D740EC">
        <w:rPr>
          <w:i w:val="0"/>
          <w:szCs w:val="16"/>
        </w:rPr>
        <w:t>_______________________________________________________________________________________________________________________________________</w:t>
      </w:r>
    </w:p>
    <w:p w:rsidR="00B87DC4" w:rsidRDefault="00C53F54" w:rsidP="001E1D15">
      <w:pPr>
        <w:pStyle w:val="Heading1"/>
        <w:jc w:val="left"/>
        <w:rPr>
          <w:sz w:val="24"/>
          <w:szCs w:val="24"/>
        </w:rPr>
      </w:pPr>
      <w:r w:rsidRPr="00BA102E">
        <w:rPr>
          <w:rFonts w:ascii="Arial" w:hAnsi="Arial"/>
          <w:sz w:val="24"/>
          <w:szCs w:val="24"/>
        </w:rPr>
        <w:br w:type="page"/>
      </w:r>
      <w:r w:rsidR="00794CA9" w:rsidRPr="00BA102E">
        <w:rPr>
          <w:sz w:val="24"/>
          <w:szCs w:val="24"/>
        </w:rPr>
        <w:lastRenderedPageBreak/>
        <w:t>FULL PRESCRIBING INFORMATION</w:t>
      </w:r>
    </w:p>
    <w:p w:rsidR="001E1D15" w:rsidRPr="001E1D15" w:rsidRDefault="001E1D15" w:rsidP="001E1D15"/>
    <w:p w:rsidR="00DD0D9A" w:rsidRPr="00BA102E" w:rsidRDefault="002F4A5A" w:rsidP="001E1D15">
      <w:pPr>
        <w:pStyle w:val="Heading6"/>
        <w:numPr>
          <w:ilvl w:val="0"/>
          <w:numId w:val="0"/>
        </w:numPr>
        <w:rPr>
          <w:sz w:val="24"/>
          <w:szCs w:val="24"/>
        </w:rPr>
      </w:pPr>
      <w:r>
        <w:rPr>
          <w:sz w:val="24"/>
          <w:szCs w:val="24"/>
        </w:rPr>
        <w:t>1</w:t>
      </w:r>
      <w:r w:rsidR="00E75CA2">
        <w:rPr>
          <w:sz w:val="24"/>
          <w:szCs w:val="24"/>
        </w:rPr>
        <w:tab/>
      </w:r>
      <w:r w:rsidR="00E75CA2">
        <w:rPr>
          <w:sz w:val="24"/>
          <w:szCs w:val="24"/>
        </w:rPr>
        <w:tab/>
      </w:r>
      <w:r w:rsidR="00EA5D47">
        <w:rPr>
          <w:sz w:val="24"/>
          <w:szCs w:val="24"/>
        </w:rPr>
        <w:tab/>
      </w:r>
      <w:r w:rsidR="00DD0D9A" w:rsidRPr="00BA102E">
        <w:rPr>
          <w:sz w:val="24"/>
          <w:szCs w:val="24"/>
        </w:rPr>
        <w:t>INDICATIONS AND USAGE</w:t>
      </w:r>
      <w:bookmarkEnd w:id="2"/>
    </w:p>
    <w:p w:rsidR="001E1D15" w:rsidRDefault="001E1D15" w:rsidP="001E1D15">
      <w:pPr>
        <w:rPr>
          <w:sz w:val="24"/>
          <w:szCs w:val="24"/>
        </w:rPr>
      </w:pPr>
    </w:p>
    <w:p w:rsidR="00912469" w:rsidRDefault="001A2032" w:rsidP="00912469">
      <w:pPr>
        <w:rPr>
          <w:sz w:val="24"/>
          <w:szCs w:val="24"/>
        </w:rPr>
      </w:pPr>
      <w:r>
        <w:rPr>
          <w:sz w:val="24"/>
          <w:szCs w:val="24"/>
        </w:rPr>
        <w:t>LORBRENA</w:t>
      </w:r>
      <w:r w:rsidR="00997092" w:rsidRPr="00177719">
        <w:rPr>
          <w:sz w:val="24"/>
          <w:szCs w:val="16"/>
          <w:vertAlign w:val="superscript"/>
        </w:rPr>
        <w:t>®</w:t>
      </w:r>
      <w:r w:rsidR="00F424C7">
        <w:rPr>
          <w:sz w:val="24"/>
          <w:szCs w:val="24"/>
        </w:rPr>
        <w:t xml:space="preserve"> </w:t>
      </w:r>
      <w:r w:rsidR="00EE3B98" w:rsidRPr="00AA175B">
        <w:rPr>
          <w:sz w:val="24"/>
          <w:szCs w:val="24"/>
        </w:rPr>
        <w:t>is indicated for the treatment of patients with anaplastic lymphoma kinase (ALK)</w:t>
      </w:r>
      <w:r w:rsidR="00EE3B98">
        <w:rPr>
          <w:sz w:val="24"/>
          <w:szCs w:val="24"/>
        </w:rPr>
        <w:noBreakHyphen/>
      </w:r>
      <w:r w:rsidR="00EE3B98" w:rsidRPr="00AA175B">
        <w:rPr>
          <w:sz w:val="24"/>
          <w:szCs w:val="24"/>
        </w:rPr>
        <w:t xml:space="preserve">positive </w:t>
      </w:r>
      <w:r w:rsidR="00EE3B98">
        <w:rPr>
          <w:sz w:val="24"/>
          <w:szCs w:val="24"/>
        </w:rPr>
        <w:t>metastatic</w:t>
      </w:r>
      <w:r w:rsidR="00EE3B98" w:rsidRPr="00AA175B">
        <w:rPr>
          <w:sz w:val="24"/>
          <w:szCs w:val="24"/>
        </w:rPr>
        <w:t xml:space="preserve"> non-small cell lung cancer (NSCLC</w:t>
      </w:r>
      <w:r w:rsidR="007D3B45" w:rsidRPr="00AA175B">
        <w:rPr>
          <w:sz w:val="24"/>
          <w:szCs w:val="24"/>
        </w:rPr>
        <w:t>)</w:t>
      </w:r>
      <w:r w:rsidR="007D3B45">
        <w:rPr>
          <w:sz w:val="24"/>
          <w:szCs w:val="24"/>
        </w:rPr>
        <w:t xml:space="preserve"> whose disease has progressed on</w:t>
      </w:r>
      <w:r w:rsidR="009820D8" w:rsidRPr="009820D8">
        <w:rPr>
          <w:sz w:val="24"/>
          <w:szCs w:val="24"/>
        </w:rPr>
        <w:t xml:space="preserve"> </w:t>
      </w:r>
    </w:p>
    <w:p w:rsidR="00912469" w:rsidRDefault="00912469" w:rsidP="001E0DEB">
      <w:pPr>
        <w:numPr>
          <w:ilvl w:val="1"/>
          <w:numId w:val="7"/>
        </w:numPr>
        <w:tabs>
          <w:tab w:val="clear" w:pos="1440"/>
          <w:tab w:val="num" w:pos="426"/>
        </w:tabs>
        <w:ind w:left="0" w:firstLine="0"/>
        <w:rPr>
          <w:sz w:val="24"/>
          <w:szCs w:val="24"/>
        </w:rPr>
      </w:pPr>
      <w:r>
        <w:rPr>
          <w:sz w:val="24"/>
          <w:szCs w:val="24"/>
        </w:rPr>
        <w:t>crizotinib and at least one other</w:t>
      </w:r>
      <w:r w:rsidRPr="00AA175B">
        <w:rPr>
          <w:sz w:val="24"/>
          <w:szCs w:val="24"/>
        </w:rPr>
        <w:t xml:space="preserve"> ALK inhibitor</w:t>
      </w:r>
      <w:r>
        <w:rPr>
          <w:sz w:val="24"/>
          <w:szCs w:val="24"/>
        </w:rPr>
        <w:t xml:space="preserve"> for metastatic disease; or </w:t>
      </w:r>
    </w:p>
    <w:p w:rsidR="00912469" w:rsidRDefault="00912469" w:rsidP="001E0DEB">
      <w:pPr>
        <w:numPr>
          <w:ilvl w:val="1"/>
          <w:numId w:val="7"/>
        </w:numPr>
        <w:tabs>
          <w:tab w:val="clear" w:pos="1440"/>
          <w:tab w:val="num" w:pos="426"/>
        </w:tabs>
        <w:ind w:left="0" w:firstLine="0"/>
        <w:rPr>
          <w:sz w:val="24"/>
          <w:szCs w:val="24"/>
        </w:rPr>
      </w:pPr>
      <w:r>
        <w:rPr>
          <w:sz w:val="24"/>
          <w:szCs w:val="24"/>
        </w:rPr>
        <w:t>alectinib</w:t>
      </w:r>
      <w:r w:rsidRPr="0014354D">
        <w:rPr>
          <w:sz w:val="24"/>
          <w:szCs w:val="24"/>
        </w:rPr>
        <w:t xml:space="preserve"> </w:t>
      </w:r>
      <w:r>
        <w:rPr>
          <w:sz w:val="24"/>
          <w:szCs w:val="24"/>
        </w:rPr>
        <w:t xml:space="preserve">as the first </w:t>
      </w:r>
      <w:r w:rsidRPr="00AA175B">
        <w:rPr>
          <w:sz w:val="24"/>
          <w:szCs w:val="24"/>
        </w:rPr>
        <w:t>ALK inhibitor</w:t>
      </w:r>
      <w:r>
        <w:rPr>
          <w:sz w:val="24"/>
          <w:szCs w:val="24"/>
        </w:rPr>
        <w:t xml:space="preserve"> therapy for metastatic disease; or </w:t>
      </w:r>
    </w:p>
    <w:p w:rsidR="00912469" w:rsidRDefault="00912469" w:rsidP="001E0DEB">
      <w:pPr>
        <w:numPr>
          <w:ilvl w:val="1"/>
          <w:numId w:val="7"/>
        </w:numPr>
        <w:tabs>
          <w:tab w:val="clear" w:pos="1440"/>
          <w:tab w:val="num" w:pos="426"/>
        </w:tabs>
        <w:ind w:left="0" w:firstLine="0"/>
        <w:rPr>
          <w:sz w:val="24"/>
          <w:szCs w:val="24"/>
        </w:rPr>
      </w:pPr>
      <w:r>
        <w:rPr>
          <w:sz w:val="24"/>
          <w:szCs w:val="24"/>
        </w:rPr>
        <w:t xml:space="preserve">ceritinib as the first </w:t>
      </w:r>
      <w:r w:rsidRPr="00AA175B">
        <w:rPr>
          <w:sz w:val="24"/>
          <w:szCs w:val="24"/>
        </w:rPr>
        <w:t>ALK inhibitor</w:t>
      </w:r>
      <w:r>
        <w:rPr>
          <w:sz w:val="24"/>
          <w:szCs w:val="24"/>
        </w:rPr>
        <w:t xml:space="preserve"> therapy for metastatic disease.</w:t>
      </w:r>
    </w:p>
    <w:p w:rsidR="001E1D15" w:rsidRDefault="001E1D15" w:rsidP="001E1D15">
      <w:pPr>
        <w:rPr>
          <w:sz w:val="24"/>
          <w:szCs w:val="24"/>
        </w:rPr>
      </w:pPr>
    </w:p>
    <w:p w:rsidR="00AA175B" w:rsidRDefault="00BE0072" w:rsidP="001E1D15">
      <w:pPr>
        <w:rPr>
          <w:sz w:val="24"/>
          <w:szCs w:val="24"/>
        </w:rPr>
      </w:pPr>
      <w:r w:rsidRPr="00BE0072">
        <w:rPr>
          <w:sz w:val="24"/>
          <w:szCs w:val="24"/>
        </w:rPr>
        <w:t xml:space="preserve">This indication is approved under accelerated approval based on tumor response rate and duration of response </w:t>
      </w:r>
      <w:r w:rsidRPr="00BE0072">
        <w:rPr>
          <w:i/>
          <w:sz w:val="24"/>
          <w:szCs w:val="24"/>
        </w:rPr>
        <w:t>[see Clinical Studies (14</w:t>
      </w:r>
      <w:r w:rsidR="004B19A8">
        <w:rPr>
          <w:i/>
          <w:sz w:val="24"/>
          <w:szCs w:val="24"/>
        </w:rPr>
        <w:t>.1</w:t>
      </w:r>
      <w:r w:rsidRPr="00BE0072">
        <w:rPr>
          <w:i/>
          <w:sz w:val="24"/>
          <w:szCs w:val="24"/>
        </w:rPr>
        <w:t>)]</w:t>
      </w:r>
      <w:r w:rsidRPr="00BE0072">
        <w:rPr>
          <w:sz w:val="24"/>
          <w:szCs w:val="24"/>
        </w:rPr>
        <w:t>. Continued approval for this indication may be contingent upon verification and description of clinical benefit in a confirmatory trial.</w:t>
      </w:r>
      <w:r w:rsidR="004B19A8">
        <w:rPr>
          <w:sz w:val="24"/>
          <w:szCs w:val="24"/>
        </w:rPr>
        <w:t xml:space="preserve"> </w:t>
      </w:r>
    </w:p>
    <w:p w:rsidR="001E1D15" w:rsidRDefault="001E1D15" w:rsidP="001E1D15">
      <w:pPr>
        <w:rPr>
          <w:sz w:val="24"/>
          <w:szCs w:val="24"/>
        </w:rPr>
      </w:pPr>
    </w:p>
    <w:p w:rsidR="00DD0D9A" w:rsidRDefault="00E56EEA" w:rsidP="001E1D15">
      <w:pPr>
        <w:pStyle w:val="Heading1"/>
        <w:tabs>
          <w:tab w:val="left" w:pos="288"/>
        </w:tabs>
        <w:jc w:val="left"/>
        <w:rPr>
          <w:rFonts w:eastAsia="Arial"/>
          <w:sz w:val="24"/>
          <w:szCs w:val="24"/>
        </w:rPr>
      </w:pPr>
      <w:bookmarkStart w:id="3" w:name="_Toc128065004"/>
      <w:r w:rsidRPr="00BA102E">
        <w:rPr>
          <w:sz w:val="24"/>
          <w:szCs w:val="24"/>
        </w:rPr>
        <w:t>2</w:t>
      </w:r>
      <w:r w:rsidR="00EA5D47">
        <w:rPr>
          <w:sz w:val="24"/>
          <w:szCs w:val="24"/>
        </w:rPr>
        <w:tab/>
      </w:r>
      <w:r w:rsidR="00EA5D47">
        <w:rPr>
          <w:sz w:val="24"/>
          <w:szCs w:val="24"/>
        </w:rPr>
        <w:tab/>
      </w:r>
      <w:r w:rsidR="00DD0D9A" w:rsidRPr="00BA102E">
        <w:rPr>
          <w:sz w:val="24"/>
          <w:szCs w:val="24"/>
        </w:rPr>
        <w:t>DOSAGE AND ADMINISTRATION</w:t>
      </w:r>
      <w:bookmarkEnd w:id="3"/>
      <w:r w:rsidR="00DD0D9A" w:rsidRPr="00BA102E">
        <w:rPr>
          <w:rFonts w:eastAsia="Arial"/>
          <w:sz w:val="24"/>
          <w:szCs w:val="24"/>
        </w:rPr>
        <w:t> </w:t>
      </w:r>
    </w:p>
    <w:p w:rsidR="001E1D15" w:rsidRPr="001E1D15" w:rsidRDefault="001E1D15" w:rsidP="001E1D15"/>
    <w:p w:rsidR="00DD0D9A" w:rsidRDefault="00E56EEA" w:rsidP="00C0057E">
      <w:pPr>
        <w:tabs>
          <w:tab w:val="left" w:pos="540"/>
        </w:tabs>
        <w:rPr>
          <w:b/>
          <w:sz w:val="24"/>
          <w:szCs w:val="24"/>
        </w:rPr>
      </w:pPr>
      <w:r w:rsidRPr="00BA102E">
        <w:rPr>
          <w:b/>
          <w:sz w:val="24"/>
          <w:szCs w:val="24"/>
        </w:rPr>
        <w:t>2.1</w:t>
      </w:r>
      <w:r w:rsidRPr="00BA102E">
        <w:rPr>
          <w:b/>
          <w:sz w:val="24"/>
          <w:szCs w:val="24"/>
        </w:rPr>
        <w:tab/>
      </w:r>
      <w:r w:rsidR="00DE4354">
        <w:rPr>
          <w:b/>
          <w:sz w:val="24"/>
          <w:szCs w:val="24"/>
        </w:rPr>
        <w:t xml:space="preserve">Recommended </w:t>
      </w:r>
      <w:r w:rsidR="008134BD">
        <w:rPr>
          <w:b/>
          <w:sz w:val="24"/>
          <w:szCs w:val="24"/>
        </w:rPr>
        <w:t>Dosage</w:t>
      </w:r>
    </w:p>
    <w:p w:rsidR="001E1D15" w:rsidRPr="00BA102E" w:rsidRDefault="001E1D15" w:rsidP="001E1D15">
      <w:pPr>
        <w:tabs>
          <w:tab w:val="left" w:pos="0"/>
        </w:tabs>
        <w:rPr>
          <w:b/>
          <w:sz w:val="24"/>
          <w:szCs w:val="24"/>
        </w:rPr>
      </w:pPr>
    </w:p>
    <w:p w:rsidR="00134A29" w:rsidRDefault="00134A29" w:rsidP="001E1D15">
      <w:pPr>
        <w:rPr>
          <w:sz w:val="24"/>
          <w:szCs w:val="24"/>
        </w:rPr>
      </w:pPr>
      <w:r w:rsidRPr="00134A29">
        <w:rPr>
          <w:sz w:val="24"/>
          <w:szCs w:val="24"/>
        </w:rPr>
        <w:t>The recommended dos</w:t>
      </w:r>
      <w:r w:rsidR="00DE4354">
        <w:rPr>
          <w:sz w:val="24"/>
          <w:szCs w:val="24"/>
        </w:rPr>
        <w:t>ag</w:t>
      </w:r>
      <w:r w:rsidRPr="00134A29">
        <w:rPr>
          <w:sz w:val="24"/>
          <w:szCs w:val="24"/>
        </w:rPr>
        <w:t xml:space="preserve">e of </w:t>
      </w:r>
      <w:r w:rsidR="001A2032">
        <w:rPr>
          <w:sz w:val="24"/>
          <w:szCs w:val="24"/>
        </w:rPr>
        <w:t>LORBRENA</w:t>
      </w:r>
      <w:r w:rsidRPr="00134A29">
        <w:rPr>
          <w:sz w:val="24"/>
          <w:szCs w:val="24"/>
        </w:rPr>
        <w:t xml:space="preserve"> is 100</w:t>
      </w:r>
      <w:r w:rsidR="00391869">
        <w:rPr>
          <w:sz w:val="24"/>
          <w:szCs w:val="24"/>
        </w:rPr>
        <w:t> </w:t>
      </w:r>
      <w:r w:rsidRPr="00134A29">
        <w:rPr>
          <w:sz w:val="24"/>
          <w:szCs w:val="24"/>
        </w:rPr>
        <w:t>mg o</w:t>
      </w:r>
      <w:r w:rsidR="00704B1B">
        <w:rPr>
          <w:sz w:val="24"/>
          <w:szCs w:val="24"/>
        </w:rPr>
        <w:t>rally</w:t>
      </w:r>
      <w:r w:rsidR="000073B8">
        <w:rPr>
          <w:sz w:val="24"/>
          <w:szCs w:val="24"/>
        </w:rPr>
        <w:t xml:space="preserve"> once daily</w:t>
      </w:r>
      <w:r w:rsidR="004300FF">
        <w:rPr>
          <w:sz w:val="24"/>
          <w:szCs w:val="24"/>
        </w:rPr>
        <w:t>, with or without food,</w:t>
      </w:r>
      <w:r w:rsidR="00704B1B">
        <w:rPr>
          <w:sz w:val="24"/>
          <w:szCs w:val="24"/>
        </w:rPr>
        <w:t xml:space="preserve"> </w:t>
      </w:r>
      <w:r w:rsidR="00017D45">
        <w:rPr>
          <w:sz w:val="24"/>
          <w:szCs w:val="24"/>
        </w:rPr>
        <w:t xml:space="preserve">until </w:t>
      </w:r>
      <w:r w:rsidR="004300FF">
        <w:rPr>
          <w:sz w:val="24"/>
          <w:szCs w:val="24"/>
        </w:rPr>
        <w:t>disease progression or unacceptable toxicity</w:t>
      </w:r>
      <w:r w:rsidR="004300FF" w:rsidRPr="004300FF">
        <w:rPr>
          <w:i/>
          <w:sz w:val="24"/>
          <w:szCs w:val="24"/>
        </w:rPr>
        <w:t xml:space="preserve"> </w:t>
      </w:r>
      <w:r w:rsidR="004300FF" w:rsidRPr="00ED4A1D">
        <w:rPr>
          <w:i/>
          <w:sz w:val="24"/>
          <w:szCs w:val="24"/>
        </w:rPr>
        <w:t xml:space="preserve">[see </w:t>
      </w:r>
      <w:r w:rsidR="004300FF">
        <w:rPr>
          <w:i/>
          <w:sz w:val="24"/>
          <w:szCs w:val="24"/>
        </w:rPr>
        <w:t>Clinical Pharmacology</w:t>
      </w:r>
      <w:r w:rsidR="004300FF" w:rsidRPr="00ED4A1D">
        <w:rPr>
          <w:i/>
          <w:sz w:val="24"/>
          <w:szCs w:val="24"/>
        </w:rPr>
        <w:t xml:space="preserve"> (</w:t>
      </w:r>
      <w:r w:rsidR="004300FF">
        <w:rPr>
          <w:i/>
          <w:sz w:val="24"/>
          <w:szCs w:val="24"/>
        </w:rPr>
        <w:t>12.3</w:t>
      </w:r>
      <w:r w:rsidR="004300FF" w:rsidRPr="00ED4A1D">
        <w:rPr>
          <w:i/>
          <w:sz w:val="24"/>
          <w:szCs w:val="24"/>
        </w:rPr>
        <w:t>)]</w:t>
      </w:r>
      <w:r w:rsidR="004300FF" w:rsidRPr="00134A29">
        <w:rPr>
          <w:sz w:val="24"/>
          <w:szCs w:val="24"/>
        </w:rPr>
        <w:t>.</w:t>
      </w:r>
    </w:p>
    <w:p w:rsidR="001E1D15" w:rsidRPr="00134A29" w:rsidRDefault="001E1D15" w:rsidP="001E1D15">
      <w:pPr>
        <w:rPr>
          <w:sz w:val="24"/>
          <w:szCs w:val="24"/>
        </w:rPr>
      </w:pPr>
    </w:p>
    <w:p w:rsidR="00134A29" w:rsidRDefault="008F2762" w:rsidP="001E1D15">
      <w:pPr>
        <w:pStyle w:val="CommentText"/>
        <w:rPr>
          <w:sz w:val="24"/>
          <w:szCs w:val="24"/>
        </w:rPr>
      </w:pPr>
      <w:r>
        <w:rPr>
          <w:sz w:val="24"/>
          <w:szCs w:val="24"/>
        </w:rPr>
        <w:t>S</w:t>
      </w:r>
      <w:r w:rsidR="00134A29" w:rsidRPr="00134A29">
        <w:rPr>
          <w:sz w:val="24"/>
          <w:szCs w:val="24"/>
        </w:rPr>
        <w:t>wallow</w:t>
      </w:r>
      <w:r>
        <w:rPr>
          <w:sz w:val="24"/>
          <w:szCs w:val="24"/>
        </w:rPr>
        <w:t xml:space="preserve"> tablets</w:t>
      </w:r>
      <w:r w:rsidR="00134A29" w:rsidRPr="00134A29">
        <w:rPr>
          <w:sz w:val="24"/>
          <w:szCs w:val="24"/>
        </w:rPr>
        <w:t xml:space="preserve"> whole</w:t>
      </w:r>
      <w:r>
        <w:rPr>
          <w:sz w:val="24"/>
          <w:szCs w:val="24"/>
        </w:rPr>
        <w:t>.</w:t>
      </w:r>
      <w:r w:rsidR="00134A29" w:rsidRPr="00134A29">
        <w:rPr>
          <w:sz w:val="24"/>
          <w:szCs w:val="24"/>
        </w:rPr>
        <w:t xml:space="preserve"> </w:t>
      </w:r>
      <w:r w:rsidR="00C154F5">
        <w:rPr>
          <w:sz w:val="24"/>
          <w:szCs w:val="24"/>
        </w:rPr>
        <w:t>Do not</w:t>
      </w:r>
      <w:r w:rsidR="00134A29" w:rsidRPr="00134A29">
        <w:rPr>
          <w:sz w:val="24"/>
          <w:szCs w:val="24"/>
        </w:rPr>
        <w:t xml:space="preserve"> chew, crush or split </w:t>
      </w:r>
      <w:r w:rsidR="00C154F5">
        <w:rPr>
          <w:sz w:val="24"/>
          <w:szCs w:val="24"/>
        </w:rPr>
        <w:t>tablets</w:t>
      </w:r>
      <w:r w:rsidR="00134A29" w:rsidRPr="00134A29">
        <w:rPr>
          <w:sz w:val="24"/>
          <w:szCs w:val="24"/>
        </w:rPr>
        <w:t xml:space="preserve">. </w:t>
      </w:r>
      <w:r w:rsidR="00C154F5">
        <w:rPr>
          <w:sz w:val="24"/>
          <w:szCs w:val="24"/>
        </w:rPr>
        <w:t>Do not</w:t>
      </w:r>
      <w:r w:rsidR="00134A29" w:rsidRPr="00134A29">
        <w:rPr>
          <w:sz w:val="24"/>
          <w:szCs w:val="24"/>
        </w:rPr>
        <w:t xml:space="preserve"> ingest if </w:t>
      </w:r>
      <w:r w:rsidR="00C154F5">
        <w:rPr>
          <w:sz w:val="24"/>
          <w:szCs w:val="24"/>
        </w:rPr>
        <w:t>tablets</w:t>
      </w:r>
      <w:r w:rsidR="00C154F5" w:rsidRPr="00134A29">
        <w:rPr>
          <w:sz w:val="24"/>
          <w:szCs w:val="24"/>
        </w:rPr>
        <w:t xml:space="preserve"> </w:t>
      </w:r>
      <w:r w:rsidR="00C154F5">
        <w:rPr>
          <w:sz w:val="24"/>
          <w:szCs w:val="24"/>
        </w:rPr>
        <w:t>are</w:t>
      </w:r>
      <w:r w:rsidR="00C154F5" w:rsidRPr="00134A29">
        <w:rPr>
          <w:sz w:val="24"/>
          <w:szCs w:val="24"/>
        </w:rPr>
        <w:t xml:space="preserve"> </w:t>
      </w:r>
      <w:r w:rsidR="00134A29" w:rsidRPr="00134A29">
        <w:rPr>
          <w:sz w:val="24"/>
          <w:szCs w:val="24"/>
        </w:rPr>
        <w:t>broken, cracked, or otherwise not intact.</w:t>
      </w:r>
    </w:p>
    <w:p w:rsidR="001E1D15" w:rsidRPr="00134A29" w:rsidRDefault="001E1D15" w:rsidP="001E1D15">
      <w:pPr>
        <w:pStyle w:val="CommentText"/>
        <w:rPr>
          <w:sz w:val="24"/>
          <w:szCs w:val="24"/>
        </w:rPr>
      </w:pPr>
    </w:p>
    <w:p w:rsidR="00174972" w:rsidRDefault="004300FF" w:rsidP="001E1D15">
      <w:pPr>
        <w:rPr>
          <w:sz w:val="24"/>
        </w:rPr>
      </w:pPr>
      <w:r>
        <w:rPr>
          <w:sz w:val="24"/>
          <w:szCs w:val="24"/>
        </w:rPr>
        <w:t>T</w:t>
      </w:r>
      <w:r w:rsidRPr="00134A29">
        <w:rPr>
          <w:sz w:val="24"/>
          <w:szCs w:val="24"/>
        </w:rPr>
        <w:t xml:space="preserve">ake </w:t>
      </w:r>
      <w:r w:rsidR="001A2032">
        <w:rPr>
          <w:sz w:val="24"/>
          <w:szCs w:val="24"/>
        </w:rPr>
        <w:t>LORBRENA</w:t>
      </w:r>
      <w:r w:rsidRPr="00134A29">
        <w:rPr>
          <w:sz w:val="24"/>
          <w:szCs w:val="24"/>
        </w:rPr>
        <w:t xml:space="preserve"> at the same time each day. </w:t>
      </w:r>
      <w:r w:rsidR="00134A29" w:rsidRPr="00134A29">
        <w:rPr>
          <w:sz w:val="24"/>
          <w:szCs w:val="24"/>
        </w:rPr>
        <w:t xml:space="preserve">If a dose is missed, then </w:t>
      </w:r>
      <w:r w:rsidR="00C154F5">
        <w:rPr>
          <w:sz w:val="24"/>
          <w:szCs w:val="24"/>
        </w:rPr>
        <w:t xml:space="preserve">take the </w:t>
      </w:r>
      <w:r w:rsidR="006C4E3D">
        <w:rPr>
          <w:sz w:val="24"/>
          <w:szCs w:val="24"/>
        </w:rPr>
        <w:t xml:space="preserve">missed </w:t>
      </w:r>
      <w:r w:rsidR="00C154F5">
        <w:rPr>
          <w:sz w:val="24"/>
          <w:szCs w:val="24"/>
        </w:rPr>
        <w:t xml:space="preserve">dose </w:t>
      </w:r>
      <w:r w:rsidR="00134A29">
        <w:rPr>
          <w:sz w:val="24"/>
          <w:szCs w:val="24"/>
        </w:rPr>
        <w:t xml:space="preserve">unless </w:t>
      </w:r>
      <w:r w:rsidR="008F2762">
        <w:rPr>
          <w:sz w:val="24"/>
          <w:szCs w:val="24"/>
        </w:rPr>
        <w:t>the next dose is due within</w:t>
      </w:r>
      <w:r w:rsidR="00134A29">
        <w:rPr>
          <w:sz w:val="24"/>
          <w:szCs w:val="24"/>
        </w:rPr>
        <w:t xml:space="preserve"> </w:t>
      </w:r>
      <w:r w:rsidR="00017D45">
        <w:rPr>
          <w:sz w:val="24"/>
          <w:szCs w:val="24"/>
        </w:rPr>
        <w:t>4</w:t>
      </w:r>
      <w:r w:rsidR="00391869">
        <w:rPr>
          <w:sz w:val="24"/>
          <w:szCs w:val="24"/>
        </w:rPr>
        <w:t> </w:t>
      </w:r>
      <w:r w:rsidR="00D80D3D" w:rsidRPr="00D80D3D">
        <w:rPr>
          <w:sz w:val="24"/>
          <w:szCs w:val="24"/>
        </w:rPr>
        <w:t>hours</w:t>
      </w:r>
      <w:r w:rsidR="00134A29" w:rsidRPr="00134A29">
        <w:rPr>
          <w:sz w:val="24"/>
          <w:szCs w:val="24"/>
        </w:rPr>
        <w:t xml:space="preserve">. </w:t>
      </w:r>
      <w:r w:rsidR="00C154F5">
        <w:rPr>
          <w:sz w:val="24"/>
          <w:szCs w:val="24"/>
        </w:rPr>
        <w:t>Do</w:t>
      </w:r>
      <w:r w:rsidR="00134A29" w:rsidRPr="00134A29">
        <w:rPr>
          <w:sz w:val="24"/>
          <w:szCs w:val="24"/>
        </w:rPr>
        <w:t xml:space="preserve"> not take 2</w:t>
      </w:r>
      <w:r w:rsidR="00391869">
        <w:rPr>
          <w:sz w:val="24"/>
          <w:szCs w:val="24"/>
        </w:rPr>
        <w:t> </w:t>
      </w:r>
      <w:r w:rsidR="00134A29" w:rsidRPr="00134A29">
        <w:rPr>
          <w:sz w:val="24"/>
          <w:szCs w:val="24"/>
        </w:rPr>
        <w:t>doses at the same time to make up for a missed dose</w:t>
      </w:r>
      <w:r w:rsidR="00134A29" w:rsidRPr="00BF0F9D">
        <w:rPr>
          <w:sz w:val="24"/>
        </w:rPr>
        <w:t>.</w:t>
      </w:r>
      <w:r w:rsidR="006515CA">
        <w:rPr>
          <w:sz w:val="24"/>
        </w:rPr>
        <w:t xml:space="preserve"> </w:t>
      </w:r>
    </w:p>
    <w:p w:rsidR="001E1D15" w:rsidRDefault="001E1D15" w:rsidP="001E1D15">
      <w:pPr>
        <w:rPr>
          <w:sz w:val="24"/>
        </w:rPr>
      </w:pPr>
    </w:p>
    <w:p w:rsidR="00E56EEA" w:rsidRDefault="006515CA" w:rsidP="001E1D15">
      <w:pPr>
        <w:rPr>
          <w:sz w:val="24"/>
        </w:rPr>
      </w:pPr>
      <w:r>
        <w:rPr>
          <w:sz w:val="24"/>
        </w:rPr>
        <w:t xml:space="preserve">Do not take an additional dose if vomiting occurs after </w:t>
      </w:r>
      <w:r w:rsidR="001A2032">
        <w:rPr>
          <w:sz w:val="24"/>
        </w:rPr>
        <w:t>LORBRENA</w:t>
      </w:r>
      <w:r>
        <w:rPr>
          <w:sz w:val="24"/>
        </w:rPr>
        <w:t xml:space="preserve"> but continue with the next scheduled dose. </w:t>
      </w:r>
    </w:p>
    <w:p w:rsidR="001E1D15" w:rsidRDefault="001E1D15" w:rsidP="001E1D15">
      <w:pPr>
        <w:rPr>
          <w:sz w:val="24"/>
        </w:rPr>
      </w:pPr>
    </w:p>
    <w:p w:rsidR="00134A29" w:rsidRPr="00BA102E" w:rsidRDefault="00134A29" w:rsidP="00C0057E">
      <w:pPr>
        <w:tabs>
          <w:tab w:val="left" w:pos="540"/>
        </w:tabs>
        <w:rPr>
          <w:b/>
          <w:sz w:val="24"/>
          <w:szCs w:val="24"/>
        </w:rPr>
      </w:pPr>
      <w:r w:rsidRPr="00BA102E">
        <w:rPr>
          <w:b/>
          <w:sz w:val="24"/>
          <w:szCs w:val="24"/>
        </w:rPr>
        <w:t>2.</w:t>
      </w:r>
      <w:r>
        <w:rPr>
          <w:b/>
          <w:sz w:val="24"/>
          <w:szCs w:val="24"/>
        </w:rPr>
        <w:t>2</w:t>
      </w:r>
      <w:r w:rsidRPr="00BA102E">
        <w:rPr>
          <w:b/>
          <w:sz w:val="24"/>
          <w:szCs w:val="24"/>
        </w:rPr>
        <w:tab/>
      </w:r>
      <w:r w:rsidR="00CD1AFC">
        <w:rPr>
          <w:b/>
          <w:sz w:val="24"/>
          <w:szCs w:val="24"/>
        </w:rPr>
        <w:t>Dos</w:t>
      </w:r>
      <w:r w:rsidR="008F2762">
        <w:rPr>
          <w:b/>
          <w:sz w:val="24"/>
          <w:szCs w:val="24"/>
        </w:rPr>
        <w:t>ag</w:t>
      </w:r>
      <w:r w:rsidR="00CD1AFC">
        <w:rPr>
          <w:b/>
          <w:sz w:val="24"/>
          <w:szCs w:val="24"/>
        </w:rPr>
        <w:t>e Modification</w:t>
      </w:r>
      <w:r w:rsidR="008F2762">
        <w:rPr>
          <w:b/>
          <w:sz w:val="24"/>
          <w:szCs w:val="24"/>
        </w:rPr>
        <w:t>s for Adverse Reactions</w:t>
      </w:r>
      <w:r w:rsidR="00CD1AFC">
        <w:rPr>
          <w:b/>
          <w:sz w:val="24"/>
          <w:szCs w:val="24"/>
        </w:rPr>
        <w:t xml:space="preserve"> </w:t>
      </w:r>
    </w:p>
    <w:p w:rsidR="001E1D15" w:rsidRDefault="001E1D15" w:rsidP="001E1D15">
      <w:pPr>
        <w:pStyle w:val="CommentText"/>
        <w:rPr>
          <w:sz w:val="24"/>
          <w:szCs w:val="24"/>
        </w:rPr>
      </w:pPr>
    </w:p>
    <w:p w:rsidR="000D54F0" w:rsidRPr="007D3F1B" w:rsidRDefault="004300FF" w:rsidP="001E1D15">
      <w:pPr>
        <w:pStyle w:val="CommentText"/>
        <w:rPr>
          <w:sz w:val="24"/>
          <w:szCs w:val="24"/>
        </w:rPr>
      </w:pPr>
      <w:r>
        <w:rPr>
          <w:sz w:val="24"/>
          <w:szCs w:val="24"/>
        </w:rPr>
        <w:t>The recommended d</w:t>
      </w:r>
      <w:r w:rsidR="00646B4F" w:rsidRPr="00646B4F">
        <w:rPr>
          <w:sz w:val="24"/>
          <w:szCs w:val="24"/>
        </w:rPr>
        <w:t xml:space="preserve">ose </w:t>
      </w:r>
      <w:r w:rsidR="00D80D3D">
        <w:rPr>
          <w:sz w:val="24"/>
          <w:szCs w:val="24"/>
        </w:rPr>
        <w:t>reduction</w:t>
      </w:r>
      <w:r w:rsidR="0055695F">
        <w:rPr>
          <w:sz w:val="24"/>
          <w:szCs w:val="24"/>
        </w:rPr>
        <w:t>s</w:t>
      </w:r>
      <w:r w:rsidR="00646B4F" w:rsidRPr="00646B4F">
        <w:rPr>
          <w:sz w:val="24"/>
          <w:szCs w:val="24"/>
        </w:rPr>
        <w:t xml:space="preserve"> are</w:t>
      </w:r>
      <w:r w:rsidR="004D2066">
        <w:rPr>
          <w:sz w:val="24"/>
          <w:szCs w:val="24"/>
        </w:rPr>
        <w:t>:</w:t>
      </w:r>
    </w:p>
    <w:p w:rsidR="00646B4F" w:rsidRPr="00646B4F" w:rsidRDefault="00646B4F" w:rsidP="001E0DEB">
      <w:pPr>
        <w:numPr>
          <w:ilvl w:val="1"/>
          <w:numId w:val="7"/>
        </w:numPr>
        <w:tabs>
          <w:tab w:val="clear" w:pos="1440"/>
          <w:tab w:val="num" w:pos="426"/>
        </w:tabs>
        <w:ind w:left="0" w:firstLine="0"/>
        <w:rPr>
          <w:sz w:val="24"/>
          <w:szCs w:val="24"/>
        </w:rPr>
      </w:pPr>
      <w:r w:rsidRPr="00646B4F">
        <w:rPr>
          <w:sz w:val="24"/>
          <w:szCs w:val="24"/>
        </w:rPr>
        <w:t xml:space="preserve">First dose reduction: </w:t>
      </w:r>
      <w:r w:rsidR="001A2032">
        <w:rPr>
          <w:sz w:val="24"/>
          <w:szCs w:val="24"/>
        </w:rPr>
        <w:t>LORBRENA</w:t>
      </w:r>
      <w:r w:rsidRPr="00646B4F">
        <w:rPr>
          <w:sz w:val="24"/>
          <w:szCs w:val="24"/>
        </w:rPr>
        <w:t xml:space="preserve"> </w:t>
      </w:r>
      <w:r w:rsidR="009251DF">
        <w:rPr>
          <w:sz w:val="24"/>
          <w:szCs w:val="24"/>
        </w:rPr>
        <w:t>75</w:t>
      </w:r>
      <w:r w:rsidR="00391869">
        <w:rPr>
          <w:sz w:val="24"/>
          <w:szCs w:val="24"/>
        </w:rPr>
        <w:t> </w:t>
      </w:r>
      <w:r w:rsidRPr="00646B4F">
        <w:rPr>
          <w:sz w:val="24"/>
          <w:szCs w:val="24"/>
        </w:rPr>
        <w:t xml:space="preserve">mg orally </w:t>
      </w:r>
      <w:r w:rsidR="009251DF">
        <w:rPr>
          <w:sz w:val="24"/>
          <w:szCs w:val="24"/>
        </w:rPr>
        <w:t>once</w:t>
      </w:r>
      <w:r w:rsidRPr="00646B4F">
        <w:rPr>
          <w:sz w:val="24"/>
          <w:szCs w:val="24"/>
        </w:rPr>
        <w:t xml:space="preserve"> daily</w:t>
      </w:r>
    </w:p>
    <w:p w:rsidR="00646B4F" w:rsidRDefault="00646B4F" w:rsidP="001E0DEB">
      <w:pPr>
        <w:numPr>
          <w:ilvl w:val="1"/>
          <w:numId w:val="7"/>
        </w:numPr>
        <w:tabs>
          <w:tab w:val="clear" w:pos="1440"/>
          <w:tab w:val="num" w:pos="426"/>
        </w:tabs>
        <w:ind w:left="0" w:firstLine="0"/>
        <w:rPr>
          <w:sz w:val="24"/>
          <w:szCs w:val="24"/>
        </w:rPr>
      </w:pPr>
      <w:r w:rsidRPr="00646B4F">
        <w:rPr>
          <w:sz w:val="24"/>
          <w:szCs w:val="24"/>
        </w:rPr>
        <w:t xml:space="preserve">Second dose reduction: </w:t>
      </w:r>
      <w:r w:rsidR="001A2032">
        <w:rPr>
          <w:sz w:val="24"/>
          <w:szCs w:val="24"/>
        </w:rPr>
        <w:t>LORBRENA</w:t>
      </w:r>
      <w:r w:rsidRPr="00646B4F">
        <w:rPr>
          <w:sz w:val="24"/>
          <w:szCs w:val="24"/>
        </w:rPr>
        <w:t xml:space="preserve"> </w:t>
      </w:r>
      <w:r w:rsidR="009251DF">
        <w:rPr>
          <w:sz w:val="24"/>
          <w:szCs w:val="24"/>
        </w:rPr>
        <w:t>50</w:t>
      </w:r>
      <w:r w:rsidR="00391869">
        <w:rPr>
          <w:sz w:val="24"/>
          <w:szCs w:val="24"/>
        </w:rPr>
        <w:t> </w:t>
      </w:r>
      <w:r w:rsidRPr="00646B4F">
        <w:rPr>
          <w:sz w:val="24"/>
          <w:szCs w:val="24"/>
        </w:rPr>
        <w:t>mg orally once daily</w:t>
      </w:r>
    </w:p>
    <w:p w:rsidR="001E1D15" w:rsidRDefault="001E1D15" w:rsidP="001E1D15">
      <w:pPr>
        <w:pStyle w:val="CommentText"/>
        <w:rPr>
          <w:sz w:val="24"/>
          <w:szCs w:val="24"/>
        </w:rPr>
      </w:pPr>
    </w:p>
    <w:p w:rsidR="00381491" w:rsidRDefault="00646B4F" w:rsidP="001E1D15">
      <w:pPr>
        <w:pStyle w:val="CommentText"/>
        <w:rPr>
          <w:sz w:val="24"/>
          <w:szCs w:val="24"/>
        </w:rPr>
      </w:pPr>
      <w:r w:rsidRPr="00646B4F">
        <w:rPr>
          <w:sz w:val="24"/>
          <w:szCs w:val="24"/>
        </w:rPr>
        <w:t xml:space="preserve">Permanently discontinue </w:t>
      </w:r>
      <w:r w:rsidR="001A2032">
        <w:rPr>
          <w:sz w:val="24"/>
          <w:szCs w:val="24"/>
        </w:rPr>
        <w:t>LORBRENA</w:t>
      </w:r>
      <w:r w:rsidR="004300FF">
        <w:rPr>
          <w:sz w:val="24"/>
          <w:szCs w:val="24"/>
        </w:rPr>
        <w:t xml:space="preserve"> in patients who are </w:t>
      </w:r>
      <w:r w:rsidRPr="00646B4F">
        <w:rPr>
          <w:sz w:val="24"/>
          <w:szCs w:val="24"/>
        </w:rPr>
        <w:t xml:space="preserve">unable to tolerate </w:t>
      </w:r>
      <w:r w:rsidR="009251DF">
        <w:rPr>
          <w:sz w:val="24"/>
          <w:szCs w:val="24"/>
        </w:rPr>
        <w:t>50</w:t>
      </w:r>
      <w:r w:rsidR="00391869">
        <w:rPr>
          <w:sz w:val="24"/>
          <w:szCs w:val="24"/>
        </w:rPr>
        <w:t> </w:t>
      </w:r>
      <w:r w:rsidRPr="00646B4F">
        <w:rPr>
          <w:sz w:val="24"/>
          <w:szCs w:val="24"/>
        </w:rPr>
        <w:t>mg orally once daily</w:t>
      </w:r>
      <w:r w:rsidR="00D80D3D">
        <w:rPr>
          <w:sz w:val="24"/>
          <w:szCs w:val="24"/>
        </w:rPr>
        <w:t>.</w:t>
      </w:r>
    </w:p>
    <w:p w:rsidR="001E1D15" w:rsidRPr="00CA4E15" w:rsidRDefault="001E1D15" w:rsidP="001E1D15">
      <w:pPr>
        <w:pStyle w:val="CommentText"/>
        <w:rPr>
          <w:sz w:val="24"/>
        </w:rPr>
      </w:pPr>
    </w:p>
    <w:p w:rsidR="00134A29" w:rsidRDefault="00CD1AFC" w:rsidP="001E1D15">
      <w:pPr>
        <w:rPr>
          <w:sz w:val="24"/>
          <w:szCs w:val="24"/>
        </w:rPr>
      </w:pPr>
      <w:r w:rsidRPr="00CD1AFC">
        <w:rPr>
          <w:sz w:val="24"/>
          <w:szCs w:val="24"/>
        </w:rPr>
        <w:t>Dos</w:t>
      </w:r>
      <w:r w:rsidR="004D2066">
        <w:rPr>
          <w:sz w:val="24"/>
          <w:szCs w:val="24"/>
        </w:rPr>
        <w:t>ag</w:t>
      </w:r>
      <w:r w:rsidRPr="00CD1AFC">
        <w:rPr>
          <w:sz w:val="24"/>
          <w:szCs w:val="24"/>
        </w:rPr>
        <w:t>e modification</w:t>
      </w:r>
      <w:r w:rsidR="004D2066">
        <w:rPr>
          <w:sz w:val="24"/>
          <w:szCs w:val="24"/>
        </w:rPr>
        <w:t>s</w:t>
      </w:r>
      <w:r w:rsidRPr="00CD1AFC">
        <w:rPr>
          <w:sz w:val="24"/>
          <w:szCs w:val="24"/>
        </w:rPr>
        <w:t xml:space="preserve"> for </w:t>
      </w:r>
      <w:r w:rsidR="00904BF2">
        <w:rPr>
          <w:sz w:val="24"/>
          <w:szCs w:val="24"/>
        </w:rPr>
        <w:t>adverse reactions</w:t>
      </w:r>
      <w:r w:rsidRPr="00CD1AFC">
        <w:rPr>
          <w:sz w:val="24"/>
          <w:szCs w:val="24"/>
        </w:rPr>
        <w:t xml:space="preserve"> </w:t>
      </w:r>
      <w:r w:rsidR="0055695F">
        <w:rPr>
          <w:sz w:val="24"/>
          <w:szCs w:val="24"/>
        </w:rPr>
        <w:t>of</w:t>
      </w:r>
      <w:r w:rsidR="00F317AA">
        <w:rPr>
          <w:sz w:val="24"/>
          <w:szCs w:val="24"/>
        </w:rPr>
        <w:t xml:space="preserve"> </w:t>
      </w:r>
      <w:r w:rsidR="001A2032">
        <w:rPr>
          <w:sz w:val="24"/>
          <w:szCs w:val="24"/>
        </w:rPr>
        <w:t>LORBRENA</w:t>
      </w:r>
      <w:r w:rsidR="00F317AA">
        <w:rPr>
          <w:sz w:val="24"/>
          <w:szCs w:val="24"/>
        </w:rPr>
        <w:t xml:space="preserve"> </w:t>
      </w:r>
      <w:r w:rsidRPr="00CD1AFC">
        <w:rPr>
          <w:sz w:val="24"/>
          <w:szCs w:val="24"/>
        </w:rPr>
        <w:t>are provided in Table</w:t>
      </w:r>
      <w:r w:rsidR="00391869">
        <w:rPr>
          <w:sz w:val="24"/>
          <w:szCs w:val="24"/>
        </w:rPr>
        <w:t> </w:t>
      </w:r>
      <w:r w:rsidRPr="00CD1AFC">
        <w:rPr>
          <w:sz w:val="24"/>
          <w:szCs w:val="24"/>
        </w:rPr>
        <w:t xml:space="preserve">1. </w:t>
      </w:r>
    </w:p>
    <w:p w:rsidR="001E1D15" w:rsidRDefault="001E1D15" w:rsidP="001E1D15">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6300"/>
      </w:tblGrid>
      <w:tr w:rsidR="00544D72" w:rsidRPr="00595157" w:rsidTr="00CD3A94">
        <w:trPr>
          <w:tblHeader/>
        </w:trPr>
        <w:tc>
          <w:tcPr>
            <w:tcW w:w="10440" w:type="dxa"/>
            <w:gridSpan w:val="2"/>
            <w:tcBorders>
              <w:top w:val="nil"/>
              <w:left w:val="nil"/>
              <w:right w:val="nil"/>
            </w:tcBorders>
            <w:shd w:val="clear" w:color="auto" w:fill="auto"/>
          </w:tcPr>
          <w:p w:rsidR="00544D72" w:rsidRDefault="00544D72" w:rsidP="008953E5">
            <w:pPr>
              <w:pStyle w:val="Paragraph"/>
              <w:keepNext/>
              <w:overflowPunct w:val="0"/>
              <w:autoSpaceDE w:val="0"/>
              <w:autoSpaceDN w:val="0"/>
              <w:adjustRightInd w:val="0"/>
              <w:spacing w:before="120" w:after="120"/>
              <w:textAlignment w:val="baseline"/>
              <w:rPr>
                <w:b/>
                <w:color w:val="000000"/>
                <w:kern w:val="32"/>
                <w:lang w:val="en-GB"/>
              </w:rPr>
            </w:pPr>
            <w:r w:rsidRPr="00C828F4">
              <w:rPr>
                <w:b/>
                <w:lang w:val="en-GB"/>
              </w:rPr>
              <w:lastRenderedPageBreak/>
              <w:t>Table</w:t>
            </w:r>
            <w:r w:rsidRPr="00595157">
              <w:rPr>
                <w:b/>
                <w:lang w:val="en-GB"/>
              </w:rPr>
              <w:t> </w:t>
            </w:r>
            <w:r w:rsidRPr="00C828F4">
              <w:rPr>
                <w:b/>
                <w:lang w:val="en-GB"/>
              </w:rPr>
              <w:t>1</w:t>
            </w:r>
            <w:r w:rsidRPr="001F2697">
              <w:rPr>
                <w:b/>
              </w:rPr>
              <w:t xml:space="preserve"> </w:t>
            </w:r>
            <w:r>
              <w:rPr>
                <w:b/>
              </w:rPr>
              <w:tab/>
              <w:t>Recommended LORBRENA</w:t>
            </w:r>
            <w:r w:rsidRPr="00C828F4">
              <w:rPr>
                <w:b/>
              </w:rPr>
              <w:t xml:space="preserve"> Dos</w:t>
            </w:r>
            <w:r>
              <w:rPr>
                <w:b/>
              </w:rPr>
              <w:t>age</w:t>
            </w:r>
            <w:r w:rsidRPr="00C828F4">
              <w:rPr>
                <w:b/>
              </w:rPr>
              <w:t xml:space="preserve"> Modifications</w:t>
            </w:r>
            <w:r w:rsidRPr="00CA4E15">
              <w:rPr>
                <w:b/>
              </w:rPr>
              <w:t xml:space="preserve"> for </w:t>
            </w:r>
            <w:r w:rsidRPr="00C828F4">
              <w:rPr>
                <w:b/>
              </w:rPr>
              <w:t>Adverse Reactions</w:t>
            </w:r>
          </w:p>
        </w:tc>
      </w:tr>
      <w:tr w:rsidR="00544D72" w:rsidRPr="00595157" w:rsidTr="00CD3A94">
        <w:trPr>
          <w:tblHeader/>
        </w:trPr>
        <w:tc>
          <w:tcPr>
            <w:tcW w:w="4140" w:type="dxa"/>
            <w:shd w:val="clear" w:color="auto" w:fill="auto"/>
          </w:tcPr>
          <w:p w:rsidR="00544D72" w:rsidRPr="00595157" w:rsidRDefault="00544D72" w:rsidP="008953E5">
            <w:pPr>
              <w:pStyle w:val="Paragraph"/>
              <w:keepNext/>
              <w:overflowPunct w:val="0"/>
              <w:autoSpaceDE w:val="0"/>
              <w:autoSpaceDN w:val="0"/>
              <w:adjustRightInd w:val="0"/>
              <w:spacing w:before="120" w:after="120"/>
              <w:textAlignment w:val="baseline"/>
              <w:rPr>
                <w:color w:val="000000"/>
                <w:kern w:val="32"/>
                <w:lang w:val="en-GB"/>
              </w:rPr>
            </w:pPr>
            <w:r w:rsidRPr="00595157">
              <w:rPr>
                <w:b/>
                <w:color w:val="000000"/>
                <w:kern w:val="32"/>
                <w:lang w:val="en-GB"/>
              </w:rPr>
              <w:t>Adverse Reaction</w:t>
            </w:r>
            <w:r>
              <w:rPr>
                <w:b/>
                <w:color w:val="000000"/>
                <w:kern w:val="32"/>
                <w:vertAlign w:val="superscript"/>
                <w:lang w:val="en-GB"/>
              </w:rPr>
              <w:t>a</w:t>
            </w:r>
          </w:p>
        </w:tc>
        <w:tc>
          <w:tcPr>
            <w:tcW w:w="6300" w:type="dxa"/>
            <w:shd w:val="clear" w:color="auto" w:fill="auto"/>
          </w:tcPr>
          <w:p w:rsidR="00544D72" w:rsidRPr="00595157" w:rsidRDefault="00544D72" w:rsidP="008953E5">
            <w:pPr>
              <w:pStyle w:val="Paragraph"/>
              <w:keepNext/>
              <w:overflowPunct w:val="0"/>
              <w:autoSpaceDE w:val="0"/>
              <w:autoSpaceDN w:val="0"/>
              <w:adjustRightInd w:val="0"/>
              <w:spacing w:before="120" w:after="120"/>
              <w:textAlignment w:val="baseline"/>
              <w:rPr>
                <w:b/>
                <w:color w:val="000000"/>
                <w:kern w:val="32"/>
                <w:lang w:val="en-GB"/>
              </w:rPr>
            </w:pPr>
            <w:r>
              <w:rPr>
                <w:b/>
                <w:color w:val="000000"/>
                <w:kern w:val="32"/>
                <w:lang w:val="en-GB"/>
              </w:rPr>
              <w:t>Dosage Modifications</w:t>
            </w:r>
          </w:p>
        </w:tc>
      </w:tr>
      <w:tr w:rsidR="00544D72" w:rsidRPr="00595157" w:rsidTr="00CD3A94">
        <w:tc>
          <w:tcPr>
            <w:tcW w:w="10440" w:type="dxa"/>
            <w:gridSpan w:val="2"/>
            <w:shd w:val="clear" w:color="auto" w:fill="auto"/>
          </w:tcPr>
          <w:p w:rsidR="00544D72" w:rsidRPr="00595157" w:rsidRDefault="00544D72" w:rsidP="008953E5">
            <w:pPr>
              <w:pStyle w:val="Paragraph"/>
              <w:keepNext/>
              <w:widowControl w:val="0"/>
              <w:overflowPunct w:val="0"/>
              <w:autoSpaceDE w:val="0"/>
              <w:autoSpaceDN w:val="0"/>
              <w:adjustRightInd w:val="0"/>
              <w:spacing w:before="120" w:after="120"/>
              <w:textAlignment w:val="baseline"/>
              <w:rPr>
                <w:b/>
                <w:color w:val="000000"/>
                <w:kern w:val="32"/>
                <w:lang w:val="en-GB"/>
              </w:rPr>
            </w:pPr>
            <w:r w:rsidRPr="00595157">
              <w:rPr>
                <w:b/>
                <w:color w:val="000000"/>
                <w:kern w:val="32"/>
                <w:lang w:val="en-GB"/>
              </w:rPr>
              <w:t xml:space="preserve">Central </w:t>
            </w:r>
            <w:r>
              <w:rPr>
                <w:b/>
                <w:color w:val="000000"/>
                <w:kern w:val="32"/>
                <w:lang w:val="en-GB"/>
              </w:rPr>
              <w:t>N</w:t>
            </w:r>
            <w:r w:rsidRPr="00595157">
              <w:rPr>
                <w:b/>
                <w:color w:val="000000"/>
                <w:kern w:val="32"/>
                <w:lang w:val="en-GB"/>
              </w:rPr>
              <w:t xml:space="preserve">ervous </w:t>
            </w:r>
            <w:r>
              <w:rPr>
                <w:b/>
                <w:color w:val="000000"/>
                <w:kern w:val="32"/>
                <w:lang w:val="en-GB"/>
              </w:rPr>
              <w:t>S</w:t>
            </w:r>
            <w:r w:rsidRPr="00595157">
              <w:rPr>
                <w:b/>
                <w:color w:val="000000"/>
                <w:kern w:val="32"/>
                <w:lang w:val="en-GB"/>
              </w:rPr>
              <w:t xml:space="preserve">ystem </w:t>
            </w:r>
            <w:r>
              <w:rPr>
                <w:b/>
                <w:color w:val="000000"/>
                <w:kern w:val="32"/>
                <w:lang w:val="en-GB"/>
              </w:rPr>
              <w:t>E</w:t>
            </w:r>
            <w:r w:rsidRPr="00595157">
              <w:rPr>
                <w:b/>
                <w:color w:val="000000"/>
                <w:kern w:val="32"/>
                <w:lang w:val="en-GB"/>
              </w:rPr>
              <w:t>ffects</w:t>
            </w:r>
            <w:r w:rsidRPr="009754EE">
              <w:rPr>
                <w:i/>
                <w:color w:val="000000"/>
                <w:kern w:val="32"/>
                <w:lang w:val="en-GB"/>
              </w:rPr>
              <w:t xml:space="preserve"> [see Warnings and Precautions (5.2)]</w:t>
            </w:r>
          </w:p>
        </w:tc>
      </w:tr>
      <w:tr w:rsidR="00544D72" w:rsidRPr="00595157" w:rsidTr="001E1D15">
        <w:tc>
          <w:tcPr>
            <w:tcW w:w="4140" w:type="dxa"/>
            <w:shd w:val="clear" w:color="auto" w:fill="auto"/>
            <w:vAlign w:val="center"/>
          </w:tcPr>
          <w:p w:rsidR="00544D72" w:rsidRPr="00595157" w:rsidRDefault="00544D72" w:rsidP="00C060CA">
            <w:pPr>
              <w:pStyle w:val="Paragraph"/>
              <w:keepNext/>
              <w:widowControl w:val="0"/>
              <w:spacing w:after="0"/>
              <w:rPr>
                <w:color w:val="000000"/>
                <w:kern w:val="32"/>
                <w:lang w:val="en-GB"/>
              </w:rPr>
            </w:pPr>
            <w:r w:rsidRPr="00595157">
              <w:rPr>
                <w:color w:val="000000"/>
                <w:kern w:val="32"/>
                <w:lang w:val="en-GB"/>
              </w:rPr>
              <w:t>Grade 1</w:t>
            </w:r>
          </w:p>
        </w:tc>
        <w:tc>
          <w:tcPr>
            <w:tcW w:w="6300" w:type="dxa"/>
            <w:shd w:val="clear" w:color="auto" w:fill="auto"/>
            <w:vAlign w:val="center"/>
          </w:tcPr>
          <w:p w:rsidR="00544D72" w:rsidRPr="00595157" w:rsidRDefault="00544D72" w:rsidP="00C060CA">
            <w:pPr>
              <w:pStyle w:val="Paragraph"/>
              <w:keepNext/>
              <w:widowControl w:val="0"/>
              <w:spacing w:after="0"/>
              <w:rPr>
                <w:color w:val="000000"/>
                <w:kern w:val="32"/>
                <w:lang w:val="en-GB"/>
              </w:rPr>
            </w:pPr>
            <w:r w:rsidRPr="00595157">
              <w:rPr>
                <w:color w:val="000000"/>
                <w:kern w:val="32"/>
                <w:lang w:val="en-GB"/>
              </w:rPr>
              <w:t xml:space="preserve">Continue at the same dose or withhold </w:t>
            </w:r>
            <w:r>
              <w:rPr>
                <w:color w:val="000000"/>
                <w:kern w:val="32"/>
                <w:lang w:val="en-GB"/>
              </w:rPr>
              <w:t xml:space="preserve">the </w:t>
            </w:r>
            <w:r w:rsidRPr="00595157">
              <w:rPr>
                <w:color w:val="000000"/>
                <w:kern w:val="32"/>
                <w:lang w:val="en-GB"/>
              </w:rPr>
              <w:t xml:space="preserve">dose until recovery to baseline. </w:t>
            </w:r>
            <w:r>
              <w:rPr>
                <w:color w:val="000000"/>
                <w:kern w:val="32"/>
                <w:lang w:val="en-GB"/>
              </w:rPr>
              <w:t>R</w:t>
            </w:r>
            <w:r w:rsidRPr="00595157">
              <w:rPr>
                <w:color w:val="000000"/>
                <w:kern w:val="32"/>
                <w:lang w:val="en-GB"/>
              </w:rPr>
              <w:t xml:space="preserve">esume </w:t>
            </w:r>
            <w:r>
              <w:rPr>
                <w:color w:val="000000"/>
                <w:kern w:val="32"/>
                <w:lang w:val="en-GB"/>
              </w:rPr>
              <w:t>LORBRENA</w:t>
            </w:r>
            <w:r w:rsidRPr="00595157">
              <w:rPr>
                <w:color w:val="000000"/>
                <w:kern w:val="32"/>
                <w:lang w:val="en-GB"/>
              </w:rPr>
              <w:t xml:space="preserve"> at the same dose or </w:t>
            </w:r>
            <w:r>
              <w:rPr>
                <w:color w:val="000000"/>
                <w:kern w:val="32"/>
                <w:lang w:val="en-GB"/>
              </w:rPr>
              <w:t xml:space="preserve">at a </w:t>
            </w:r>
            <w:r w:rsidRPr="00595157">
              <w:rPr>
                <w:color w:val="000000"/>
                <w:kern w:val="32"/>
                <w:lang w:val="en-GB"/>
              </w:rPr>
              <w:t>reduce</w:t>
            </w:r>
            <w:r>
              <w:rPr>
                <w:color w:val="000000"/>
                <w:kern w:val="32"/>
                <w:lang w:val="en-GB"/>
              </w:rPr>
              <w:t>d</w:t>
            </w:r>
            <w:r w:rsidRPr="00595157">
              <w:rPr>
                <w:color w:val="000000"/>
                <w:kern w:val="32"/>
                <w:lang w:val="en-GB"/>
              </w:rPr>
              <w:t xml:space="preserve"> </w:t>
            </w:r>
            <w:r>
              <w:rPr>
                <w:color w:val="000000"/>
                <w:kern w:val="32"/>
                <w:lang w:val="en-GB"/>
              </w:rPr>
              <w:t>dose</w:t>
            </w:r>
            <w:r w:rsidRPr="00595157">
              <w:rPr>
                <w:color w:val="000000"/>
                <w:kern w:val="32"/>
                <w:lang w:val="en-GB"/>
              </w:rPr>
              <w:t>.</w:t>
            </w:r>
          </w:p>
        </w:tc>
      </w:tr>
      <w:tr w:rsidR="00544D72" w:rsidRPr="00595157" w:rsidTr="001E1D15">
        <w:tc>
          <w:tcPr>
            <w:tcW w:w="4140" w:type="dxa"/>
            <w:shd w:val="clear" w:color="auto" w:fill="auto"/>
            <w:vAlign w:val="center"/>
          </w:tcPr>
          <w:p w:rsidR="00544D72" w:rsidRPr="00595157" w:rsidRDefault="00544D72" w:rsidP="00544D72">
            <w:pPr>
              <w:pStyle w:val="Paragraph"/>
              <w:keepNext/>
              <w:widowControl w:val="0"/>
              <w:spacing w:after="0"/>
              <w:rPr>
                <w:color w:val="000000"/>
                <w:kern w:val="32"/>
                <w:lang w:val="en-GB"/>
              </w:rPr>
            </w:pPr>
            <w:r w:rsidRPr="00595157">
              <w:rPr>
                <w:color w:val="000000"/>
                <w:kern w:val="32"/>
                <w:lang w:val="en-GB"/>
              </w:rPr>
              <w:t>Grade 2</w:t>
            </w:r>
            <w:r>
              <w:rPr>
                <w:color w:val="000000"/>
                <w:kern w:val="32"/>
                <w:lang w:val="en-GB"/>
              </w:rPr>
              <w:t xml:space="preserve"> </w:t>
            </w:r>
            <w:r w:rsidRPr="00595157">
              <w:rPr>
                <w:color w:val="000000"/>
                <w:kern w:val="32"/>
                <w:u w:val="single"/>
                <w:lang w:val="en-GB"/>
              </w:rPr>
              <w:t xml:space="preserve">OR </w:t>
            </w:r>
            <w:r w:rsidRPr="00595157">
              <w:rPr>
                <w:color w:val="000000"/>
                <w:kern w:val="32"/>
                <w:lang w:val="en-GB"/>
              </w:rPr>
              <w:t>Grade 3</w:t>
            </w:r>
          </w:p>
        </w:tc>
        <w:tc>
          <w:tcPr>
            <w:tcW w:w="6300" w:type="dxa"/>
            <w:shd w:val="clear" w:color="auto" w:fill="auto"/>
            <w:vAlign w:val="center"/>
          </w:tcPr>
          <w:p w:rsidR="00544D72" w:rsidRPr="00595157" w:rsidRDefault="00544D72" w:rsidP="00C060CA">
            <w:pPr>
              <w:pStyle w:val="Paragraph"/>
              <w:keepNext/>
              <w:widowControl w:val="0"/>
              <w:spacing w:after="0"/>
              <w:rPr>
                <w:color w:val="000000"/>
                <w:kern w:val="32"/>
                <w:lang w:val="en-GB"/>
              </w:rPr>
            </w:pPr>
            <w:r w:rsidRPr="00595157">
              <w:rPr>
                <w:color w:val="000000"/>
                <w:kern w:val="32"/>
                <w:lang w:val="en-GB"/>
              </w:rPr>
              <w:t>Withhold dose until Grade </w:t>
            </w:r>
            <w:r>
              <w:rPr>
                <w:color w:val="000000"/>
                <w:kern w:val="32"/>
                <w:lang w:val="en-GB"/>
              </w:rPr>
              <w:t xml:space="preserve">0 or </w:t>
            </w:r>
            <w:r w:rsidRPr="00595157">
              <w:rPr>
                <w:color w:val="000000"/>
                <w:kern w:val="32"/>
                <w:lang w:val="en-GB"/>
              </w:rPr>
              <w:t xml:space="preserve">1. </w:t>
            </w:r>
            <w:r>
              <w:rPr>
                <w:color w:val="000000"/>
                <w:kern w:val="32"/>
                <w:lang w:val="en-GB"/>
              </w:rPr>
              <w:t>R</w:t>
            </w:r>
            <w:r w:rsidRPr="00595157">
              <w:rPr>
                <w:color w:val="000000"/>
                <w:kern w:val="32"/>
                <w:lang w:val="en-GB"/>
              </w:rPr>
              <w:t xml:space="preserve">esume </w:t>
            </w:r>
            <w:r>
              <w:rPr>
                <w:color w:val="000000"/>
                <w:kern w:val="32"/>
                <w:lang w:val="en-GB"/>
              </w:rPr>
              <w:t>LORBRENA</w:t>
            </w:r>
            <w:r w:rsidRPr="00595157">
              <w:rPr>
                <w:color w:val="000000"/>
                <w:kern w:val="32"/>
                <w:lang w:val="en-GB"/>
              </w:rPr>
              <w:t xml:space="preserve"> at </w:t>
            </w:r>
            <w:r>
              <w:rPr>
                <w:color w:val="000000"/>
                <w:kern w:val="32"/>
                <w:lang w:val="en-GB"/>
              </w:rPr>
              <w:t xml:space="preserve">a </w:t>
            </w:r>
            <w:r w:rsidRPr="00595157">
              <w:rPr>
                <w:color w:val="000000"/>
                <w:kern w:val="32"/>
                <w:lang w:val="en-GB"/>
              </w:rPr>
              <w:t xml:space="preserve">reduced dose. </w:t>
            </w:r>
          </w:p>
        </w:tc>
      </w:tr>
      <w:tr w:rsidR="00544D72" w:rsidRPr="0037725E" w:rsidTr="001E1D15">
        <w:tc>
          <w:tcPr>
            <w:tcW w:w="4140" w:type="dxa"/>
            <w:tcBorders>
              <w:bottom w:val="single" w:sz="4" w:space="0" w:color="auto"/>
            </w:tcBorders>
            <w:shd w:val="clear" w:color="auto" w:fill="auto"/>
            <w:vAlign w:val="center"/>
          </w:tcPr>
          <w:p w:rsidR="00544D72" w:rsidRPr="00595157" w:rsidRDefault="00544D72" w:rsidP="008953E5">
            <w:pPr>
              <w:pStyle w:val="Paragraph"/>
              <w:keepNext/>
              <w:widowControl w:val="0"/>
              <w:spacing w:before="120" w:after="120"/>
              <w:ind w:left="187" w:hanging="187"/>
              <w:rPr>
                <w:color w:val="000000"/>
                <w:kern w:val="32"/>
                <w:lang w:val="en-GB"/>
              </w:rPr>
            </w:pPr>
            <w:r w:rsidRPr="00595157">
              <w:rPr>
                <w:color w:val="000000"/>
                <w:kern w:val="32"/>
                <w:lang w:val="en-GB"/>
              </w:rPr>
              <w:t>Grade 4</w:t>
            </w:r>
          </w:p>
        </w:tc>
        <w:tc>
          <w:tcPr>
            <w:tcW w:w="6300" w:type="dxa"/>
            <w:shd w:val="clear" w:color="auto" w:fill="auto"/>
            <w:vAlign w:val="center"/>
          </w:tcPr>
          <w:p w:rsidR="00544D72" w:rsidRPr="00595157" w:rsidRDefault="00544D72" w:rsidP="008953E5">
            <w:pPr>
              <w:pStyle w:val="Paragraph"/>
              <w:keepNext/>
              <w:tabs>
                <w:tab w:val="left" w:pos="4247"/>
              </w:tabs>
              <w:overflowPunct w:val="0"/>
              <w:autoSpaceDE w:val="0"/>
              <w:autoSpaceDN w:val="0"/>
              <w:adjustRightInd w:val="0"/>
              <w:spacing w:before="120" w:after="120"/>
              <w:textAlignment w:val="baseline"/>
              <w:rPr>
                <w:color w:val="000000"/>
                <w:kern w:val="32"/>
                <w:lang w:val="en-GB"/>
              </w:rPr>
            </w:pPr>
            <w:r w:rsidRPr="00595157">
              <w:rPr>
                <w:color w:val="000000"/>
                <w:kern w:val="32"/>
                <w:lang w:val="en-GB"/>
              </w:rPr>
              <w:t xml:space="preserve">Permanently discontinue </w:t>
            </w:r>
            <w:r>
              <w:rPr>
                <w:color w:val="000000"/>
                <w:kern w:val="32"/>
                <w:lang w:val="en-GB"/>
              </w:rPr>
              <w:t>LORBRENA</w:t>
            </w:r>
            <w:r w:rsidRPr="00595157">
              <w:rPr>
                <w:color w:val="000000"/>
                <w:kern w:val="32"/>
                <w:lang w:val="en-GB"/>
              </w:rPr>
              <w:t>.</w:t>
            </w:r>
          </w:p>
        </w:tc>
      </w:tr>
      <w:tr w:rsidR="00544D72" w:rsidRPr="00595157" w:rsidTr="00CD3A94">
        <w:tc>
          <w:tcPr>
            <w:tcW w:w="10440" w:type="dxa"/>
            <w:gridSpan w:val="2"/>
            <w:shd w:val="clear" w:color="auto" w:fill="auto"/>
          </w:tcPr>
          <w:p w:rsidR="00544D72" w:rsidRPr="00595157" w:rsidRDefault="00544D72" w:rsidP="008953E5">
            <w:pPr>
              <w:pStyle w:val="Paragraph"/>
              <w:keepNext/>
              <w:overflowPunct w:val="0"/>
              <w:autoSpaceDE w:val="0"/>
              <w:autoSpaceDN w:val="0"/>
              <w:adjustRightInd w:val="0"/>
              <w:spacing w:before="120" w:after="120"/>
              <w:textAlignment w:val="baseline"/>
              <w:rPr>
                <w:b/>
                <w:color w:val="000000"/>
                <w:kern w:val="32"/>
                <w:lang w:val="en-GB"/>
              </w:rPr>
            </w:pPr>
            <w:r w:rsidRPr="0037725E">
              <w:rPr>
                <w:b/>
                <w:color w:val="000000"/>
                <w:kern w:val="32"/>
              </w:rPr>
              <w:t>Hyperlipidemia</w:t>
            </w:r>
            <w:r w:rsidRPr="009754EE">
              <w:rPr>
                <w:i/>
                <w:color w:val="000000"/>
                <w:kern w:val="32"/>
                <w:lang w:val="en-GB"/>
              </w:rPr>
              <w:t xml:space="preserve"> [see Warnings and Precautions (5.3)]</w:t>
            </w:r>
          </w:p>
        </w:tc>
      </w:tr>
      <w:tr w:rsidR="00544D72" w:rsidRPr="00595157" w:rsidTr="001E1D15">
        <w:tc>
          <w:tcPr>
            <w:tcW w:w="4140" w:type="dxa"/>
            <w:shd w:val="clear" w:color="auto" w:fill="auto"/>
            <w:vAlign w:val="center"/>
          </w:tcPr>
          <w:p w:rsidR="00544D72" w:rsidRPr="00595157" w:rsidRDefault="00544D72" w:rsidP="008953E5">
            <w:pPr>
              <w:pStyle w:val="Paragraph"/>
              <w:keepNext/>
              <w:spacing w:after="0"/>
              <w:ind w:left="180" w:hanging="180"/>
              <w:rPr>
                <w:color w:val="000000"/>
                <w:kern w:val="32"/>
                <w:u w:val="single"/>
                <w:lang w:val="en-GB"/>
              </w:rPr>
            </w:pPr>
            <w:r>
              <w:rPr>
                <w:color w:val="000000"/>
                <w:kern w:val="32"/>
                <w:lang w:val="en-GB"/>
              </w:rPr>
              <w:t xml:space="preserve">Grade 4 hypercholesterolemia </w:t>
            </w:r>
            <w:r w:rsidRPr="00595157">
              <w:rPr>
                <w:color w:val="000000"/>
                <w:kern w:val="32"/>
                <w:u w:val="single"/>
                <w:lang w:val="en-GB"/>
              </w:rPr>
              <w:t>OR</w:t>
            </w:r>
          </w:p>
          <w:p w:rsidR="00544D72" w:rsidRPr="00595157" w:rsidRDefault="00544D72" w:rsidP="00117845">
            <w:pPr>
              <w:pStyle w:val="Paragraph"/>
              <w:keepNext/>
              <w:spacing w:after="0"/>
              <w:ind w:left="180" w:hanging="180"/>
              <w:rPr>
                <w:color w:val="000000"/>
                <w:kern w:val="32"/>
                <w:lang w:val="en-GB"/>
              </w:rPr>
            </w:pPr>
            <w:r>
              <w:rPr>
                <w:color w:val="000000"/>
                <w:kern w:val="32"/>
                <w:lang w:val="en-GB"/>
              </w:rPr>
              <w:t>Grade 4 hypertriglyceridemia</w:t>
            </w:r>
          </w:p>
        </w:tc>
        <w:tc>
          <w:tcPr>
            <w:tcW w:w="6300" w:type="dxa"/>
            <w:shd w:val="clear" w:color="auto" w:fill="auto"/>
            <w:vAlign w:val="center"/>
          </w:tcPr>
          <w:p w:rsidR="00544D72" w:rsidRDefault="00544D72" w:rsidP="00117845">
            <w:pPr>
              <w:pStyle w:val="Paragraph"/>
              <w:keepNext/>
              <w:spacing w:after="0"/>
              <w:rPr>
                <w:color w:val="000000"/>
                <w:kern w:val="32"/>
                <w:lang w:val="en-GB"/>
              </w:rPr>
            </w:pPr>
            <w:r>
              <w:rPr>
                <w:color w:val="000000"/>
                <w:kern w:val="32"/>
                <w:lang w:val="en-GB"/>
              </w:rPr>
              <w:t xml:space="preserve">Withhold LORBRENA until recovery of hypercholesterolemia and/or hypertriglyceridemia to </w:t>
            </w:r>
            <w:r w:rsidRPr="00595157">
              <w:rPr>
                <w:color w:val="000000"/>
                <w:kern w:val="32"/>
                <w:lang w:val="en-GB"/>
              </w:rPr>
              <w:t>less than or equal to</w:t>
            </w:r>
            <w:r>
              <w:rPr>
                <w:color w:val="000000"/>
                <w:kern w:val="32"/>
                <w:lang w:val="en-GB"/>
              </w:rPr>
              <w:t xml:space="preserve"> Grade 2.</w:t>
            </w:r>
            <w:r w:rsidDel="00204AA7">
              <w:rPr>
                <w:color w:val="000000"/>
                <w:kern w:val="32"/>
                <w:lang w:val="en-GB"/>
              </w:rPr>
              <w:t xml:space="preserve"> </w:t>
            </w:r>
            <w:r>
              <w:rPr>
                <w:color w:val="000000"/>
                <w:kern w:val="32"/>
                <w:lang w:val="en-GB"/>
              </w:rPr>
              <w:t>Resume LORBRENA at the same dose.</w:t>
            </w:r>
          </w:p>
          <w:p w:rsidR="00544D72" w:rsidRDefault="00544D72" w:rsidP="00117845">
            <w:pPr>
              <w:pStyle w:val="Paragraph"/>
              <w:keepNext/>
              <w:spacing w:after="0"/>
              <w:rPr>
                <w:color w:val="000000"/>
                <w:kern w:val="32"/>
                <w:lang w:val="en-GB"/>
              </w:rPr>
            </w:pPr>
          </w:p>
          <w:p w:rsidR="00544D72" w:rsidRPr="00595157" w:rsidRDefault="00544D72" w:rsidP="00117845">
            <w:pPr>
              <w:pStyle w:val="Paragraph"/>
              <w:keepNext/>
              <w:spacing w:after="0"/>
              <w:rPr>
                <w:color w:val="000000"/>
                <w:kern w:val="32"/>
                <w:lang w:val="en-GB"/>
              </w:rPr>
            </w:pPr>
            <w:r>
              <w:rPr>
                <w:color w:val="000000"/>
                <w:kern w:val="32"/>
                <w:lang w:val="en-GB"/>
              </w:rPr>
              <w:t>If severe hypercholesterolemia and/or hypertriglyceridemia recurs, resume LORBRENA at a reduced dose.</w:t>
            </w:r>
          </w:p>
        </w:tc>
      </w:tr>
      <w:tr w:rsidR="00544D72" w:rsidRPr="00595157" w:rsidTr="00CD3A94">
        <w:tc>
          <w:tcPr>
            <w:tcW w:w="10440" w:type="dxa"/>
            <w:gridSpan w:val="2"/>
            <w:shd w:val="clear" w:color="auto" w:fill="auto"/>
          </w:tcPr>
          <w:p w:rsidR="00544D72" w:rsidRPr="00595157" w:rsidRDefault="00544D72" w:rsidP="008953E5">
            <w:pPr>
              <w:pStyle w:val="Paragraph"/>
              <w:tabs>
                <w:tab w:val="left" w:pos="4247"/>
              </w:tabs>
              <w:overflowPunct w:val="0"/>
              <w:autoSpaceDE w:val="0"/>
              <w:autoSpaceDN w:val="0"/>
              <w:adjustRightInd w:val="0"/>
              <w:spacing w:before="120" w:after="120"/>
              <w:textAlignment w:val="baseline"/>
              <w:rPr>
                <w:color w:val="000000"/>
                <w:kern w:val="32"/>
                <w:lang w:val="en-GB"/>
              </w:rPr>
            </w:pPr>
            <w:r w:rsidRPr="009754EE">
              <w:rPr>
                <w:b/>
                <w:color w:val="000000"/>
                <w:kern w:val="32"/>
                <w:lang w:val="en-GB"/>
              </w:rPr>
              <w:t xml:space="preserve">Atrioventricular </w:t>
            </w:r>
            <w:r>
              <w:rPr>
                <w:b/>
                <w:color w:val="000000"/>
                <w:kern w:val="32"/>
                <w:lang w:val="en-GB"/>
              </w:rPr>
              <w:t xml:space="preserve">(AV) </w:t>
            </w:r>
            <w:r w:rsidRPr="009754EE">
              <w:rPr>
                <w:b/>
                <w:color w:val="000000"/>
                <w:kern w:val="32"/>
                <w:lang w:val="en-GB"/>
              </w:rPr>
              <w:t>Block</w:t>
            </w:r>
            <w:r w:rsidRPr="009754EE">
              <w:rPr>
                <w:i/>
                <w:color w:val="000000"/>
                <w:kern w:val="32"/>
                <w:lang w:val="en-GB"/>
              </w:rPr>
              <w:t xml:space="preserve"> [see Warnings and Precautions (5.4)]</w:t>
            </w:r>
          </w:p>
        </w:tc>
      </w:tr>
      <w:tr w:rsidR="00544D72" w:rsidRPr="00595157" w:rsidTr="001E1D15">
        <w:tc>
          <w:tcPr>
            <w:tcW w:w="4140" w:type="dxa"/>
            <w:shd w:val="clear" w:color="auto" w:fill="auto"/>
            <w:vAlign w:val="center"/>
          </w:tcPr>
          <w:p w:rsidR="00544D72" w:rsidRPr="00595157" w:rsidDel="00743552" w:rsidRDefault="00544D72" w:rsidP="001E1D15">
            <w:pPr>
              <w:pStyle w:val="Paragraph"/>
              <w:widowControl w:val="0"/>
              <w:spacing w:after="0"/>
              <w:rPr>
                <w:color w:val="000000"/>
                <w:kern w:val="32"/>
                <w:lang w:val="en-GB"/>
              </w:rPr>
            </w:pPr>
            <w:r>
              <w:rPr>
                <w:color w:val="000000"/>
                <w:kern w:val="32"/>
                <w:lang w:val="en-GB"/>
              </w:rPr>
              <w:t>Second-degree AV block</w:t>
            </w:r>
          </w:p>
        </w:tc>
        <w:tc>
          <w:tcPr>
            <w:tcW w:w="6300" w:type="dxa"/>
            <w:shd w:val="clear" w:color="auto" w:fill="auto"/>
            <w:vAlign w:val="center"/>
          </w:tcPr>
          <w:p w:rsidR="00544D72" w:rsidRPr="00595157"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Withhold LORBRENA until PR interval is less than 200 ms. Resume LORBRENA at a reduced dose.</w:t>
            </w:r>
          </w:p>
        </w:tc>
      </w:tr>
      <w:tr w:rsidR="00544D72" w:rsidRPr="00595157" w:rsidTr="001E1D15">
        <w:tc>
          <w:tcPr>
            <w:tcW w:w="4140" w:type="dxa"/>
            <w:shd w:val="clear" w:color="auto" w:fill="auto"/>
            <w:vAlign w:val="center"/>
          </w:tcPr>
          <w:p w:rsidR="00544D72" w:rsidRPr="00595157" w:rsidDel="00743552" w:rsidRDefault="00544D72" w:rsidP="001E1D15">
            <w:pPr>
              <w:pStyle w:val="Paragraph"/>
              <w:widowControl w:val="0"/>
              <w:spacing w:after="0"/>
              <w:rPr>
                <w:color w:val="000000"/>
                <w:kern w:val="32"/>
                <w:lang w:val="en-GB"/>
              </w:rPr>
            </w:pPr>
            <w:r>
              <w:rPr>
                <w:color w:val="000000"/>
                <w:kern w:val="32"/>
                <w:lang w:val="en-GB"/>
              </w:rPr>
              <w:t>First occurrence of complete AV block</w:t>
            </w:r>
          </w:p>
        </w:tc>
        <w:tc>
          <w:tcPr>
            <w:tcW w:w="6300" w:type="dxa"/>
            <w:shd w:val="clear" w:color="auto" w:fill="auto"/>
            <w:vAlign w:val="center"/>
          </w:tcPr>
          <w:p w:rsidR="00544D72"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Withhold LORBRENA until</w:t>
            </w:r>
          </w:p>
          <w:p w:rsidR="00544D72" w:rsidRDefault="00544D72" w:rsidP="001E1D15">
            <w:pPr>
              <w:pStyle w:val="Paragraph"/>
              <w:numPr>
                <w:ilvl w:val="0"/>
                <w:numId w:val="33"/>
              </w:numPr>
              <w:overflowPunct w:val="0"/>
              <w:autoSpaceDE w:val="0"/>
              <w:autoSpaceDN w:val="0"/>
              <w:adjustRightInd w:val="0"/>
              <w:spacing w:after="0"/>
              <w:ind w:left="437"/>
              <w:textAlignment w:val="baseline"/>
              <w:rPr>
                <w:color w:val="000000"/>
                <w:kern w:val="32"/>
                <w:lang w:val="en-GB"/>
              </w:rPr>
            </w:pPr>
            <w:r>
              <w:rPr>
                <w:color w:val="000000"/>
                <w:kern w:val="32"/>
                <w:lang w:val="en-GB"/>
              </w:rPr>
              <w:t xml:space="preserve">pacemaker placed </w:t>
            </w:r>
            <w:r w:rsidRPr="00D67609">
              <w:rPr>
                <w:color w:val="000000"/>
                <w:kern w:val="32"/>
                <w:u w:val="single"/>
                <w:lang w:val="en-GB"/>
              </w:rPr>
              <w:t>OR</w:t>
            </w:r>
          </w:p>
          <w:p w:rsidR="00544D72" w:rsidRDefault="00544D72" w:rsidP="001E1D15">
            <w:pPr>
              <w:pStyle w:val="Paragraph"/>
              <w:numPr>
                <w:ilvl w:val="0"/>
                <w:numId w:val="33"/>
              </w:numPr>
              <w:overflowPunct w:val="0"/>
              <w:autoSpaceDE w:val="0"/>
              <w:autoSpaceDN w:val="0"/>
              <w:adjustRightInd w:val="0"/>
              <w:spacing w:after="0"/>
              <w:ind w:left="437"/>
              <w:textAlignment w:val="baseline"/>
              <w:rPr>
                <w:color w:val="000000"/>
                <w:kern w:val="32"/>
                <w:lang w:val="en-GB"/>
              </w:rPr>
            </w:pPr>
            <w:r>
              <w:rPr>
                <w:color w:val="000000"/>
                <w:kern w:val="32"/>
                <w:lang w:val="en-GB"/>
              </w:rPr>
              <w:t>PR interval less than 200 ms.</w:t>
            </w:r>
          </w:p>
          <w:p w:rsidR="00544D72" w:rsidRDefault="00544D72" w:rsidP="00C81077">
            <w:pPr>
              <w:pStyle w:val="Paragraph"/>
              <w:overflowPunct w:val="0"/>
              <w:autoSpaceDE w:val="0"/>
              <w:autoSpaceDN w:val="0"/>
              <w:adjustRightInd w:val="0"/>
              <w:spacing w:after="0"/>
              <w:ind w:left="77"/>
              <w:textAlignment w:val="baseline"/>
              <w:rPr>
                <w:color w:val="000000"/>
                <w:kern w:val="32"/>
                <w:lang w:val="en-GB"/>
              </w:rPr>
            </w:pPr>
          </w:p>
          <w:p w:rsidR="00544D72"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If a pacemaker is placed, resume LORBRENA at the same dose.</w:t>
            </w:r>
          </w:p>
          <w:p w:rsidR="00544D72"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p>
          <w:p w:rsidR="00544D72" w:rsidRPr="00595157"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If no pacemaker is placed, resume LORBRENA at a reduced dose.</w:t>
            </w:r>
          </w:p>
        </w:tc>
      </w:tr>
      <w:tr w:rsidR="00544D72" w:rsidRPr="00595157" w:rsidTr="001E1D15">
        <w:tc>
          <w:tcPr>
            <w:tcW w:w="4140" w:type="dxa"/>
            <w:shd w:val="clear" w:color="auto" w:fill="auto"/>
            <w:vAlign w:val="center"/>
          </w:tcPr>
          <w:p w:rsidR="00544D72" w:rsidRPr="00595157" w:rsidDel="00743552" w:rsidRDefault="00544D72" w:rsidP="008953E5">
            <w:pPr>
              <w:pStyle w:val="Paragraph"/>
              <w:widowControl w:val="0"/>
              <w:spacing w:before="120" w:after="120"/>
              <w:rPr>
                <w:color w:val="000000"/>
                <w:kern w:val="32"/>
                <w:lang w:val="en-GB"/>
              </w:rPr>
            </w:pPr>
            <w:r>
              <w:rPr>
                <w:color w:val="000000"/>
                <w:kern w:val="32"/>
                <w:lang w:val="en-GB"/>
              </w:rPr>
              <w:t>Recurrent complete AV block</w:t>
            </w:r>
          </w:p>
        </w:tc>
        <w:tc>
          <w:tcPr>
            <w:tcW w:w="6300" w:type="dxa"/>
            <w:shd w:val="clear" w:color="auto" w:fill="auto"/>
            <w:vAlign w:val="center"/>
          </w:tcPr>
          <w:p w:rsidR="00544D72" w:rsidRPr="00595157" w:rsidRDefault="00544D72" w:rsidP="008953E5">
            <w:pPr>
              <w:pStyle w:val="Paragraph"/>
              <w:tabs>
                <w:tab w:val="left" w:pos="4247"/>
              </w:tabs>
              <w:overflowPunct w:val="0"/>
              <w:autoSpaceDE w:val="0"/>
              <w:autoSpaceDN w:val="0"/>
              <w:adjustRightInd w:val="0"/>
              <w:spacing w:before="120" w:after="120"/>
              <w:textAlignment w:val="baseline"/>
              <w:rPr>
                <w:color w:val="000000"/>
                <w:kern w:val="32"/>
                <w:lang w:val="en-GB"/>
              </w:rPr>
            </w:pPr>
            <w:r>
              <w:rPr>
                <w:color w:val="000000"/>
                <w:kern w:val="32"/>
                <w:lang w:val="en-GB"/>
              </w:rPr>
              <w:t>Place pacemaker or permanently discontinue LORBRENA.</w:t>
            </w:r>
          </w:p>
        </w:tc>
      </w:tr>
      <w:tr w:rsidR="00544D72" w:rsidRPr="00595157" w:rsidTr="00CD3A94">
        <w:tc>
          <w:tcPr>
            <w:tcW w:w="10440" w:type="dxa"/>
            <w:gridSpan w:val="2"/>
            <w:shd w:val="clear" w:color="auto" w:fill="auto"/>
          </w:tcPr>
          <w:p w:rsidR="00544D72" w:rsidRPr="00595157" w:rsidRDefault="00544D72" w:rsidP="008953E5">
            <w:pPr>
              <w:pStyle w:val="Paragraph"/>
              <w:tabs>
                <w:tab w:val="left" w:pos="4247"/>
              </w:tabs>
              <w:overflowPunct w:val="0"/>
              <w:autoSpaceDE w:val="0"/>
              <w:autoSpaceDN w:val="0"/>
              <w:adjustRightInd w:val="0"/>
              <w:spacing w:before="120" w:after="120"/>
              <w:textAlignment w:val="baseline"/>
              <w:rPr>
                <w:color w:val="000000"/>
                <w:kern w:val="32"/>
                <w:lang w:val="en-GB"/>
              </w:rPr>
            </w:pPr>
            <w:r>
              <w:rPr>
                <w:b/>
                <w:kern w:val="32"/>
                <w:lang w:val="en-GB"/>
              </w:rPr>
              <w:t xml:space="preserve">Interstitial Lung Disease (ILD)/Pneumonitis </w:t>
            </w:r>
            <w:r w:rsidRPr="009754EE">
              <w:rPr>
                <w:i/>
                <w:color w:val="000000"/>
                <w:kern w:val="32"/>
                <w:lang w:val="en-GB"/>
              </w:rPr>
              <w:t>[see Warnings and Precautions (5.5)]</w:t>
            </w:r>
          </w:p>
        </w:tc>
      </w:tr>
      <w:tr w:rsidR="00544D72" w:rsidRPr="00595157" w:rsidTr="001E1D15">
        <w:tc>
          <w:tcPr>
            <w:tcW w:w="4140" w:type="dxa"/>
            <w:shd w:val="clear" w:color="auto" w:fill="auto"/>
            <w:vAlign w:val="center"/>
          </w:tcPr>
          <w:p w:rsidR="00544D72" w:rsidRPr="00595157" w:rsidDel="00743552" w:rsidRDefault="00544D72" w:rsidP="001E1D15">
            <w:pPr>
              <w:pStyle w:val="Paragraph"/>
              <w:widowControl w:val="0"/>
              <w:spacing w:after="0"/>
              <w:rPr>
                <w:color w:val="000000"/>
                <w:kern w:val="32"/>
                <w:lang w:val="en-GB"/>
              </w:rPr>
            </w:pPr>
            <w:r>
              <w:rPr>
                <w:kern w:val="32"/>
                <w:lang w:val="en-GB"/>
              </w:rPr>
              <w:t>Any Grade treatment–related ILD/Pneumonitis</w:t>
            </w:r>
          </w:p>
        </w:tc>
        <w:tc>
          <w:tcPr>
            <w:tcW w:w="6300" w:type="dxa"/>
            <w:shd w:val="clear" w:color="auto" w:fill="auto"/>
            <w:vAlign w:val="center"/>
          </w:tcPr>
          <w:p w:rsidR="00544D72" w:rsidRPr="00595157" w:rsidRDefault="00544D72" w:rsidP="001E1D15">
            <w:pPr>
              <w:pStyle w:val="Paragraph"/>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Permanently discontinue LORBRENA.</w:t>
            </w:r>
          </w:p>
        </w:tc>
      </w:tr>
      <w:tr w:rsidR="00544D72" w:rsidRPr="00595157" w:rsidTr="00CD3A94">
        <w:tc>
          <w:tcPr>
            <w:tcW w:w="10440" w:type="dxa"/>
            <w:gridSpan w:val="2"/>
            <w:shd w:val="clear" w:color="auto" w:fill="auto"/>
          </w:tcPr>
          <w:p w:rsidR="00544D72" w:rsidRPr="00595157" w:rsidRDefault="00544D72" w:rsidP="008953E5">
            <w:pPr>
              <w:pStyle w:val="Paragraph"/>
              <w:keepNext/>
              <w:tabs>
                <w:tab w:val="left" w:pos="4247"/>
              </w:tabs>
              <w:overflowPunct w:val="0"/>
              <w:autoSpaceDE w:val="0"/>
              <w:autoSpaceDN w:val="0"/>
              <w:adjustRightInd w:val="0"/>
              <w:spacing w:before="120" w:after="120"/>
              <w:textAlignment w:val="baseline"/>
              <w:rPr>
                <w:color w:val="000000"/>
                <w:kern w:val="32"/>
                <w:lang w:val="en-GB"/>
              </w:rPr>
            </w:pPr>
            <w:r w:rsidRPr="00595157">
              <w:rPr>
                <w:b/>
                <w:color w:val="000000"/>
                <w:kern w:val="32"/>
                <w:lang w:val="en-GB"/>
              </w:rPr>
              <w:t xml:space="preserve">Other </w:t>
            </w:r>
            <w:r>
              <w:rPr>
                <w:b/>
                <w:color w:val="000000"/>
                <w:kern w:val="32"/>
                <w:lang w:val="en-GB"/>
              </w:rPr>
              <w:t>A</w:t>
            </w:r>
            <w:r w:rsidRPr="00595157">
              <w:rPr>
                <w:b/>
                <w:color w:val="000000"/>
                <w:kern w:val="32"/>
                <w:lang w:val="en-GB"/>
              </w:rPr>
              <w:t xml:space="preserve">dverse </w:t>
            </w:r>
            <w:r>
              <w:rPr>
                <w:b/>
                <w:color w:val="000000"/>
                <w:kern w:val="32"/>
                <w:lang w:val="en-GB"/>
              </w:rPr>
              <w:t>R</w:t>
            </w:r>
            <w:r w:rsidRPr="00595157">
              <w:rPr>
                <w:b/>
                <w:color w:val="000000"/>
                <w:kern w:val="32"/>
                <w:lang w:val="en-GB"/>
              </w:rPr>
              <w:t>eactions</w:t>
            </w:r>
          </w:p>
        </w:tc>
      </w:tr>
      <w:tr w:rsidR="00544D72" w:rsidRPr="00595157" w:rsidTr="001E1D15">
        <w:tc>
          <w:tcPr>
            <w:tcW w:w="4140" w:type="dxa"/>
            <w:shd w:val="clear" w:color="auto" w:fill="auto"/>
            <w:vAlign w:val="center"/>
          </w:tcPr>
          <w:p w:rsidR="00544D72" w:rsidRPr="00595157" w:rsidRDefault="00544D72" w:rsidP="008953E5">
            <w:pPr>
              <w:pStyle w:val="Paragraph"/>
              <w:keepNext/>
              <w:widowControl w:val="0"/>
              <w:spacing w:before="120" w:after="120"/>
              <w:rPr>
                <w:color w:val="000000"/>
                <w:kern w:val="32"/>
                <w:lang w:val="en-GB"/>
              </w:rPr>
            </w:pPr>
            <w:r w:rsidRPr="00595157">
              <w:rPr>
                <w:color w:val="000000"/>
                <w:kern w:val="32"/>
                <w:lang w:val="en-GB"/>
              </w:rPr>
              <w:t xml:space="preserve">Grade 1 </w:t>
            </w:r>
            <w:r w:rsidRPr="00595157">
              <w:rPr>
                <w:color w:val="000000"/>
                <w:kern w:val="32"/>
                <w:u w:val="single"/>
                <w:lang w:val="en-GB"/>
              </w:rPr>
              <w:t>OR</w:t>
            </w:r>
            <w:r w:rsidRPr="00595157">
              <w:rPr>
                <w:color w:val="000000"/>
                <w:kern w:val="32"/>
                <w:lang w:val="en-GB"/>
              </w:rPr>
              <w:t xml:space="preserve"> Grade 2 </w:t>
            </w:r>
          </w:p>
        </w:tc>
        <w:tc>
          <w:tcPr>
            <w:tcW w:w="6300" w:type="dxa"/>
            <w:shd w:val="clear" w:color="auto" w:fill="auto"/>
            <w:vAlign w:val="center"/>
          </w:tcPr>
          <w:p w:rsidR="00544D72" w:rsidRPr="00595157" w:rsidRDefault="00544D72" w:rsidP="001E1D15">
            <w:pPr>
              <w:pStyle w:val="Paragraph"/>
              <w:keepNext/>
              <w:tabs>
                <w:tab w:val="left" w:pos="4247"/>
              </w:tabs>
              <w:overflowPunct w:val="0"/>
              <w:autoSpaceDE w:val="0"/>
              <w:autoSpaceDN w:val="0"/>
              <w:adjustRightInd w:val="0"/>
              <w:spacing w:after="0"/>
              <w:textAlignment w:val="baseline"/>
              <w:rPr>
                <w:color w:val="000000"/>
                <w:kern w:val="32"/>
                <w:lang w:val="en-GB"/>
              </w:rPr>
            </w:pPr>
            <w:r>
              <w:rPr>
                <w:color w:val="000000"/>
                <w:kern w:val="32"/>
                <w:lang w:val="en-GB"/>
              </w:rPr>
              <w:t>Continue LORBRENA at same dose or reduced dose</w:t>
            </w:r>
            <w:r w:rsidRPr="00595157">
              <w:rPr>
                <w:color w:val="000000"/>
                <w:kern w:val="32"/>
                <w:lang w:val="en-GB"/>
              </w:rPr>
              <w:t xml:space="preserve">. </w:t>
            </w:r>
          </w:p>
        </w:tc>
      </w:tr>
      <w:tr w:rsidR="00544D72" w:rsidRPr="00595157" w:rsidTr="001E1D15">
        <w:tc>
          <w:tcPr>
            <w:tcW w:w="4140" w:type="dxa"/>
            <w:shd w:val="clear" w:color="auto" w:fill="auto"/>
            <w:vAlign w:val="center"/>
          </w:tcPr>
          <w:p w:rsidR="00544D72" w:rsidRPr="00595157" w:rsidRDefault="00544D72" w:rsidP="00544D72">
            <w:pPr>
              <w:pStyle w:val="Paragraph"/>
              <w:keepNext/>
              <w:widowControl w:val="0"/>
              <w:spacing w:after="0"/>
              <w:rPr>
                <w:color w:val="000000"/>
                <w:kern w:val="32"/>
                <w:lang w:val="en-GB"/>
              </w:rPr>
            </w:pPr>
            <w:r w:rsidRPr="00595157">
              <w:rPr>
                <w:color w:val="000000"/>
                <w:kern w:val="32"/>
                <w:lang w:val="en-GB"/>
              </w:rPr>
              <w:t>Grade 3</w:t>
            </w:r>
            <w:r>
              <w:rPr>
                <w:color w:val="000000"/>
                <w:kern w:val="32"/>
                <w:lang w:val="en-GB"/>
              </w:rPr>
              <w:t xml:space="preserve"> </w:t>
            </w:r>
            <w:r w:rsidRPr="00595157">
              <w:rPr>
                <w:color w:val="000000"/>
                <w:kern w:val="32"/>
                <w:u w:val="single"/>
                <w:lang w:val="en-GB"/>
              </w:rPr>
              <w:t>OR</w:t>
            </w:r>
            <w:r>
              <w:rPr>
                <w:color w:val="000000"/>
                <w:kern w:val="32"/>
                <w:lang w:val="en-GB"/>
              </w:rPr>
              <w:t xml:space="preserve"> Grade 4</w:t>
            </w:r>
          </w:p>
        </w:tc>
        <w:tc>
          <w:tcPr>
            <w:tcW w:w="6300" w:type="dxa"/>
            <w:shd w:val="clear" w:color="auto" w:fill="auto"/>
            <w:vAlign w:val="center"/>
          </w:tcPr>
          <w:p w:rsidR="00544D72" w:rsidRPr="00595157" w:rsidRDefault="00544D72" w:rsidP="001E1D15">
            <w:pPr>
              <w:pStyle w:val="Paragraph"/>
              <w:keepNext/>
              <w:tabs>
                <w:tab w:val="left" w:pos="4247"/>
              </w:tabs>
              <w:overflowPunct w:val="0"/>
              <w:autoSpaceDE w:val="0"/>
              <w:autoSpaceDN w:val="0"/>
              <w:adjustRightInd w:val="0"/>
              <w:spacing w:after="0"/>
              <w:textAlignment w:val="baseline"/>
              <w:rPr>
                <w:color w:val="000000"/>
                <w:kern w:val="32"/>
                <w:lang w:val="en-GB"/>
              </w:rPr>
            </w:pPr>
            <w:r w:rsidRPr="00595157">
              <w:rPr>
                <w:color w:val="000000"/>
                <w:kern w:val="32"/>
                <w:lang w:val="en-GB"/>
              </w:rPr>
              <w:t xml:space="preserve">Withhold </w:t>
            </w:r>
            <w:r>
              <w:rPr>
                <w:color w:val="000000"/>
                <w:kern w:val="32"/>
                <w:lang w:val="en-GB"/>
              </w:rPr>
              <w:t>LORBRENA</w:t>
            </w:r>
            <w:r w:rsidRPr="00595157">
              <w:rPr>
                <w:color w:val="000000"/>
                <w:kern w:val="32"/>
                <w:lang w:val="en-GB"/>
              </w:rPr>
              <w:t xml:space="preserve"> until symptoms resolve to less than or equal to Grade 2 or baseline. </w:t>
            </w:r>
            <w:r>
              <w:rPr>
                <w:color w:val="000000"/>
                <w:kern w:val="32"/>
                <w:lang w:val="en-GB"/>
              </w:rPr>
              <w:t>R</w:t>
            </w:r>
            <w:r w:rsidRPr="00595157">
              <w:rPr>
                <w:color w:val="000000"/>
                <w:kern w:val="32"/>
                <w:lang w:val="en-GB"/>
              </w:rPr>
              <w:t xml:space="preserve">esume </w:t>
            </w:r>
            <w:r>
              <w:rPr>
                <w:color w:val="000000"/>
                <w:kern w:val="32"/>
                <w:lang w:val="en-GB"/>
              </w:rPr>
              <w:t xml:space="preserve">LORBRENA </w:t>
            </w:r>
            <w:r w:rsidRPr="00595157">
              <w:rPr>
                <w:color w:val="000000"/>
                <w:kern w:val="32"/>
                <w:lang w:val="en-GB"/>
              </w:rPr>
              <w:t>at reduced dose.</w:t>
            </w:r>
          </w:p>
        </w:tc>
      </w:tr>
      <w:tr w:rsidR="00544D72" w:rsidRPr="00C828F4" w:rsidTr="00CD3A94">
        <w:tc>
          <w:tcPr>
            <w:tcW w:w="10440" w:type="dxa"/>
            <w:gridSpan w:val="2"/>
            <w:tcBorders>
              <w:top w:val="single" w:sz="4" w:space="0" w:color="auto"/>
              <w:left w:val="nil"/>
              <w:bottom w:val="nil"/>
              <w:right w:val="nil"/>
            </w:tcBorders>
            <w:shd w:val="clear" w:color="auto" w:fill="auto"/>
          </w:tcPr>
          <w:p w:rsidR="00544D72" w:rsidRPr="00A40D25" w:rsidRDefault="00544D72" w:rsidP="001E1D15">
            <w:pPr>
              <w:pStyle w:val="Paragraph"/>
              <w:keepNext/>
              <w:overflowPunct w:val="0"/>
              <w:autoSpaceDE w:val="0"/>
              <w:autoSpaceDN w:val="0"/>
              <w:adjustRightInd w:val="0"/>
              <w:spacing w:after="0"/>
              <w:textAlignment w:val="baseline"/>
              <w:rPr>
                <w:sz w:val="20"/>
                <w:szCs w:val="20"/>
                <w:lang w:val="en-GB"/>
              </w:rPr>
            </w:pPr>
            <w:r w:rsidRPr="00A40D25">
              <w:rPr>
                <w:color w:val="000000"/>
                <w:kern w:val="32"/>
                <w:sz w:val="20"/>
                <w:szCs w:val="20"/>
                <w:lang w:val="en-GB"/>
              </w:rPr>
              <w:t xml:space="preserve">Abbreviation: </w:t>
            </w:r>
            <w:r>
              <w:rPr>
                <w:color w:val="000000"/>
                <w:kern w:val="32"/>
                <w:sz w:val="20"/>
                <w:szCs w:val="20"/>
                <w:lang w:val="en-GB"/>
              </w:rPr>
              <w:t>AV=atrioventricular</w:t>
            </w:r>
            <w:r w:rsidRPr="00A40D25">
              <w:rPr>
                <w:sz w:val="20"/>
                <w:szCs w:val="20"/>
                <w:lang w:val="en-GB"/>
              </w:rPr>
              <w:t>.</w:t>
            </w:r>
          </w:p>
          <w:p w:rsidR="00544D72" w:rsidRPr="00C828F4" w:rsidRDefault="00544D72" w:rsidP="001E1D15">
            <w:pPr>
              <w:pStyle w:val="Paragraph"/>
              <w:keepNext/>
              <w:tabs>
                <w:tab w:val="left" w:pos="195"/>
              </w:tabs>
              <w:overflowPunct w:val="0"/>
              <w:autoSpaceDE w:val="0"/>
              <w:autoSpaceDN w:val="0"/>
              <w:adjustRightInd w:val="0"/>
              <w:spacing w:after="0"/>
              <w:ind w:left="180" w:hanging="180"/>
              <w:textAlignment w:val="baseline"/>
              <w:rPr>
                <w:color w:val="000000"/>
                <w:kern w:val="32"/>
                <w:sz w:val="22"/>
                <w:lang w:val="en-GB"/>
              </w:rPr>
            </w:pPr>
            <w:r>
              <w:rPr>
                <w:color w:val="000000"/>
                <w:kern w:val="32"/>
                <w:sz w:val="20"/>
                <w:szCs w:val="20"/>
                <w:vertAlign w:val="superscript"/>
                <w:lang w:val="en-GB"/>
              </w:rPr>
              <w:t>a</w:t>
            </w:r>
            <w:r>
              <w:rPr>
                <w:color w:val="000000"/>
                <w:kern w:val="32"/>
                <w:sz w:val="20"/>
                <w:szCs w:val="20"/>
                <w:lang w:val="en-GB"/>
              </w:rPr>
              <w:t xml:space="preserve"> Grade based on National Cancer Institute (NCI) Common Terminology Criteria for Adverse Events (CTCAE) version 4.0</w:t>
            </w:r>
            <w:r w:rsidRPr="00A40D25">
              <w:rPr>
                <w:color w:val="000000"/>
                <w:kern w:val="32"/>
                <w:sz w:val="20"/>
                <w:szCs w:val="20"/>
                <w:lang w:val="en-GB"/>
              </w:rPr>
              <w:t>.</w:t>
            </w:r>
          </w:p>
        </w:tc>
      </w:tr>
    </w:tbl>
    <w:p w:rsidR="00224A99" w:rsidRDefault="00224A99" w:rsidP="001E1D15">
      <w:pPr>
        <w:pStyle w:val="Paragraph"/>
        <w:spacing w:after="0"/>
        <w:rPr>
          <w:b/>
          <w:color w:val="000000"/>
          <w:kern w:val="32"/>
          <w:szCs w:val="16"/>
        </w:rPr>
      </w:pPr>
    </w:p>
    <w:p w:rsidR="00544D72" w:rsidRPr="00C0057E" w:rsidRDefault="00544D72" w:rsidP="001F4B2A">
      <w:pPr>
        <w:keepNext/>
        <w:tabs>
          <w:tab w:val="left" w:pos="540"/>
        </w:tabs>
        <w:rPr>
          <w:b/>
          <w:sz w:val="24"/>
          <w:szCs w:val="24"/>
        </w:rPr>
      </w:pPr>
      <w:r w:rsidRPr="00C0057E">
        <w:rPr>
          <w:b/>
          <w:sz w:val="24"/>
          <w:szCs w:val="24"/>
        </w:rPr>
        <w:lastRenderedPageBreak/>
        <w:t>2.3</w:t>
      </w:r>
      <w:r>
        <w:rPr>
          <w:b/>
          <w:sz w:val="24"/>
          <w:szCs w:val="24"/>
        </w:rPr>
        <w:tab/>
      </w:r>
      <w:r w:rsidRPr="00C0057E">
        <w:rPr>
          <w:b/>
          <w:sz w:val="24"/>
          <w:szCs w:val="24"/>
        </w:rPr>
        <w:t>Concomitant Use of Strong or Moderate CYP3A Inducers</w:t>
      </w:r>
    </w:p>
    <w:p w:rsidR="00544D72" w:rsidRDefault="00544D72" w:rsidP="00544D72">
      <w:pPr>
        <w:pStyle w:val="Paragraph"/>
        <w:keepNext/>
        <w:spacing w:after="0"/>
        <w:rPr>
          <w:color w:val="000000"/>
          <w:kern w:val="32"/>
          <w:szCs w:val="16"/>
        </w:rPr>
      </w:pPr>
    </w:p>
    <w:p w:rsidR="00E062F7" w:rsidRDefault="001A2032" w:rsidP="00335180">
      <w:pPr>
        <w:pStyle w:val="Paragraph"/>
        <w:keepNext/>
        <w:spacing w:after="0"/>
        <w:rPr>
          <w:i/>
          <w:color w:val="000000"/>
          <w:kern w:val="32"/>
          <w:szCs w:val="16"/>
        </w:rPr>
      </w:pPr>
      <w:r>
        <w:rPr>
          <w:color w:val="000000"/>
          <w:kern w:val="32"/>
          <w:szCs w:val="16"/>
        </w:rPr>
        <w:t>LORBRENA</w:t>
      </w:r>
      <w:r w:rsidR="00B56AF8">
        <w:rPr>
          <w:color w:val="000000"/>
          <w:kern w:val="32"/>
          <w:szCs w:val="16"/>
        </w:rPr>
        <w:t xml:space="preserve"> is contraindicated </w:t>
      </w:r>
      <w:r w:rsidR="007A0ABC">
        <w:rPr>
          <w:color w:val="000000"/>
          <w:kern w:val="32"/>
          <w:szCs w:val="16"/>
        </w:rPr>
        <w:t>in patients taking</w:t>
      </w:r>
      <w:r w:rsidR="00B56AF8">
        <w:rPr>
          <w:color w:val="000000"/>
          <w:kern w:val="32"/>
          <w:szCs w:val="16"/>
        </w:rPr>
        <w:t xml:space="preserve"> strong CYP3A inducers. </w:t>
      </w:r>
      <w:r w:rsidR="00A83DE8">
        <w:t xml:space="preserve">Discontinue strong CYP3A inducers </w:t>
      </w:r>
      <w:r w:rsidR="009225BF">
        <w:t>for 3 plasma half-lives of the strong CYP3A inducer prior</w:t>
      </w:r>
      <w:r w:rsidR="00A83DE8">
        <w:t xml:space="preserve"> to initiati</w:t>
      </w:r>
      <w:r w:rsidR="00901E42">
        <w:t>ng</w:t>
      </w:r>
      <w:r w:rsidR="00A83DE8">
        <w:t xml:space="preserve"> </w:t>
      </w:r>
      <w:r>
        <w:t>LORBRENA</w:t>
      </w:r>
      <w:r w:rsidR="00A83DE8">
        <w:t xml:space="preserve">. </w:t>
      </w:r>
      <w:r w:rsidR="00B56AF8">
        <w:rPr>
          <w:color w:val="000000"/>
          <w:kern w:val="32"/>
          <w:szCs w:val="16"/>
        </w:rPr>
        <w:t xml:space="preserve">Avoid concomitant use of </w:t>
      </w:r>
      <w:r>
        <w:rPr>
          <w:color w:val="000000"/>
          <w:kern w:val="32"/>
          <w:szCs w:val="16"/>
        </w:rPr>
        <w:t>LORBRENA</w:t>
      </w:r>
      <w:r w:rsidR="00B56AF8">
        <w:rPr>
          <w:color w:val="000000"/>
          <w:kern w:val="32"/>
          <w:szCs w:val="16"/>
        </w:rPr>
        <w:t xml:space="preserve"> with </w:t>
      </w:r>
      <w:r w:rsidR="008B7C4F">
        <w:rPr>
          <w:color w:val="000000"/>
          <w:kern w:val="32"/>
          <w:szCs w:val="16"/>
        </w:rPr>
        <w:t xml:space="preserve">moderate </w:t>
      </w:r>
      <w:r w:rsidR="00B56AF8">
        <w:rPr>
          <w:color w:val="000000"/>
          <w:kern w:val="32"/>
          <w:szCs w:val="16"/>
        </w:rPr>
        <w:t xml:space="preserve">CYP3A inducers </w:t>
      </w:r>
      <w:r w:rsidR="00B56AF8">
        <w:rPr>
          <w:i/>
          <w:color w:val="000000"/>
          <w:kern w:val="32"/>
          <w:szCs w:val="16"/>
        </w:rPr>
        <w:t>[see Warnings and Precautions (5.1)</w:t>
      </w:r>
      <w:r w:rsidR="00901E42">
        <w:rPr>
          <w:i/>
          <w:color w:val="000000"/>
          <w:kern w:val="32"/>
          <w:szCs w:val="16"/>
        </w:rPr>
        <w:t>, Clinical Pharmacology (12.3)</w:t>
      </w:r>
      <w:r w:rsidR="00B56AF8">
        <w:rPr>
          <w:i/>
          <w:color w:val="000000"/>
          <w:kern w:val="32"/>
          <w:szCs w:val="16"/>
        </w:rPr>
        <w:t>].</w:t>
      </w:r>
    </w:p>
    <w:p w:rsidR="001E1D15" w:rsidRPr="00E062F7" w:rsidRDefault="001E1D15" w:rsidP="001E1D15">
      <w:pPr>
        <w:pStyle w:val="Paragraph"/>
        <w:spacing w:after="0"/>
        <w:rPr>
          <w:i/>
          <w:color w:val="000000"/>
          <w:kern w:val="32"/>
          <w:szCs w:val="16"/>
        </w:rPr>
      </w:pPr>
    </w:p>
    <w:p w:rsidR="007060F1" w:rsidRPr="00C0057E" w:rsidRDefault="00E062F7" w:rsidP="00C0057E">
      <w:pPr>
        <w:tabs>
          <w:tab w:val="left" w:pos="540"/>
        </w:tabs>
        <w:rPr>
          <w:b/>
          <w:sz w:val="24"/>
          <w:szCs w:val="24"/>
        </w:rPr>
      </w:pPr>
      <w:r w:rsidRPr="00C0057E">
        <w:rPr>
          <w:b/>
          <w:sz w:val="24"/>
          <w:szCs w:val="24"/>
        </w:rPr>
        <w:t>2.4</w:t>
      </w:r>
      <w:r w:rsidR="0043755E">
        <w:rPr>
          <w:b/>
          <w:sz w:val="24"/>
          <w:szCs w:val="24"/>
        </w:rPr>
        <w:tab/>
      </w:r>
      <w:r w:rsidR="007060F1" w:rsidRPr="00C0057E">
        <w:rPr>
          <w:b/>
          <w:sz w:val="24"/>
          <w:szCs w:val="24"/>
        </w:rPr>
        <w:t>Dos</w:t>
      </w:r>
      <w:r w:rsidR="003C02CC" w:rsidRPr="00C0057E">
        <w:rPr>
          <w:b/>
          <w:sz w:val="24"/>
          <w:szCs w:val="24"/>
        </w:rPr>
        <w:t>ag</w:t>
      </w:r>
      <w:r w:rsidR="007060F1" w:rsidRPr="00C0057E">
        <w:rPr>
          <w:b/>
          <w:sz w:val="24"/>
          <w:szCs w:val="24"/>
        </w:rPr>
        <w:t>e Modification for Strong CYP3A Inhibitors</w:t>
      </w:r>
    </w:p>
    <w:p w:rsidR="001E1D15" w:rsidRDefault="001E1D15" w:rsidP="001E1D15">
      <w:pPr>
        <w:pStyle w:val="Paragraph"/>
        <w:spacing w:after="0"/>
      </w:pPr>
    </w:p>
    <w:p w:rsidR="0055695F" w:rsidRDefault="0055695F" w:rsidP="001E1D15">
      <w:pPr>
        <w:pStyle w:val="Paragraph"/>
        <w:spacing w:after="0"/>
      </w:pPr>
      <w:r>
        <w:t xml:space="preserve">Avoid </w:t>
      </w:r>
      <w:r w:rsidR="003961A0">
        <w:t xml:space="preserve">concomitant </w:t>
      </w:r>
      <w:r>
        <w:t xml:space="preserve">use of </w:t>
      </w:r>
      <w:r w:rsidR="003961A0">
        <w:t xml:space="preserve">LORBRENA with </w:t>
      </w:r>
      <w:r>
        <w:t xml:space="preserve">strong CYP3A inhibitors. </w:t>
      </w:r>
      <w:r w:rsidR="007060F1" w:rsidRPr="005241C0">
        <w:t xml:space="preserve">If </w:t>
      </w:r>
      <w:r w:rsidR="00637CAB">
        <w:t xml:space="preserve">concomitant use with </w:t>
      </w:r>
      <w:r w:rsidR="007060F1" w:rsidRPr="005241C0">
        <w:t xml:space="preserve">a strong CYP3A inhibitor </w:t>
      </w:r>
      <w:r w:rsidR="00637CAB">
        <w:t>cannot be avoided</w:t>
      </w:r>
      <w:r w:rsidR="007060F1" w:rsidRPr="005241C0">
        <w:t xml:space="preserve">, </w:t>
      </w:r>
      <w:r w:rsidR="00873F4D">
        <w:t xml:space="preserve">reduce </w:t>
      </w:r>
      <w:r w:rsidR="00EC698D">
        <w:t>the</w:t>
      </w:r>
      <w:r w:rsidR="00E327E6">
        <w:t xml:space="preserve"> starting dose of</w:t>
      </w:r>
      <w:r w:rsidR="00D47CA8" w:rsidRPr="002540AD">
        <w:t xml:space="preserve"> </w:t>
      </w:r>
      <w:r w:rsidR="001A2032">
        <w:t>LORBRENA</w:t>
      </w:r>
      <w:r w:rsidR="00EC698D">
        <w:t xml:space="preserve"> </w:t>
      </w:r>
      <w:r>
        <w:t>from</w:t>
      </w:r>
      <w:r w:rsidR="00D47CA8" w:rsidRPr="002540AD">
        <w:t xml:space="preserve"> 100</w:t>
      </w:r>
      <w:r w:rsidR="004829B1">
        <w:t> </w:t>
      </w:r>
      <w:r w:rsidR="00D47CA8" w:rsidRPr="002540AD">
        <w:t xml:space="preserve">mg </w:t>
      </w:r>
      <w:r w:rsidR="00901E42">
        <w:t xml:space="preserve">orally </w:t>
      </w:r>
      <w:r w:rsidR="00D47CA8" w:rsidRPr="002540AD">
        <w:t xml:space="preserve">once daily </w:t>
      </w:r>
      <w:r w:rsidR="00EC698D">
        <w:t xml:space="preserve">to </w:t>
      </w:r>
      <w:r w:rsidR="00B33C22" w:rsidRPr="002540AD">
        <w:t>75</w:t>
      </w:r>
      <w:r w:rsidR="00B33C22">
        <w:t> </w:t>
      </w:r>
      <w:r w:rsidR="00B33C22" w:rsidRPr="002540AD">
        <w:t xml:space="preserve">mg </w:t>
      </w:r>
      <w:r w:rsidR="00901E42">
        <w:t xml:space="preserve">orally </w:t>
      </w:r>
      <w:r w:rsidR="00B33C22">
        <w:t>once daily</w:t>
      </w:r>
      <w:r w:rsidR="00E52512">
        <w:t xml:space="preserve">. </w:t>
      </w:r>
    </w:p>
    <w:p w:rsidR="001E1D15" w:rsidRDefault="001E1D15" w:rsidP="001E1D15">
      <w:pPr>
        <w:pStyle w:val="Paragraph"/>
        <w:spacing w:after="0"/>
      </w:pPr>
    </w:p>
    <w:p w:rsidR="0055695F" w:rsidRDefault="00E52512" w:rsidP="001E1D15">
      <w:pPr>
        <w:pStyle w:val="Paragraph"/>
        <w:spacing w:after="0"/>
      </w:pPr>
      <w:r>
        <w:t>In patients w</w:t>
      </w:r>
      <w:r w:rsidR="001C33FB">
        <w:t>ho</w:t>
      </w:r>
      <w:r>
        <w:t xml:space="preserve"> have had a dose reduction to 75 mg</w:t>
      </w:r>
      <w:r w:rsidR="00901E42">
        <w:t xml:space="preserve"> orally</w:t>
      </w:r>
      <w:r>
        <w:t xml:space="preserve"> once daily due to adverse reactions</w:t>
      </w:r>
      <w:r w:rsidR="0055695F">
        <w:t xml:space="preserve"> and </w:t>
      </w:r>
      <w:r w:rsidR="00901E42">
        <w:t xml:space="preserve">who </w:t>
      </w:r>
      <w:r w:rsidR="0055695F">
        <w:t>initiate</w:t>
      </w:r>
      <w:r w:rsidR="00E327E6">
        <w:t xml:space="preserve"> </w:t>
      </w:r>
      <w:r w:rsidR="0055695F">
        <w:t>a strong CYP3A inhibitor</w:t>
      </w:r>
      <w:r>
        <w:t xml:space="preserve">, reduce the </w:t>
      </w:r>
      <w:r w:rsidR="001A2032">
        <w:t>LORBRENA</w:t>
      </w:r>
      <w:r>
        <w:t xml:space="preserve"> dose to 50 mg </w:t>
      </w:r>
      <w:r w:rsidR="00901E42">
        <w:t xml:space="preserve">orally </w:t>
      </w:r>
      <w:r>
        <w:t>once daily.</w:t>
      </w:r>
      <w:r w:rsidR="00B33C22">
        <w:t xml:space="preserve"> </w:t>
      </w:r>
    </w:p>
    <w:p w:rsidR="001E1D15" w:rsidRDefault="001E1D15" w:rsidP="001E1D15">
      <w:pPr>
        <w:pStyle w:val="Paragraph"/>
        <w:spacing w:after="0"/>
        <w:rPr>
          <w:color w:val="000000"/>
          <w:kern w:val="32"/>
          <w:szCs w:val="16"/>
        </w:rPr>
      </w:pPr>
    </w:p>
    <w:p w:rsidR="007060F1" w:rsidRDefault="00210819" w:rsidP="001E1D15">
      <w:pPr>
        <w:pStyle w:val="Paragraph"/>
        <w:spacing w:after="0"/>
      </w:pPr>
      <w:r>
        <w:rPr>
          <w:color w:val="000000"/>
          <w:kern w:val="32"/>
          <w:szCs w:val="16"/>
        </w:rPr>
        <w:t>If</w:t>
      </w:r>
      <w:r w:rsidR="007060F1" w:rsidRPr="007060F1">
        <w:rPr>
          <w:color w:val="000000"/>
          <w:kern w:val="32"/>
          <w:szCs w:val="16"/>
        </w:rPr>
        <w:t xml:space="preserve"> </w:t>
      </w:r>
      <w:r w:rsidR="00BE0072" w:rsidRPr="0078735C">
        <w:t>con</w:t>
      </w:r>
      <w:r w:rsidR="00E765FF">
        <w:t>comitant</w:t>
      </w:r>
      <w:r w:rsidR="00BE0072">
        <w:t xml:space="preserve"> use </w:t>
      </w:r>
      <w:r>
        <w:rPr>
          <w:color w:val="000000"/>
          <w:kern w:val="32"/>
          <w:szCs w:val="16"/>
        </w:rPr>
        <w:t xml:space="preserve">of </w:t>
      </w:r>
      <w:r w:rsidR="007060F1" w:rsidRPr="007060F1">
        <w:rPr>
          <w:color w:val="000000"/>
          <w:kern w:val="32"/>
          <w:szCs w:val="16"/>
        </w:rPr>
        <w:t>a strong CYP3A inhibitor</w:t>
      </w:r>
      <w:r>
        <w:rPr>
          <w:color w:val="000000"/>
          <w:kern w:val="32"/>
          <w:szCs w:val="16"/>
        </w:rPr>
        <w:t xml:space="preserve"> is </w:t>
      </w:r>
      <w:r w:rsidRPr="007060F1">
        <w:rPr>
          <w:color w:val="000000"/>
          <w:kern w:val="32"/>
          <w:szCs w:val="16"/>
        </w:rPr>
        <w:t>discontinu</w:t>
      </w:r>
      <w:r>
        <w:rPr>
          <w:color w:val="000000"/>
          <w:kern w:val="32"/>
          <w:szCs w:val="16"/>
        </w:rPr>
        <w:t>ed</w:t>
      </w:r>
      <w:r w:rsidR="007060F1" w:rsidRPr="007060F1">
        <w:rPr>
          <w:color w:val="000000"/>
          <w:kern w:val="32"/>
          <w:szCs w:val="16"/>
        </w:rPr>
        <w:t xml:space="preserve">, </w:t>
      </w:r>
      <w:r w:rsidR="00E52512">
        <w:rPr>
          <w:color w:val="000000"/>
          <w:kern w:val="32"/>
          <w:szCs w:val="16"/>
        </w:rPr>
        <w:t xml:space="preserve">increase the </w:t>
      </w:r>
      <w:r w:rsidR="001A2032">
        <w:rPr>
          <w:color w:val="000000"/>
          <w:kern w:val="32"/>
          <w:szCs w:val="16"/>
        </w:rPr>
        <w:t>LORBRENA</w:t>
      </w:r>
      <w:r w:rsidR="007060F1" w:rsidRPr="007060F1" w:rsidDel="00E52512">
        <w:rPr>
          <w:color w:val="000000"/>
          <w:kern w:val="32"/>
          <w:szCs w:val="16"/>
        </w:rPr>
        <w:t xml:space="preserve"> </w:t>
      </w:r>
      <w:r w:rsidR="00E52512">
        <w:rPr>
          <w:color w:val="000000"/>
          <w:kern w:val="32"/>
          <w:szCs w:val="16"/>
        </w:rPr>
        <w:t xml:space="preserve">dose (after 3 </w:t>
      </w:r>
      <w:r w:rsidR="003961A0">
        <w:rPr>
          <w:color w:val="000000"/>
          <w:kern w:val="32"/>
          <w:szCs w:val="16"/>
        </w:rPr>
        <w:t xml:space="preserve">plasma </w:t>
      </w:r>
      <w:r w:rsidR="00E52512">
        <w:rPr>
          <w:color w:val="000000"/>
          <w:kern w:val="32"/>
          <w:szCs w:val="16"/>
        </w:rPr>
        <w:t xml:space="preserve">half-lives of the </w:t>
      </w:r>
      <w:r w:rsidR="00901E42">
        <w:rPr>
          <w:color w:val="000000"/>
          <w:kern w:val="32"/>
          <w:szCs w:val="16"/>
        </w:rPr>
        <w:t xml:space="preserve">strong CYP3A </w:t>
      </w:r>
      <w:r w:rsidR="00E52512">
        <w:rPr>
          <w:color w:val="000000"/>
          <w:kern w:val="32"/>
          <w:szCs w:val="16"/>
        </w:rPr>
        <w:t>inhibitor) to the dose that was used before starting the strong in</w:t>
      </w:r>
      <w:r w:rsidR="00645C35">
        <w:rPr>
          <w:color w:val="000000"/>
          <w:kern w:val="32"/>
          <w:szCs w:val="16"/>
        </w:rPr>
        <w:t xml:space="preserve">hibitor </w:t>
      </w:r>
      <w:r w:rsidR="00645C35" w:rsidRPr="00A30D8D">
        <w:rPr>
          <w:rFonts w:eastAsia="MS Mincho"/>
          <w:i/>
        </w:rPr>
        <w:t>[see Clinical Pharmacology (12.3)]</w:t>
      </w:r>
      <w:r w:rsidR="00645C35">
        <w:t>.</w:t>
      </w:r>
    </w:p>
    <w:p w:rsidR="001E1D15" w:rsidRPr="00AE7938" w:rsidRDefault="001E1D15" w:rsidP="001E1D15">
      <w:pPr>
        <w:pStyle w:val="Paragraph"/>
        <w:spacing w:after="0"/>
        <w:rPr>
          <w:color w:val="000000"/>
          <w:kern w:val="32"/>
          <w:szCs w:val="16"/>
        </w:rPr>
      </w:pPr>
    </w:p>
    <w:p w:rsidR="00DD0D9A" w:rsidRDefault="002A7E70" w:rsidP="001E1D15">
      <w:pPr>
        <w:pStyle w:val="Heading1"/>
        <w:jc w:val="left"/>
        <w:rPr>
          <w:sz w:val="24"/>
          <w:szCs w:val="24"/>
        </w:rPr>
      </w:pPr>
      <w:bookmarkStart w:id="4" w:name="_Toc128065005"/>
      <w:r>
        <w:rPr>
          <w:sz w:val="24"/>
          <w:szCs w:val="24"/>
        </w:rPr>
        <w:t>3</w:t>
      </w:r>
      <w:r w:rsidR="00EA5D47">
        <w:rPr>
          <w:sz w:val="24"/>
          <w:szCs w:val="24"/>
        </w:rPr>
        <w:tab/>
      </w:r>
      <w:r w:rsidR="00EA5D47">
        <w:rPr>
          <w:sz w:val="24"/>
          <w:szCs w:val="24"/>
        </w:rPr>
        <w:tab/>
      </w:r>
      <w:r w:rsidR="00DD0D9A" w:rsidRPr="00BA102E">
        <w:rPr>
          <w:sz w:val="24"/>
          <w:szCs w:val="24"/>
        </w:rPr>
        <w:t>DOSAGE FORMS AND STRENGTHS</w:t>
      </w:r>
      <w:bookmarkEnd w:id="4"/>
    </w:p>
    <w:p w:rsidR="001E1D15" w:rsidRPr="001E1D15" w:rsidRDefault="001E1D15" w:rsidP="001E1D15"/>
    <w:p w:rsidR="004C35CF" w:rsidRDefault="004C35CF" w:rsidP="001E1D15">
      <w:pPr>
        <w:rPr>
          <w:sz w:val="24"/>
          <w:szCs w:val="24"/>
        </w:rPr>
      </w:pPr>
      <w:r>
        <w:rPr>
          <w:sz w:val="24"/>
          <w:szCs w:val="24"/>
        </w:rPr>
        <w:t>Tablets:</w:t>
      </w:r>
    </w:p>
    <w:p w:rsidR="00BA102E" w:rsidRPr="002F4A5A" w:rsidRDefault="00BA102E" w:rsidP="001E1D15">
      <w:pPr>
        <w:numPr>
          <w:ilvl w:val="0"/>
          <w:numId w:val="7"/>
        </w:numPr>
        <w:tabs>
          <w:tab w:val="clear" w:pos="720"/>
          <w:tab w:val="num" w:pos="360"/>
        </w:tabs>
        <w:ind w:left="360"/>
        <w:rPr>
          <w:sz w:val="24"/>
          <w:szCs w:val="24"/>
        </w:rPr>
      </w:pPr>
      <w:r w:rsidRPr="002F4A5A">
        <w:rPr>
          <w:sz w:val="24"/>
          <w:szCs w:val="24"/>
        </w:rPr>
        <w:t>25 mg: 8 mm round</w:t>
      </w:r>
      <w:r w:rsidR="00D740EC" w:rsidRPr="002F4A5A">
        <w:rPr>
          <w:sz w:val="24"/>
          <w:szCs w:val="24"/>
        </w:rPr>
        <w:t>,</w:t>
      </w:r>
      <w:r w:rsidRPr="002F4A5A">
        <w:rPr>
          <w:sz w:val="24"/>
          <w:szCs w:val="24"/>
        </w:rPr>
        <w:t xml:space="preserve"> tan</w:t>
      </w:r>
      <w:r w:rsidR="00D740EC" w:rsidRPr="002F4A5A">
        <w:rPr>
          <w:sz w:val="24"/>
          <w:szCs w:val="24"/>
        </w:rPr>
        <w:t>,</w:t>
      </w:r>
      <w:r w:rsidRPr="002F4A5A">
        <w:rPr>
          <w:sz w:val="24"/>
          <w:szCs w:val="24"/>
        </w:rPr>
        <w:t xml:space="preserve"> immediate release</w:t>
      </w:r>
      <w:r w:rsidR="00901E42">
        <w:rPr>
          <w:sz w:val="24"/>
          <w:szCs w:val="24"/>
        </w:rPr>
        <w:t>,</w:t>
      </w:r>
      <w:r w:rsidRPr="002F4A5A">
        <w:rPr>
          <w:sz w:val="24"/>
          <w:szCs w:val="24"/>
        </w:rPr>
        <w:t xml:space="preserve"> film-coated, debossed with “Pfizer” on one side and “25” and “LLN” on the other side</w:t>
      </w:r>
    </w:p>
    <w:p w:rsidR="00DD0D9A" w:rsidRDefault="00BA102E" w:rsidP="001E1D15">
      <w:pPr>
        <w:numPr>
          <w:ilvl w:val="0"/>
          <w:numId w:val="7"/>
        </w:numPr>
        <w:tabs>
          <w:tab w:val="clear" w:pos="720"/>
          <w:tab w:val="num" w:pos="360"/>
        </w:tabs>
        <w:ind w:left="360"/>
        <w:rPr>
          <w:sz w:val="24"/>
          <w:szCs w:val="24"/>
        </w:rPr>
      </w:pPr>
      <w:r w:rsidRPr="002F4A5A">
        <w:rPr>
          <w:sz w:val="24"/>
          <w:szCs w:val="24"/>
        </w:rPr>
        <w:t xml:space="preserve">100 mg: </w:t>
      </w:r>
      <w:r w:rsidR="006C4E3D">
        <w:rPr>
          <w:sz w:val="24"/>
          <w:szCs w:val="24"/>
        </w:rPr>
        <w:t>8.5</w:t>
      </w:r>
      <w:r w:rsidR="006C4E3D" w:rsidRPr="002F4A5A">
        <w:rPr>
          <w:sz w:val="24"/>
          <w:szCs w:val="24"/>
        </w:rPr>
        <w:t xml:space="preserve"> </w:t>
      </w:r>
      <w:r w:rsidR="006C4E3D">
        <w:rPr>
          <w:sz w:val="24"/>
          <w:szCs w:val="24"/>
        </w:rPr>
        <w:t>mm ×</w:t>
      </w:r>
      <w:r w:rsidR="006C4E3D" w:rsidRPr="002F4A5A">
        <w:rPr>
          <w:sz w:val="24"/>
          <w:szCs w:val="24"/>
        </w:rPr>
        <w:t xml:space="preserve"> </w:t>
      </w:r>
      <w:r w:rsidR="006C4E3D">
        <w:rPr>
          <w:sz w:val="24"/>
          <w:szCs w:val="24"/>
        </w:rPr>
        <w:t>17</w:t>
      </w:r>
      <w:r w:rsidR="006C4E3D" w:rsidRPr="002F4A5A">
        <w:rPr>
          <w:sz w:val="24"/>
          <w:szCs w:val="24"/>
        </w:rPr>
        <w:t xml:space="preserve"> mm </w:t>
      </w:r>
      <w:r w:rsidRPr="002F4A5A">
        <w:rPr>
          <w:sz w:val="24"/>
          <w:szCs w:val="24"/>
        </w:rPr>
        <w:t>oval</w:t>
      </w:r>
      <w:r w:rsidR="00D740EC" w:rsidRPr="002F4A5A">
        <w:rPr>
          <w:sz w:val="24"/>
          <w:szCs w:val="24"/>
        </w:rPr>
        <w:t>,</w:t>
      </w:r>
      <w:r w:rsidRPr="002F4A5A">
        <w:rPr>
          <w:sz w:val="24"/>
          <w:szCs w:val="24"/>
        </w:rPr>
        <w:t xml:space="preserve"> lavender</w:t>
      </w:r>
      <w:r w:rsidR="00D740EC" w:rsidRPr="002F4A5A">
        <w:rPr>
          <w:sz w:val="24"/>
          <w:szCs w:val="24"/>
        </w:rPr>
        <w:t>,</w:t>
      </w:r>
      <w:r w:rsidRPr="002F4A5A">
        <w:rPr>
          <w:sz w:val="24"/>
          <w:szCs w:val="24"/>
        </w:rPr>
        <w:t xml:space="preserve"> immediate release</w:t>
      </w:r>
      <w:r w:rsidR="00901E42">
        <w:rPr>
          <w:sz w:val="24"/>
          <w:szCs w:val="24"/>
        </w:rPr>
        <w:t>,</w:t>
      </w:r>
      <w:r w:rsidRPr="002F4A5A">
        <w:rPr>
          <w:sz w:val="24"/>
          <w:szCs w:val="24"/>
        </w:rPr>
        <w:t xml:space="preserve"> film-coated, debossed with “Pfizer” on one side and “LLN 100” on the other side</w:t>
      </w:r>
    </w:p>
    <w:p w:rsidR="001E1D15" w:rsidRPr="002F4A5A" w:rsidRDefault="001E1D15" w:rsidP="001E1D15">
      <w:pPr>
        <w:ind w:left="360"/>
        <w:rPr>
          <w:sz w:val="24"/>
          <w:szCs w:val="24"/>
        </w:rPr>
      </w:pPr>
    </w:p>
    <w:p w:rsidR="00DD0D9A" w:rsidRPr="00BA102E" w:rsidRDefault="002A7E70" w:rsidP="00C060CA">
      <w:pPr>
        <w:pStyle w:val="Heading1"/>
        <w:keepNext w:val="0"/>
        <w:jc w:val="left"/>
        <w:rPr>
          <w:sz w:val="24"/>
          <w:szCs w:val="24"/>
        </w:rPr>
      </w:pPr>
      <w:bookmarkStart w:id="5" w:name="_Toc128065006"/>
      <w:r>
        <w:rPr>
          <w:sz w:val="24"/>
          <w:szCs w:val="24"/>
        </w:rPr>
        <w:t>4</w:t>
      </w:r>
      <w:r w:rsidR="00EA5D47">
        <w:rPr>
          <w:sz w:val="24"/>
          <w:szCs w:val="24"/>
        </w:rPr>
        <w:tab/>
      </w:r>
      <w:r w:rsidR="00EA5D47">
        <w:rPr>
          <w:sz w:val="24"/>
          <w:szCs w:val="24"/>
        </w:rPr>
        <w:tab/>
      </w:r>
      <w:r w:rsidR="00DD0D9A" w:rsidRPr="00BA102E">
        <w:rPr>
          <w:sz w:val="24"/>
          <w:szCs w:val="24"/>
        </w:rPr>
        <w:t>CONTRAINDICATIONS</w:t>
      </w:r>
      <w:bookmarkEnd w:id="5"/>
    </w:p>
    <w:p w:rsidR="001E1D15" w:rsidRDefault="001E1D15" w:rsidP="00C060CA">
      <w:pPr>
        <w:rPr>
          <w:sz w:val="24"/>
          <w:szCs w:val="24"/>
        </w:rPr>
      </w:pPr>
    </w:p>
    <w:p w:rsidR="00381491" w:rsidRDefault="001A2032" w:rsidP="00C060CA">
      <w:pPr>
        <w:rPr>
          <w:sz w:val="24"/>
          <w:szCs w:val="24"/>
        </w:rPr>
      </w:pPr>
      <w:r>
        <w:rPr>
          <w:sz w:val="24"/>
          <w:szCs w:val="24"/>
        </w:rPr>
        <w:t>LORBRENA</w:t>
      </w:r>
      <w:r w:rsidR="00DD0D9A" w:rsidRPr="00BA102E">
        <w:rPr>
          <w:sz w:val="24"/>
          <w:szCs w:val="24"/>
        </w:rPr>
        <w:t xml:space="preserve"> is contraindicated </w:t>
      </w:r>
      <w:r w:rsidR="00002B06">
        <w:rPr>
          <w:sz w:val="24"/>
          <w:szCs w:val="24"/>
        </w:rPr>
        <w:t xml:space="preserve">in patients </w:t>
      </w:r>
      <w:r w:rsidR="0055695F">
        <w:rPr>
          <w:sz w:val="24"/>
          <w:szCs w:val="24"/>
        </w:rPr>
        <w:t xml:space="preserve">taking </w:t>
      </w:r>
      <w:r w:rsidR="00304A20" w:rsidRPr="00304A20">
        <w:rPr>
          <w:sz w:val="24"/>
          <w:szCs w:val="24"/>
        </w:rPr>
        <w:t>strong CYP3A inducers</w:t>
      </w:r>
      <w:r w:rsidR="00AD0135">
        <w:rPr>
          <w:sz w:val="24"/>
          <w:szCs w:val="24"/>
        </w:rPr>
        <w:t>,</w:t>
      </w:r>
      <w:r w:rsidR="0055695F">
        <w:rPr>
          <w:sz w:val="24"/>
          <w:szCs w:val="24"/>
        </w:rPr>
        <w:t xml:space="preserve"> </w:t>
      </w:r>
      <w:r w:rsidR="0055695F" w:rsidRPr="004D2066">
        <w:rPr>
          <w:sz w:val="24"/>
          <w:szCs w:val="24"/>
        </w:rPr>
        <w:t xml:space="preserve">due to the potential for </w:t>
      </w:r>
      <w:r w:rsidR="00DF2EF1" w:rsidRPr="004D2066">
        <w:rPr>
          <w:sz w:val="24"/>
          <w:szCs w:val="24"/>
        </w:rPr>
        <w:t>serious</w:t>
      </w:r>
      <w:r w:rsidR="00DF2EF1" w:rsidRPr="004D2066" w:rsidDel="0001551C">
        <w:rPr>
          <w:sz w:val="24"/>
          <w:szCs w:val="24"/>
        </w:rPr>
        <w:t xml:space="preserve"> </w:t>
      </w:r>
      <w:r w:rsidR="00DF2EF1" w:rsidRPr="004D2066">
        <w:rPr>
          <w:sz w:val="24"/>
          <w:szCs w:val="24"/>
        </w:rPr>
        <w:t>hepatotoxicity</w:t>
      </w:r>
      <w:r w:rsidR="00DF2EF1">
        <w:rPr>
          <w:sz w:val="24"/>
          <w:szCs w:val="24"/>
        </w:rPr>
        <w:t xml:space="preserve"> </w:t>
      </w:r>
      <w:r w:rsidR="00ED4A1D" w:rsidRPr="000D54F0">
        <w:rPr>
          <w:i/>
          <w:sz w:val="24"/>
          <w:szCs w:val="24"/>
        </w:rPr>
        <w:t xml:space="preserve">[see </w:t>
      </w:r>
      <w:r w:rsidR="00684198">
        <w:rPr>
          <w:i/>
          <w:sz w:val="24"/>
          <w:szCs w:val="24"/>
        </w:rPr>
        <w:t>Warnings and Precautions (5.</w:t>
      </w:r>
      <w:r w:rsidR="001A6301">
        <w:rPr>
          <w:i/>
          <w:sz w:val="24"/>
          <w:szCs w:val="24"/>
        </w:rPr>
        <w:t>1</w:t>
      </w:r>
      <w:r w:rsidR="0043755E">
        <w:rPr>
          <w:i/>
          <w:sz w:val="24"/>
          <w:szCs w:val="24"/>
        </w:rPr>
        <w:t>)</w:t>
      </w:r>
      <w:r w:rsidR="00ED4A1D" w:rsidRPr="000D54F0">
        <w:rPr>
          <w:i/>
          <w:sz w:val="24"/>
          <w:szCs w:val="24"/>
        </w:rPr>
        <w:t>]</w:t>
      </w:r>
      <w:r w:rsidR="00415D11" w:rsidRPr="00415D11">
        <w:rPr>
          <w:sz w:val="24"/>
          <w:szCs w:val="24"/>
        </w:rPr>
        <w:t>.</w:t>
      </w:r>
    </w:p>
    <w:p w:rsidR="001E1D15" w:rsidRDefault="001E1D15" w:rsidP="00C060CA">
      <w:pPr>
        <w:pStyle w:val="Heading1"/>
        <w:keepNext w:val="0"/>
        <w:jc w:val="left"/>
        <w:rPr>
          <w:sz w:val="24"/>
          <w:szCs w:val="24"/>
        </w:rPr>
      </w:pPr>
      <w:bookmarkStart w:id="6" w:name="_Toc128065007"/>
    </w:p>
    <w:p w:rsidR="00DD0D9A" w:rsidRDefault="002A7E70" w:rsidP="006845AE">
      <w:pPr>
        <w:pStyle w:val="Heading1"/>
        <w:jc w:val="left"/>
        <w:rPr>
          <w:sz w:val="24"/>
          <w:szCs w:val="24"/>
        </w:rPr>
      </w:pPr>
      <w:r>
        <w:rPr>
          <w:sz w:val="24"/>
          <w:szCs w:val="24"/>
        </w:rPr>
        <w:t>5</w:t>
      </w:r>
      <w:r w:rsidR="00EA5D47">
        <w:rPr>
          <w:sz w:val="24"/>
          <w:szCs w:val="24"/>
        </w:rPr>
        <w:tab/>
      </w:r>
      <w:r w:rsidR="00EA5D47">
        <w:rPr>
          <w:sz w:val="24"/>
          <w:szCs w:val="24"/>
        </w:rPr>
        <w:tab/>
      </w:r>
      <w:r w:rsidR="00DD0D9A" w:rsidRPr="00BA102E">
        <w:rPr>
          <w:sz w:val="24"/>
          <w:szCs w:val="24"/>
        </w:rPr>
        <w:t>WARNINGS AND PRECAUTIONS</w:t>
      </w:r>
      <w:bookmarkEnd w:id="6"/>
    </w:p>
    <w:p w:rsidR="001E1D15" w:rsidRDefault="001E1D15" w:rsidP="00C060CA">
      <w:pPr>
        <w:keepNext/>
        <w:tabs>
          <w:tab w:val="left" w:pos="720"/>
        </w:tabs>
        <w:rPr>
          <w:b/>
          <w:sz w:val="24"/>
          <w:szCs w:val="24"/>
        </w:rPr>
      </w:pPr>
    </w:p>
    <w:p w:rsidR="003958B5" w:rsidRPr="00447B13" w:rsidRDefault="00ED4A1D" w:rsidP="00C0057E">
      <w:pPr>
        <w:tabs>
          <w:tab w:val="left" w:pos="540"/>
        </w:tabs>
        <w:rPr>
          <w:b/>
          <w:sz w:val="24"/>
          <w:szCs w:val="24"/>
        </w:rPr>
      </w:pPr>
      <w:r w:rsidRPr="00B56AF8">
        <w:rPr>
          <w:b/>
          <w:sz w:val="24"/>
          <w:szCs w:val="24"/>
        </w:rPr>
        <w:t>5.1</w:t>
      </w:r>
      <w:r w:rsidR="00E32632">
        <w:rPr>
          <w:b/>
          <w:sz w:val="24"/>
          <w:szCs w:val="24"/>
        </w:rPr>
        <w:tab/>
      </w:r>
      <w:r w:rsidR="003958B5">
        <w:rPr>
          <w:b/>
          <w:sz w:val="24"/>
          <w:szCs w:val="24"/>
        </w:rPr>
        <w:t>Risk of Serious Hepatotoxicity with Concomitant Use of Strong</w:t>
      </w:r>
      <w:r w:rsidR="003958B5" w:rsidRPr="006F09D0">
        <w:rPr>
          <w:b/>
          <w:sz w:val="24"/>
          <w:szCs w:val="24"/>
        </w:rPr>
        <w:t xml:space="preserve"> CYP3A </w:t>
      </w:r>
      <w:r w:rsidR="003958B5">
        <w:rPr>
          <w:b/>
          <w:sz w:val="24"/>
          <w:szCs w:val="24"/>
        </w:rPr>
        <w:t>I</w:t>
      </w:r>
      <w:r w:rsidR="003958B5" w:rsidRPr="006F09D0">
        <w:rPr>
          <w:b/>
          <w:sz w:val="24"/>
          <w:szCs w:val="24"/>
        </w:rPr>
        <w:t xml:space="preserve">nducers </w:t>
      </w:r>
    </w:p>
    <w:p w:rsidR="001E1D15" w:rsidRDefault="001E1D15" w:rsidP="00C060CA">
      <w:pPr>
        <w:keepNext/>
        <w:tabs>
          <w:tab w:val="left" w:pos="720"/>
        </w:tabs>
        <w:rPr>
          <w:sz w:val="24"/>
          <w:szCs w:val="24"/>
        </w:rPr>
      </w:pPr>
    </w:p>
    <w:p w:rsidR="00B56AF8" w:rsidRDefault="00DF2EF1" w:rsidP="00C060CA">
      <w:pPr>
        <w:keepNext/>
        <w:tabs>
          <w:tab w:val="left" w:pos="720"/>
        </w:tabs>
        <w:rPr>
          <w:sz w:val="24"/>
          <w:szCs w:val="24"/>
        </w:rPr>
      </w:pPr>
      <w:r>
        <w:rPr>
          <w:sz w:val="24"/>
          <w:szCs w:val="24"/>
        </w:rPr>
        <w:t xml:space="preserve">Severe hepatotoxicity occurred in 10 of 12 healthy subjects receiving a single dose </w:t>
      </w:r>
      <w:r w:rsidRPr="00293A81">
        <w:rPr>
          <w:sz w:val="24"/>
          <w:szCs w:val="24"/>
        </w:rPr>
        <w:t xml:space="preserve">of </w:t>
      </w:r>
      <w:r>
        <w:rPr>
          <w:sz w:val="24"/>
          <w:szCs w:val="24"/>
        </w:rPr>
        <w:t>LORBRENA with multiple daily doses of rifampin, a strong</w:t>
      </w:r>
      <w:r w:rsidRPr="00293A81">
        <w:rPr>
          <w:sz w:val="24"/>
          <w:szCs w:val="24"/>
        </w:rPr>
        <w:t xml:space="preserve"> CYP3A inducer</w:t>
      </w:r>
      <w:r>
        <w:rPr>
          <w:sz w:val="24"/>
          <w:szCs w:val="24"/>
        </w:rPr>
        <w:t xml:space="preserve">. </w:t>
      </w:r>
      <w:r w:rsidRPr="00B208DF">
        <w:rPr>
          <w:sz w:val="24"/>
          <w:szCs w:val="24"/>
        </w:rPr>
        <w:t xml:space="preserve">Grade 4 </w:t>
      </w:r>
      <w:r w:rsidR="000A74A8">
        <w:rPr>
          <w:sz w:val="24"/>
          <w:szCs w:val="24"/>
        </w:rPr>
        <w:t>alanine aminotransferase (</w:t>
      </w:r>
      <w:r w:rsidRPr="00B208DF">
        <w:rPr>
          <w:sz w:val="24"/>
          <w:szCs w:val="24"/>
        </w:rPr>
        <w:t>A</w:t>
      </w:r>
      <w:r>
        <w:rPr>
          <w:sz w:val="24"/>
          <w:szCs w:val="24"/>
        </w:rPr>
        <w:t>L</w:t>
      </w:r>
      <w:r w:rsidRPr="00B208DF">
        <w:rPr>
          <w:sz w:val="24"/>
          <w:szCs w:val="24"/>
        </w:rPr>
        <w:t>T</w:t>
      </w:r>
      <w:r w:rsidR="000A74A8">
        <w:rPr>
          <w:sz w:val="24"/>
          <w:szCs w:val="24"/>
        </w:rPr>
        <w:t>)</w:t>
      </w:r>
      <w:r>
        <w:rPr>
          <w:sz w:val="24"/>
          <w:szCs w:val="24"/>
        </w:rPr>
        <w:t xml:space="preserve"> or </w:t>
      </w:r>
      <w:r w:rsidR="000A74A8">
        <w:rPr>
          <w:sz w:val="24"/>
          <w:szCs w:val="24"/>
        </w:rPr>
        <w:t>aspartate aminotransferase (</w:t>
      </w:r>
      <w:r w:rsidRPr="00B208DF">
        <w:rPr>
          <w:sz w:val="24"/>
          <w:szCs w:val="24"/>
        </w:rPr>
        <w:t>A</w:t>
      </w:r>
      <w:r>
        <w:rPr>
          <w:sz w:val="24"/>
          <w:szCs w:val="24"/>
        </w:rPr>
        <w:t>S</w:t>
      </w:r>
      <w:r w:rsidRPr="00B208DF">
        <w:rPr>
          <w:sz w:val="24"/>
          <w:szCs w:val="24"/>
        </w:rPr>
        <w:t>T</w:t>
      </w:r>
      <w:r w:rsidR="000A74A8">
        <w:rPr>
          <w:sz w:val="24"/>
          <w:szCs w:val="24"/>
        </w:rPr>
        <w:t>)</w:t>
      </w:r>
      <w:r w:rsidRPr="00B208DF">
        <w:rPr>
          <w:sz w:val="24"/>
          <w:szCs w:val="24"/>
        </w:rPr>
        <w:t xml:space="preserve"> elevations occurred in </w:t>
      </w:r>
      <w:r>
        <w:rPr>
          <w:sz w:val="24"/>
          <w:szCs w:val="24"/>
        </w:rPr>
        <w:t>50% of subjects, Grade 3 ALT or AST elevation</w:t>
      </w:r>
      <w:r w:rsidR="00E765FF">
        <w:rPr>
          <w:sz w:val="24"/>
          <w:szCs w:val="24"/>
        </w:rPr>
        <w:t>s</w:t>
      </w:r>
      <w:r>
        <w:rPr>
          <w:sz w:val="24"/>
          <w:szCs w:val="24"/>
        </w:rPr>
        <w:t xml:space="preserve"> occurred in 33</w:t>
      </w:r>
      <w:r w:rsidRPr="00B208DF">
        <w:rPr>
          <w:sz w:val="24"/>
          <w:szCs w:val="24"/>
        </w:rPr>
        <w:t>%</w:t>
      </w:r>
      <w:r w:rsidR="00DD60A0">
        <w:rPr>
          <w:sz w:val="24"/>
          <w:szCs w:val="24"/>
        </w:rPr>
        <w:t xml:space="preserve"> </w:t>
      </w:r>
      <w:r>
        <w:rPr>
          <w:sz w:val="24"/>
          <w:szCs w:val="24"/>
        </w:rPr>
        <w:t xml:space="preserve">and </w:t>
      </w:r>
      <w:r w:rsidRPr="00B208DF">
        <w:rPr>
          <w:sz w:val="24"/>
          <w:szCs w:val="24"/>
        </w:rPr>
        <w:t>Grade 2 A</w:t>
      </w:r>
      <w:r>
        <w:rPr>
          <w:sz w:val="24"/>
          <w:szCs w:val="24"/>
        </w:rPr>
        <w:t>L</w:t>
      </w:r>
      <w:r w:rsidRPr="00B208DF">
        <w:rPr>
          <w:sz w:val="24"/>
          <w:szCs w:val="24"/>
        </w:rPr>
        <w:t>T</w:t>
      </w:r>
      <w:r>
        <w:rPr>
          <w:sz w:val="24"/>
          <w:szCs w:val="24"/>
        </w:rPr>
        <w:t xml:space="preserve"> or </w:t>
      </w:r>
      <w:r w:rsidRPr="00B208DF">
        <w:rPr>
          <w:sz w:val="24"/>
          <w:szCs w:val="24"/>
        </w:rPr>
        <w:t>A</w:t>
      </w:r>
      <w:r>
        <w:rPr>
          <w:sz w:val="24"/>
          <w:szCs w:val="24"/>
        </w:rPr>
        <w:t>S</w:t>
      </w:r>
      <w:r w:rsidRPr="00B208DF">
        <w:rPr>
          <w:sz w:val="24"/>
          <w:szCs w:val="24"/>
        </w:rPr>
        <w:t xml:space="preserve">T elevations occurred in </w:t>
      </w:r>
      <w:r>
        <w:rPr>
          <w:sz w:val="24"/>
          <w:szCs w:val="24"/>
        </w:rPr>
        <w:t>8</w:t>
      </w:r>
      <w:r w:rsidRPr="00B208DF">
        <w:rPr>
          <w:sz w:val="24"/>
          <w:szCs w:val="24"/>
        </w:rPr>
        <w:t xml:space="preserve">%. </w:t>
      </w:r>
      <w:r w:rsidR="00B56AF8">
        <w:rPr>
          <w:sz w:val="24"/>
          <w:szCs w:val="24"/>
        </w:rPr>
        <w:t>ALT</w:t>
      </w:r>
      <w:r w:rsidR="007A292F">
        <w:rPr>
          <w:sz w:val="24"/>
          <w:szCs w:val="24"/>
        </w:rPr>
        <w:t xml:space="preserve"> or </w:t>
      </w:r>
      <w:r w:rsidR="00B56AF8">
        <w:rPr>
          <w:sz w:val="24"/>
          <w:szCs w:val="24"/>
        </w:rPr>
        <w:t>AST elevations occurred with</w:t>
      </w:r>
      <w:r w:rsidR="006515CA">
        <w:rPr>
          <w:sz w:val="24"/>
          <w:szCs w:val="24"/>
        </w:rPr>
        <w:t>in 3</w:t>
      </w:r>
      <w:r w:rsidR="00B56AF8">
        <w:rPr>
          <w:sz w:val="24"/>
          <w:szCs w:val="24"/>
        </w:rPr>
        <w:t xml:space="preserve"> days and</w:t>
      </w:r>
      <w:r w:rsidR="006515CA">
        <w:rPr>
          <w:sz w:val="24"/>
          <w:szCs w:val="24"/>
        </w:rPr>
        <w:t xml:space="preserve"> </w:t>
      </w:r>
      <w:r w:rsidR="00B56AF8" w:rsidRPr="002F4612">
        <w:rPr>
          <w:sz w:val="24"/>
          <w:szCs w:val="24"/>
        </w:rPr>
        <w:t>returned to within normal</w:t>
      </w:r>
      <w:r w:rsidR="00B56AF8" w:rsidRPr="00B208DF">
        <w:rPr>
          <w:sz w:val="24"/>
          <w:szCs w:val="24"/>
        </w:rPr>
        <w:t xml:space="preserve"> </w:t>
      </w:r>
      <w:r w:rsidR="00627C94">
        <w:rPr>
          <w:sz w:val="24"/>
          <w:szCs w:val="24"/>
        </w:rPr>
        <w:t xml:space="preserve">limits </w:t>
      </w:r>
      <w:r w:rsidR="00B56AF8" w:rsidRPr="00B208DF">
        <w:rPr>
          <w:sz w:val="24"/>
          <w:szCs w:val="24"/>
        </w:rPr>
        <w:t>after</w:t>
      </w:r>
      <w:r w:rsidR="00AC0677">
        <w:rPr>
          <w:sz w:val="24"/>
          <w:szCs w:val="24"/>
        </w:rPr>
        <w:t xml:space="preserve"> a median of </w:t>
      </w:r>
      <w:r w:rsidR="006515CA">
        <w:rPr>
          <w:sz w:val="24"/>
          <w:szCs w:val="24"/>
        </w:rPr>
        <w:t>15</w:t>
      </w:r>
      <w:r w:rsidR="00AC0677">
        <w:rPr>
          <w:sz w:val="24"/>
          <w:szCs w:val="24"/>
        </w:rPr>
        <w:t xml:space="preserve"> days (</w:t>
      </w:r>
      <w:r w:rsidR="002B1ECA">
        <w:rPr>
          <w:sz w:val="24"/>
          <w:szCs w:val="24"/>
        </w:rPr>
        <w:t>7</w:t>
      </w:r>
      <w:r w:rsidR="00AC0677">
        <w:rPr>
          <w:sz w:val="24"/>
          <w:szCs w:val="24"/>
        </w:rPr>
        <w:t xml:space="preserve"> </w:t>
      </w:r>
      <w:r w:rsidR="008B7C4F">
        <w:rPr>
          <w:sz w:val="24"/>
          <w:szCs w:val="24"/>
        </w:rPr>
        <w:t>to</w:t>
      </w:r>
      <w:r w:rsidR="00AC0677">
        <w:rPr>
          <w:sz w:val="24"/>
          <w:szCs w:val="24"/>
        </w:rPr>
        <w:t xml:space="preserve"> </w:t>
      </w:r>
      <w:r w:rsidR="002B1ECA">
        <w:rPr>
          <w:sz w:val="24"/>
          <w:szCs w:val="24"/>
        </w:rPr>
        <w:t>34</w:t>
      </w:r>
      <w:r w:rsidR="008B7C4F">
        <w:rPr>
          <w:sz w:val="24"/>
          <w:szCs w:val="24"/>
        </w:rPr>
        <w:t xml:space="preserve"> days</w:t>
      </w:r>
      <w:r w:rsidR="00AC0677">
        <w:rPr>
          <w:sz w:val="24"/>
          <w:szCs w:val="24"/>
        </w:rPr>
        <w:t xml:space="preserve">); the median time to recovery was </w:t>
      </w:r>
      <w:r w:rsidR="003A2D3D">
        <w:rPr>
          <w:sz w:val="24"/>
          <w:szCs w:val="24"/>
        </w:rPr>
        <w:t>18</w:t>
      </w:r>
      <w:r w:rsidR="00074757">
        <w:rPr>
          <w:sz w:val="24"/>
          <w:szCs w:val="24"/>
        </w:rPr>
        <w:t> </w:t>
      </w:r>
      <w:r w:rsidR="003A2D3D">
        <w:rPr>
          <w:sz w:val="24"/>
          <w:szCs w:val="24"/>
        </w:rPr>
        <w:t>days in subjects with Grade 3</w:t>
      </w:r>
      <w:r w:rsidR="00A630F9">
        <w:rPr>
          <w:sz w:val="24"/>
          <w:szCs w:val="24"/>
        </w:rPr>
        <w:t xml:space="preserve"> or </w:t>
      </w:r>
      <w:r w:rsidR="003A2D3D">
        <w:rPr>
          <w:sz w:val="24"/>
          <w:szCs w:val="24"/>
        </w:rPr>
        <w:t xml:space="preserve">4 </w:t>
      </w:r>
      <w:r w:rsidR="007A292F">
        <w:rPr>
          <w:sz w:val="24"/>
          <w:szCs w:val="24"/>
        </w:rPr>
        <w:t xml:space="preserve">ALT or </w:t>
      </w:r>
      <w:r w:rsidR="003A2D3D">
        <w:rPr>
          <w:sz w:val="24"/>
          <w:szCs w:val="24"/>
        </w:rPr>
        <w:t xml:space="preserve">AST elevations and </w:t>
      </w:r>
      <w:r w:rsidR="002B1ECA">
        <w:rPr>
          <w:sz w:val="24"/>
          <w:szCs w:val="24"/>
        </w:rPr>
        <w:t>7</w:t>
      </w:r>
      <w:r w:rsidR="00AC0677">
        <w:rPr>
          <w:sz w:val="24"/>
          <w:szCs w:val="24"/>
        </w:rPr>
        <w:t xml:space="preserve"> days in subjects with Grade 2 </w:t>
      </w:r>
      <w:r w:rsidR="007A292F">
        <w:rPr>
          <w:sz w:val="24"/>
          <w:szCs w:val="24"/>
        </w:rPr>
        <w:t xml:space="preserve">ALT or </w:t>
      </w:r>
      <w:r w:rsidR="00AC0677">
        <w:rPr>
          <w:sz w:val="24"/>
          <w:szCs w:val="24"/>
        </w:rPr>
        <w:t>AST elevations.</w:t>
      </w:r>
      <w:r w:rsidR="00B56AF8" w:rsidRPr="00B208DF">
        <w:rPr>
          <w:sz w:val="24"/>
          <w:szCs w:val="24"/>
        </w:rPr>
        <w:t xml:space="preserve"> </w:t>
      </w:r>
    </w:p>
    <w:p w:rsidR="001E1D15" w:rsidRDefault="001E1D15" w:rsidP="001E1D15">
      <w:pPr>
        <w:tabs>
          <w:tab w:val="left" w:pos="720"/>
        </w:tabs>
        <w:rPr>
          <w:sz w:val="24"/>
          <w:szCs w:val="24"/>
        </w:rPr>
      </w:pPr>
    </w:p>
    <w:p w:rsidR="00741AAC" w:rsidRDefault="000E5CBB" w:rsidP="001E1D15">
      <w:pPr>
        <w:tabs>
          <w:tab w:val="left" w:pos="720"/>
        </w:tabs>
        <w:rPr>
          <w:sz w:val="24"/>
          <w:szCs w:val="24"/>
        </w:rPr>
      </w:pPr>
      <w:r>
        <w:rPr>
          <w:sz w:val="24"/>
          <w:szCs w:val="24"/>
        </w:rPr>
        <w:t>LORBRENA</w:t>
      </w:r>
      <w:r w:rsidRPr="00447B13">
        <w:rPr>
          <w:sz w:val="24"/>
          <w:szCs w:val="24"/>
        </w:rPr>
        <w:t xml:space="preserve"> is contraindicated</w:t>
      </w:r>
      <w:r w:rsidRPr="00077F5D">
        <w:rPr>
          <w:i/>
          <w:iCs/>
          <w:color w:val="000000"/>
          <w:sz w:val="24"/>
          <w:szCs w:val="24"/>
        </w:rPr>
        <w:t xml:space="preserve"> </w:t>
      </w:r>
      <w:r>
        <w:rPr>
          <w:sz w:val="24"/>
          <w:szCs w:val="24"/>
        </w:rPr>
        <w:t>in patients taking s</w:t>
      </w:r>
      <w:r w:rsidRPr="00447B13">
        <w:rPr>
          <w:sz w:val="24"/>
          <w:szCs w:val="24"/>
        </w:rPr>
        <w:t>trong</w:t>
      </w:r>
      <w:r>
        <w:rPr>
          <w:sz w:val="24"/>
          <w:szCs w:val="24"/>
        </w:rPr>
        <w:t xml:space="preserve"> CYP3A inducers.</w:t>
      </w:r>
      <w:r w:rsidRPr="001F3B24">
        <w:rPr>
          <w:bCs/>
          <w:sz w:val="24"/>
          <w:szCs w:val="24"/>
        </w:rPr>
        <w:t xml:space="preserve"> </w:t>
      </w:r>
      <w:r w:rsidR="00DF2EF1">
        <w:rPr>
          <w:sz w:val="24"/>
          <w:szCs w:val="24"/>
        </w:rPr>
        <w:t xml:space="preserve">Discontinue strong CYP3A inducers for </w:t>
      </w:r>
      <w:r w:rsidR="00DF2EF1" w:rsidRPr="009C6BE0">
        <w:rPr>
          <w:sz w:val="24"/>
          <w:szCs w:val="24"/>
        </w:rPr>
        <w:t xml:space="preserve">3 </w:t>
      </w:r>
      <w:r w:rsidR="00DF2EF1">
        <w:rPr>
          <w:sz w:val="24"/>
          <w:szCs w:val="24"/>
        </w:rPr>
        <w:t xml:space="preserve">plasma </w:t>
      </w:r>
      <w:r w:rsidR="00DF2EF1" w:rsidRPr="009C6BE0">
        <w:rPr>
          <w:sz w:val="24"/>
          <w:szCs w:val="24"/>
        </w:rPr>
        <w:t xml:space="preserve">half-lives of the strong CYP3A inducer </w:t>
      </w:r>
      <w:r w:rsidR="00DF2EF1">
        <w:rPr>
          <w:sz w:val="24"/>
          <w:szCs w:val="24"/>
        </w:rPr>
        <w:t xml:space="preserve">prior to initiating LORBRENA. </w:t>
      </w:r>
    </w:p>
    <w:p w:rsidR="001E1D15" w:rsidRDefault="001E1D15" w:rsidP="001E1D15">
      <w:pPr>
        <w:tabs>
          <w:tab w:val="left" w:pos="720"/>
        </w:tabs>
        <w:rPr>
          <w:sz w:val="24"/>
          <w:szCs w:val="24"/>
        </w:rPr>
      </w:pPr>
    </w:p>
    <w:p w:rsidR="00741AAC" w:rsidRDefault="00DF2EF1" w:rsidP="001E1D15">
      <w:pPr>
        <w:tabs>
          <w:tab w:val="left" w:pos="720"/>
        </w:tabs>
        <w:rPr>
          <w:sz w:val="24"/>
          <w:szCs w:val="24"/>
        </w:rPr>
      </w:pPr>
      <w:r>
        <w:rPr>
          <w:bCs/>
          <w:sz w:val="24"/>
          <w:szCs w:val="24"/>
        </w:rPr>
        <w:t xml:space="preserve">Avoid concomitant use of LORBRENA with moderate CYP3A inducers. </w:t>
      </w:r>
      <w:r w:rsidRPr="008B7C4F">
        <w:rPr>
          <w:sz w:val="24"/>
          <w:szCs w:val="24"/>
        </w:rPr>
        <w:t>If concomitant use of moderate CYP3A inducers</w:t>
      </w:r>
      <w:r>
        <w:rPr>
          <w:sz w:val="24"/>
          <w:szCs w:val="24"/>
        </w:rPr>
        <w:t xml:space="preserve"> cannot be avoided, monitor AST, ALT, and bilirubin 48 hours after initiating LORBRENA and at least 3 times during the first week</w:t>
      </w:r>
      <w:r w:rsidRPr="008B7C4F">
        <w:rPr>
          <w:sz w:val="24"/>
          <w:szCs w:val="24"/>
        </w:rPr>
        <w:t xml:space="preserve"> after initiat</w:t>
      </w:r>
      <w:r>
        <w:rPr>
          <w:sz w:val="24"/>
          <w:szCs w:val="24"/>
        </w:rPr>
        <w:t>ing</w:t>
      </w:r>
      <w:r w:rsidRPr="008B7C4F">
        <w:rPr>
          <w:sz w:val="24"/>
          <w:szCs w:val="24"/>
        </w:rPr>
        <w:t xml:space="preserve"> </w:t>
      </w:r>
      <w:r>
        <w:rPr>
          <w:sz w:val="24"/>
          <w:szCs w:val="24"/>
        </w:rPr>
        <w:t>LORBRENA</w:t>
      </w:r>
      <w:r w:rsidDel="00076375">
        <w:rPr>
          <w:sz w:val="24"/>
          <w:szCs w:val="24"/>
        </w:rPr>
        <w:t>.</w:t>
      </w:r>
      <w:r w:rsidRPr="00DF2EF1">
        <w:rPr>
          <w:sz w:val="24"/>
          <w:szCs w:val="24"/>
        </w:rPr>
        <w:t xml:space="preserve"> </w:t>
      </w:r>
    </w:p>
    <w:p w:rsidR="001E1D15" w:rsidRDefault="001E1D15" w:rsidP="001E1D15">
      <w:pPr>
        <w:tabs>
          <w:tab w:val="left" w:pos="720"/>
        </w:tabs>
        <w:rPr>
          <w:sz w:val="24"/>
          <w:szCs w:val="24"/>
        </w:rPr>
      </w:pPr>
    </w:p>
    <w:p w:rsidR="00B56AF8" w:rsidRDefault="00817075" w:rsidP="001E1D15">
      <w:pPr>
        <w:tabs>
          <w:tab w:val="left" w:pos="720"/>
        </w:tabs>
        <w:rPr>
          <w:bCs/>
          <w:sz w:val="24"/>
          <w:szCs w:val="24"/>
        </w:rPr>
      </w:pPr>
      <w:r>
        <w:rPr>
          <w:sz w:val="24"/>
          <w:szCs w:val="24"/>
        </w:rPr>
        <w:lastRenderedPageBreak/>
        <w:t xml:space="preserve">Depending upon the relative importance of each drug, discontinue LORBRENA or the CYP3A inducer for persistent Grade 2 or higher </w:t>
      </w:r>
      <w:r w:rsidR="00D03B97">
        <w:rPr>
          <w:sz w:val="24"/>
          <w:szCs w:val="24"/>
        </w:rPr>
        <w:t>hepato</w:t>
      </w:r>
      <w:r>
        <w:rPr>
          <w:sz w:val="24"/>
          <w:szCs w:val="24"/>
        </w:rPr>
        <w:t>toxicity</w:t>
      </w:r>
      <w:r w:rsidR="001A658E">
        <w:rPr>
          <w:sz w:val="24"/>
          <w:szCs w:val="24"/>
        </w:rPr>
        <w:t xml:space="preserve"> </w:t>
      </w:r>
      <w:r w:rsidR="00B56AF8" w:rsidRPr="00447B13">
        <w:rPr>
          <w:i/>
          <w:sz w:val="24"/>
          <w:szCs w:val="24"/>
        </w:rPr>
        <w:t xml:space="preserve">[see </w:t>
      </w:r>
      <w:r w:rsidR="00B56AF8">
        <w:rPr>
          <w:i/>
          <w:sz w:val="24"/>
          <w:szCs w:val="24"/>
        </w:rPr>
        <w:t>Clinical Pharmacology</w:t>
      </w:r>
      <w:r w:rsidR="00B56AF8" w:rsidRPr="00447B13">
        <w:rPr>
          <w:i/>
          <w:sz w:val="24"/>
          <w:szCs w:val="24"/>
        </w:rPr>
        <w:t xml:space="preserve"> (12.3)]</w:t>
      </w:r>
      <w:r w:rsidR="00B56AF8">
        <w:rPr>
          <w:bCs/>
          <w:sz w:val="24"/>
          <w:szCs w:val="24"/>
        </w:rPr>
        <w:t>.</w:t>
      </w:r>
    </w:p>
    <w:p w:rsidR="001E1D15" w:rsidRDefault="001E1D15" w:rsidP="001E1D15">
      <w:pPr>
        <w:tabs>
          <w:tab w:val="left" w:pos="720"/>
        </w:tabs>
        <w:rPr>
          <w:sz w:val="24"/>
          <w:szCs w:val="24"/>
        </w:rPr>
      </w:pPr>
    </w:p>
    <w:p w:rsidR="00B64133" w:rsidRPr="00C0057E" w:rsidRDefault="00B64133" w:rsidP="00C0057E">
      <w:pPr>
        <w:tabs>
          <w:tab w:val="left" w:pos="540"/>
        </w:tabs>
        <w:rPr>
          <w:b/>
          <w:sz w:val="24"/>
          <w:szCs w:val="24"/>
        </w:rPr>
      </w:pPr>
      <w:r w:rsidRPr="00ED4A1D">
        <w:rPr>
          <w:b/>
          <w:sz w:val="24"/>
          <w:szCs w:val="24"/>
        </w:rPr>
        <w:t>5.</w:t>
      </w:r>
      <w:r>
        <w:rPr>
          <w:b/>
          <w:sz w:val="24"/>
          <w:szCs w:val="24"/>
        </w:rPr>
        <w:t>2</w:t>
      </w:r>
      <w:r>
        <w:rPr>
          <w:b/>
          <w:sz w:val="24"/>
          <w:szCs w:val="24"/>
        </w:rPr>
        <w:tab/>
      </w:r>
      <w:r w:rsidRPr="00ED4A1D">
        <w:rPr>
          <w:b/>
          <w:sz w:val="24"/>
          <w:szCs w:val="24"/>
        </w:rPr>
        <w:t>Central Nervous System Effects</w:t>
      </w:r>
    </w:p>
    <w:p w:rsidR="001E1D15" w:rsidRDefault="001E1D15" w:rsidP="001E1D15">
      <w:pPr>
        <w:keepNext/>
        <w:tabs>
          <w:tab w:val="left" w:pos="360"/>
        </w:tabs>
        <w:rPr>
          <w:sz w:val="24"/>
          <w:szCs w:val="24"/>
        </w:rPr>
      </w:pPr>
    </w:p>
    <w:p w:rsidR="00B64133" w:rsidRDefault="00547EAE" w:rsidP="001E1D15">
      <w:pPr>
        <w:keepNext/>
        <w:tabs>
          <w:tab w:val="left" w:pos="360"/>
        </w:tabs>
        <w:rPr>
          <w:sz w:val="24"/>
          <w:szCs w:val="24"/>
        </w:rPr>
      </w:pPr>
      <w:r>
        <w:rPr>
          <w:sz w:val="24"/>
          <w:szCs w:val="24"/>
        </w:rPr>
        <w:t>A broad spectrum of c</w:t>
      </w:r>
      <w:r w:rsidRPr="00B343E0">
        <w:rPr>
          <w:sz w:val="24"/>
          <w:szCs w:val="24"/>
        </w:rPr>
        <w:t>entral nervous system (CNS) effects</w:t>
      </w:r>
      <w:r>
        <w:rPr>
          <w:sz w:val="24"/>
          <w:szCs w:val="24"/>
        </w:rPr>
        <w:t xml:space="preserve"> </w:t>
      </w:r>
      <w:r w:rsidR="00741AAC">
        <w:rPr>
          <w:sz w:val="24"/>
          <w:szCs w:val="24"/>
        </w:rPr>
        <w:t xml:space="preserve">can </w:t>
      </w:r>
      <w:r>
        <w:rPr>
          <w:sz w:val="24"/>
          <w:szCs w:val="24"/>
        </w:rPr>
        <w:t>occur in patients receiving LORBRENA. These</w:t>
      </w:r>
      <w:r w:rsidRPr="00B343E0">
        <w:rPr>
          <w:sz w:val="24"/>
          <w:szCs w:val="24"/>
        </w:rPr>
        <w:t xml:space="preserve"> include </w:t>
      </w:r>
      <w:r w:rsidR="00B71699">
        <w:rPr>
          <w:sz w:val="24"/>
          <w:szCs w:val="24"/>
        </w:rPr>
        <w:t xml:space="preserve">seizures, hallucinations, and </w:t>
      </w:r>
      <w:r w:rsidRPr="00B343E0">
        <w:rPr>
          <w:sz w:val="24"/>
          <w:szCs w:val="24"/>
        </w:rPr>
        <w:t>changes in cognitive function</w:t>
      </w:r>
      <w:r>
        <w:rPr>
          <w:sz w:val="24"/>
          <w:szCs w:val="24"/>
        </w:rPr>
        <w:t xml:space="preserve">, </w:t>
      </w:r>
      <w:r w:rsidRPr="000F1D98">
        <w:rPr>
          <w:sz w:val="24"/>
          <w:szCs w:val="24"/>
        </w:rPr>
        <w:t>mood</w:t>
      </w:r>
      <w:r w:rsidR="00311123">
        <w:rPr>
          <w:sz w:val="24"/>
          <w:szCs w:val="24"/>
        </w:rPr>
        <w:t xml:space="preserve"> (including suicidal ideation)</w:t>
      </w:r>
      <w:r w:rsidRPr="00400AE6">
        <w:rPr>
          <w:sz w:val="24"/>
          <w:szCs w:val="24"/>
        </w:rPr>
        <w:t>, speech</w:t>
      </w:r>
      <w:r>
        <w:rPr>
          <w:sz w:val="24"/>
          <w:szCs w:val="24"/>
        </w:rPr>
        <w:t xml:space="preserve">, mental status, and sleep. Overall, CNS effects occurred </w:t>
      </w:r>
      <w:r w:rsidRPr="00400AE6">
        <w:rPr>
          <w:sz w:val="24"/>
          <w:szCs w:val="24"/>
        </w:rPr>
        <w:t xml:space="preserve">in </w:t>
      </w:r>
      <w:r w:rsidR="004D299B">
        <w:rPr>
          <w:sz w:val="24"/>
          <w:szCs w:val="24"/>
        </w:rPr>
        <w:t>54</w:t>
      </w:r>
      <w:r w:rsidR="009F044A">
        <w:rPr>
          <w:sz w:val="24"/>
          <w:szCs w:val="24"/>
        </w:rPr>
        <w:t>%</w:t>
      </w:r>
      <w:r>
        <w:rPr>
          <w:sz w:val="24"/>
          <w:szCs w:val="24"/>
        </w:rPr>
        <w:t xml:space="preserve"> of </w:t>
      </w:r>
      <w:r w:rsidRPr="00400AE6">
        <w:rPr>
          <w:sz w:val="24"/>
          <w:szCs w:val="24"/>
        </w:rPr>
        <w:t xml:space="preserve">patients receiving </w:t>
      </w:r>
      <w:r>
        <w:rPr>
          <w:sz w:val="24"/>
          <w:szCs w:val="24"/>
        </w:rPr>
        <w:t>LORBRENA</w:t>
      </w:r>
      <w:r w:rsidRPr="00400AE6">
        <w:rPr>
          <w:sz w:val="24"/>
          <w:szCs w:val="24"/>
        </w:rPr>
        <w:t xml:space="preserve"> </w:t>
      </w:r>
      <w:r w:rsidRPr="00400AE6">
        <w:rPr>
          <w:i/>
          <w:sz w:val="24"/>
          <w:szCs w:val="24"/>
        </w:rPr>
        <w:t>[see Adverse Reactions (6</w:t>
      </w:r>
      <w:r>
        <w:rPr>
          <w:i/>
          <w:sz w:val="24"/>
          <w:szCs w:val="24"/>
        </w:rPr>
        <w:t>.1</w:t>
      </w:r>
      <w:r w:rsidRPr="00400AE6">
        <w:rPr>
          <w:i/>
          <w:sz w:val="24"/>
          <w:szCs w:val="24"/>
        </w:rPr>
        <w:t>)]</w:t>
      </w:r>
      <w:r w:rsidRPr="00400AE6">
        <w:rPr>
          <w:sz w:val="24"/>
          <w:szCs w:val="24"/>
        </w:rPr>
        <w:t xml:space="preserve">. </w:t>
      </w:r>
      <w:r>
        <w:rPr>
          <w:sz w:val="24"/>
          <w:szCs w:val="24"/>
        </w:rPr>
        <w:t xml:space="preserve">Cognitive effects occurred in 29% of </w:t>
      </w:r>
      <w:r w:rsidRPr="009D5660">
        <w:rPr>
          <w:sz w:val="24"/>
          <w:szCs w:val="24"/>
        </w:rPr>
        <w:t>the 332 patients</w:t>
      </w:r>
      <w:r>
        <w:rPr>
          <w:sz w:val="24"/>
          <w:szCs w:val="24"/>
        </w:rPr>
        <w:t xml:space="preserve"> who received LORBRENA at any dose in </w:t>
      </w:r>
      <w:r w:rsidRPr="006D48BF">
        <w:rPr>
          <w:sz w:val="24"/>
          <w:szCs w:val="24"/>
        </w:rPr>
        <w:t>Study</w:t>
      </w:r>
      <w:r w:rsidR="00F424C7">
        <w:rPr>
          <w:sz w:val="24"/>
          <w:szCs w:val="24"/>
        </w:rPr>
        <w:t> </w:t>
      </w:r>
      <w:r w:rsidRPr="006D48BF">
        <w:rPr>
          <w:sz w:val="24"/>
          <w:szCs w:val="24"/>
        </w:rPr>
        <w:t xml:space="preserve">B7461001; </w:t>
      </w:r>
      <w:r>
        <w:rPr>
          <w:sz w:val="24"/>
          <w:szCs w:val="24"/>
        </w:rPr>
        <w:t xml:space="preserve">2.1% of these events were severe (Grade 3 or 4). Mood effects occurred </w:t>
      </w:r>
      <w:r w:rsidRPr="006D48BF">
        <w:rPr>
          <w:sz w:val="24"/>
          <w:szCs w:val="24"/>
        </w:rPr>
        <w:t xml:space="preserve">in </w:t>
      </w:r>
      <w:r w:rsidR="004D299B">
        <w:rPr>
          <w:sz w:val="24"/>
          <w:szCs w:val="24"/>
        </w:rPr>
        <w:t>24</w:t>
      </w:r>
      <w:r w:rsidR="009F044A" w:rsidRPr="00B709AC">
        <w:rPr>
          <w:sz w:val="24"/>
          <w:szCs w:val="24"/>
        </w:rPr>
        <w:t>%</w:t>
      </w:r>
      <w:r w:rsidRPr="006D48BF">
        <w:rPr>
          <w:sz w:val="24"/>
          <w:szCs w:val="24"/>
        </w:rPr>
        <w:t xml:space="preserve"> of</w:t>
      </w:r>
      <w:r>
        <w:rPr>
          <w:sz w:val="24"/>
          <w:szCs w:val="24"/>
        </w:rPr>
        <w:t xml:space="preserve"> patients; 1.8% of these events were severe. Speech effects occurred in </w:t>
      </w:r>
      <w:r w:rsidR="00193BDB">
        <w:rPr>
          <w:sz w:val="24"/>
          <w:szCs w:val="24"/>
        </w:rPr>
        <w:t>14</w:t>
      </w:r>
      <w:r>
        <w:rPr>
          <w:sz w:val="24"/>
          <w:szCs w:val="24"/>
        </w:rPr>
        <w:t xml:space="preserve">% of patients; </w:t>
      </w:r>
      <w:r w:rsidRPr="009D5660">
        <w:rPr>
          <w:sz w:val="24"/>
          <w:szCs w:val="24"/>
        </w:rPr>
        <w:t>0.3%</w:t>
      </w:r>
      <w:r>
        <w:rPr>
          <w:sz w:val="24"/>
          <w:szCs w:val="24"/>
        </w:rPr>
        <w:t xml:space="preserve"> of these events were severe. Hallucinations occurred in 7</w:t>
      </w:r>
      <w:r w:rsidRPr="009D5660">
        <w:rPr>
          <w:sz w:val="24"/>
          <w:szCs w:val="24"/>
        </w:rPr>
        <w:t>%</w:t>
      </w:r>
      <w:r>
        <w:rPr>
          <w:sz w:val="24"/>
          <w:szCs w:val="24"/>
        </w:rPr>
        <w:t xml:space="preserve"> of patients; </w:t>
      </w:r>
      <w:r w:rsidRPr="009D5660">
        <w:rPr>
          <w:sz w:val="24"/>
          <w:szCs w:val="24"/>
        </w:rPr>
        <w:t>0.6%</w:t>
      </w:r>
      <w:r>
        <w:rPr>
          <w:sz w:val="24"/>
          <w:szCs w:val="24"/>
        </w:rPr>
        <w:t xml:space="preserve"> of these events were severe. Mental status changes occurred </w:t>
      </w:r>
      <w:r w:rsidRPr="006D48BF">
        <w:rPr>
          <w:sz w:val="24"/>
          <w:szCs w:val="24"/>
        </w:rPr>
        <w:t xml:space="preserve">in </w:t>
      </w:r>
      <w:r w:rsidRPr="00B709AC">
        <w:rPr>
          <w:sz w:val="24"/>
          <w:szCs w:val="24"/>
        </w:rPr>
        <w:t>2.1%</w:t>
      </w:r>
      <w:r w:rsidRPr="006D48BF">
        <w:rPr>
          <w:sz w:val="24"/>
          <w:szCs w:val="24"/>
        </w:rPr>
        <w:t xml:space="preserve"> of patients; </w:t>
      </w:r>
      <w:r w:rsidRPr="00B709AC">
        <w:rPr>
          <w:sz w:val="24"/>
          <w:szCs w:val="24"/>
        </w:rPr>
        <w:t>1.8%</w:t>
      </w:r>
      <w:r>
        <w:rPr>
          <w:sz w:val="24"/>
          <w:szCs w:val="24"/>
        </w:rPr>
        <w:t xml:space="preserve"> of these events were severe. Seizures occurred in 3% of patients, sometimes in conjunction with other neurologic findings. Sleep effects occurred in </w:t>
      </w:r>
      <w:r w:rsidR="002B311F">
        <w:rPr>
          <w:sz w:val="24"/>
          <w:szCs w:val="24"/>
        </w:rPr>
        <w:t>10</w:t>
      </w:r>
      <w:r>
        <w:rPr>
          <w:sz w:val="24"/>
          <w:szCs w:val="24"/>
        </w:rPr>
        <w:t xml:space="preserve">% of patients. The median time to first onset of any CNS effect was </w:t>
      </w:r>
      <w:r w:rsidR="007545DD">
        <w:rPr>
          <w:sz w:val="24"/>
          <w:szCs w:val="24"/>
        </w:rPr>
        <w:t>1.2</w:t>
      </w:r>
      <w:r>
        <w:rPr>
          <w:sz w:val="24"/>
          <w:szCs w:val="24"/>
        </w:rPr>
        <w:t xml:space="preserve"> months </w:t>
      </w:r>
      <w:r w:rsidRPr="00734279">
        <w:rPr>
          <w:sz w:val="24"/>
          <w:szCs w:val="24"/>
        </w:rPr>
        <w:t>(1</w:t>
      </w:r>
      <w:r>
        <w:rPr>
          <w:sz w:val="24"/>
          <w:szCs w:val="24"/>
        </w:rPr>
        <w:t xml:space="preserve"> day</w:t>
      </w:r>
      <w:r w:rsidRPr="00734279">
        <w:rPr>
          <w:sz w:val="24"/>
          <w:szCs w:val="24"/>
        </w:rPr>
        <w:t xml:space="preserve"> to </w:t>
      </w:r>
      <w:r w:rsidR="007545DD">
        <w:rPr>
          <w:sz w:val="24"/>
          <w:szCs w:val="24"/>
        </w:rPr>
        <w:t>1.7</w:t>
      </w:r>
      <w:r>
        <w:rPr>
          <w:sz w:val="24"/>
          <w:szCs w:val="24"/>
        </w:rPr>
        <w:t xml:space="preserve"> years</w:t>
      </w:r>
      <w:r w:rsidRPr="00734279">
        <w:rPr>
          <w:sz w:val="24"/>
          <w:szCs w:val="24"/>
        </w:rPr>
        <w:t xml:space="preserve">). Overall, 1.5% of patients required permanent discontinuation of LORBRENA for a CNS effect; 9% required temporary discontinuation and </w:t>
      </w:r>
      <w:r>
        <w:rPr>
          <w:sz w:val="24"/>
          <w:szCs w:val="24"/>
        </w:rPr>
        <w:t>8</w:t>
      </w:r>
      <w:r w:rsidRPr="00734279">
        <w:rPr>
          <w:sz w:val="24"/>
          <w:szCs w:val="24"/>
        </w:rPr>
        <w:t>%</w:t>
      </w:r>
      <w:r>
        <w:rPr>
          <w:sz w:val="24"/>
          <w:szCs w:val="24"/>
        </w:rPr>
        <w:t xml:space="preserve"> required dose reduction.</w:t>
      </w:r>
      <w:r w:rsidR="00B64133">
        <w:rPr>
          <w:sz w:val="24"/>
          <w:szCs w:val="24"/>
        </w:rPr>
        <w:t xml:space="preserve"> </w:t>
      </w:r>
    </w:p>
    <w:p w:rsidR="001E1D15" w:rsidRDefault="001E1D15" w:rsidP="001E1D15">
      <w:pPr>
        <w:keepNext/>
        <w:tabs>
          <w:tab w:val="left" w:pos="360"/>
        </w:tabs>
        <w:rPr>
          <w:sz w:val="24"/>
          <w:szCs w:val="24"/>
        </w:rPr>
      </w:pPr>
    </w:p>
    <w:p w:rsidR="00B64133" w:rsidRDefault="004E7E8D" w:rsidP="001E1D15">
      <w:pPr>
        <w:keepNext/>
        <w:tabs>
          <w:tab w:val="left" w:pos="360"/>
        </w:tabs>
        <w:rPr>
          <w:sz w:val="24"/>
          <w:szCs w:val="24"/>
        </w:rPr>
      </w:pPr>
      <w:r>
        <w:rPr>
          <w:sz w:val="24"/>
          <w:szCs w:val="24"/>
        </w:rPr>
        <w:t>Withhold and resume at the same dose or at a reduced dose or p</w:t>
      </w:r>
      <w:r w:rsidRPr="00400AE6">
        <w:rPr>
          <w:sz w:val="24"/>
          <w:szCs w:val="24"/>
        </w:rPr>
        <w:t xml:space="preserve">ermanently discontinue </w:t>
      </w:r>
      <w:r>
        <w:rPr>
          <w:sz w:val="24"/>
          <w:szCs w:val="24"/>
        </w:rPr>
        <w:t>LORBRENA</w:t>
      </w:r>
      <w:r w:rsidR="00B64133" w:rsidRPr="00400AE6">
        <w:rPr>
          <w:sz w:val="24"/>
          <w:szCs w:val="24"/>
        </w:rPr>
        <w:t xml:space="preserve"> </w:t>
      </w:r>
      <w:r w:rsidR="00B64133">
        <w:rPr>
          <w:sz w:val="24"/>
          <w:szCs w:val="24"/>
        </w:rPr>
        <w:t>based on severity</w:t>
      </w:r>
      <w:r w:rsidR="00B64133" w:rsidRPr="00400AE6">
        <w:rPr>
          <w:sz w:val="24"/>
          <w:szCs w:val="24"/>
        </w:rPr>
        <w:t xml:space="preserve"> </w:t>
      </w:r>
      <w:r w:rsidR="00B64133" w:rsidRPr="00400AE6">
        <w:rPr>
          <w:i/>
          <w:sz w:val="24"/>
          <w:szCs w:val="24"/>
        </w:rPr>
        <w:t>[see Dosage and Administration (</w:t>
      </w:r>
      <w:r w:rsidR="00B64133" w:rsidRPr="00B44570">
        <w:rPr>
          <w:i/>
          <w:sz w:val="24"/>
          <w:szCs w:val="24"/>
        </w:rPr>
        <w:t>2.</w:t>
      </w:r>
      <w:r w:rsidR="00B64133">
        <w:rPr>
          <w:i/>
          <w:sz w:val="24"/>
          <w:szCs w:val="24"/>
        </w:rPr>
        <w:t>2</w:t>
      </w:r>
      <w:r w:rsidR="00B64133" w:rsidRPr="00400AE6">
        <w:rPr>
          <w:i/>
          <w:sz w:val="24"/>
          <w:szCs w:val="24"/>
        </w:rPr>
        <w:t>)]</w:t>
      </w:r>
      <w:r w:rsidR="00B64133" w:rsidRPr="00400AE6">
        <w:rPr>
          <w:sz w:val="24"/>
          <w:szCs w:val="24"/>
        </w:rPr>
        <w:t>.</w:t>
      </w:r>
    </w:p>
    <w:p w:rsidR="001E1D15" w:rsidRDefault="001E1D15" w:rsidP="001E1D15">
      <w:pPr>
        <w:keepNext/>
        <w:tabs>
          <w:tab w:val="left" w:pos="360"/>
        </w:tabs>
        <w:rPr>
          <w:sz w:val="24"/>
          <w:szCs w:val="24"/>
        </w:rPr>
      </w:pPr>
    </w:p>
    <w:p w:rsidR="00DD0D9A" w:rsidRPr="00C0057E" w:rsidRDefault="00B56AF8" w:rsidP="00C0057E">
      <w:pPr>
        <w:tabs>
          <w:tab w:val="left" w:pos="540"/>
        </w:tabs>
        <w:rPr>
          <w:b/>
          <w:sz w:val="24"/>
          <w:szCs w:val="24"/>
        </w:rPr>
      </w:pPr>
      <w:r w:rsidRPr="00C0057E">
        <w:rPr>
          <w:b/>
          <w:sz w:val="24"/>
          <w:szCs w:val="24"/>
        </w:rPr>
        <w:t>5.</w:t>
      </w:r>
      <w:r w:rsidR="00041C38" w:rsidRPr="00C0057E">
        <w:rPr>
          <w:b/>
          <w:sz w:val="24"/>
          <w:szCs w:val="24"/>
        </w:rPr>
        <w:t>3</w:t>
      </w:r>
      <w:r w:rsidR="00DF5E8D">
        <w:rPr>
          <w:b/>
          <w:sz w:val="24"/>
          <w:szCs w:val="24"/>
        </w:rPr>
        <w:tab/>
      </w:r>
      <w:r w:rsidR="00ED4A1D" w:rsidRPr="00C0057E">
        <w:rPr>
          <w:b/>
          <w:sz w:val="24"/>
          <w:szCs w:val="24"/>
        </w:rPr>
        <w:t>Hyperlipidemia</w:t>
      </w:r>
    </w:p>
    <w:p w:rsidR="001E1D15" w:rsidRDefault="001E1D15" w:rsidP="001E1D15">
      <w:pPr>
        <w:pStyle w:val="CommentText"/>
        <w:rPr>
          <w:sz w:val="24"/>
          <w:szCs w:val="24"/>
        </w:rPr>
      </w:pPr>
    </w:p>
    <w:p w:rsidR="00F857E5" w:rsidRDefault="007A0ABC" w:rsidP="001E1D15">
      <w:pPr>
        <w:pStyle w:val="CommentText"/>
        <w:rPr>
          <w:sz w:val="24"/>
          <w:szCs w:val="24"/>
        </w:rPr>
      </w:pPr>
      <w:r>
        <w:rPr>
          <w:sz w:val="24"/>
          <w:szCs w:val="24"/>
        </w:rPr>
        <w:t>I</w:t>
      </w:r>
      <w:r w:rsidR="00B343E0" w:rsidRPr="00B343E0">
        <w:rPr>
          <w:sz w:val="24"/>
          <w:szCs w:val="24"/>
        </w:rPr>
        <w:t xml:space="preserve">ncreases in serum cholesterol and triglycerides </w:t>
      </w:r>
      <w:r w:rsidR="001F30B6">
        <w:rPr>
          <w:sz w:val="24"/>
          <w:szCs w:val="24"/>
        </w:rPr>
        <w:t xml:space="preserve">can </w:t>
      </w:r>
      <w:r>
        <w:rPr>
          <w:sz w:val="24"/>
          <w:szCs w:val="24"/>
        </w:rPr>
        <w:t xml:space="preserve">occur in patients </w:t>
      </w:r>
      <w:r w:rsidR="00CD2600">
        <w:rPr>
          <w:sz w:val="24"/>
          <w:szCs w:val="24"/>
        </w:rPr>
        <w:t>rec</w:t>
      </w:r>
      <w:r w:rsidR="00AC0677">
        <w:rPr>
          <w:sz w:val="24"/>
          <w:szCs w:val="24"/>
        </w:rPr>
        <w:t>e</w:t>
      </w:r>
      <w:r w:rsidR="00CD2600">
        <w:rPr>
          <w:sz w:val="24"/>
          <w:szCs w:val="24"/>
        </w:rPr>
        <w:t>iving</w:t>
      </w:r>
      <w:r>
        <w:rPr>
          <w:sz w:val="24"/>
          <w:szCs w:val="24"/>
        </w:rPr>
        <w:t xml:space="preserve"> </w:t>
      </w:r>
      <w:r w:rsidR="001A2032">
        <w:rPr>
          <w:sz w:val="24"/>
          <w:szCs w:val="24"/>
        </w:rPr>
        <w:t>LORBRENA</w:t>
      </w:r>
      <w:r>
        <w:rPr>
          <w:sz w:val="24"/>
          <w:szCs w:val="24"/>
        </w:rPr>
        <w:t xml:space="preserve"> </w:t>
      </w:r>
      <w:r w:rsidR="00B343E0" w:rsidRPr="00B343E0">
        <w:rPr>
          <w:i/>
          <w:sz w:val="24"/>
          <w:szCs w:val="24"/>
        </w:rPr>
        <w:t>[see Adverse Reactions (6</w:t>
      </w:r>
      <w:r w:rsidR="00CE61EC">
        <w:rPr>
          <w:i/>
          <w:sz w:val="24"/>
          <w:szCs w:val="24"/>
        </w:rPr>
        <w:t>.1</w:t>
      </w:r>
      <w:r w:rsidR="00B343E0" w:rsidRPr="00B343E0">
        <w:rPr>
          <w:i/>
          <w:sz w:val="24"/>
          <w:szCs w:val="24"/>
        </w:rPr>
        <w:t>)]</w:t>
      </w:r>
      <w:r w:rsidR="00B343E0" w:rsidRPr="00B343E0">
        <w:rPr>
          <w:sz w:val="24"/>
          <w:szCs w:val="24"/>
        </w:rPr>
        <w:t>.</w:t>
      </w:r>
      <w:r w:rsidR="007C7B67">
        <w:rPr>
          <w:sz w:val="24"/>
          <w:szCs w:val="24"/>
        </w:rPr>
        <w:t xml:space="preserve"> </w:t>
      </w:r>
      <w:r w:rsidR="00CF2F37">
        <w:rPr>
          <w:sz w:val="24"/>
          <w:szCs w:val="24"/>
        </w:rPr>
        <w:t>Grade 3</w:t>
      </w:r>
      <w:r w:rsidR="00C62961">
        <w:rPr>
          <w:sz w:val="24"/>
          <w:szCs w:val="24"/>
        </w:rPr>
        <w:t xml:space="preserve"> or </w:t>
      </w:r>
      <w:r w:rsidR="00CF2F37">
        <w:rPr>
          <w:sz w:val="24"/>
          <w:szCs w:val="24"/>
        </w:rPr>
        <w:t xml:space="preserve">4 elevations in total cholesterol occurred in </w:t>
      </w:r>
      <w:r w:rsidR="00C62961">
        <w:rPr>
          <w:sz w:val="24"/>
          <w:szCs w:val="24"/>
        </w:rPr>
        <w:t>17</w:t>
      </w:r>
      <w:r w:rsidR="00B7517A">
        <w:rPr>
          <w:sz w:val="24"/>
          <w:szCs w:val="24"/>
        </w:rPr>
        <w:t xml:space="preserve">% </w:t>
      </w:r>
      <w:r w:rsidR="00CF2F37">
        <w:rPr>
          <w:sz w:val="24"/>
          <w:szCs w:val="24"/>
        </w:rPr>
        <w:t>and Grade 3</w:t>
      </w:r>
      <w:r w:rsidR="00C62961">
        <w:rPr>
          <w:sz w:val="24"/>
          <w:szCs w:val="24"/>
        </w:rPr>
        <w:t xml:space="preserve"> or </w:t>
      </w:r>
      <w:r w:rsidR="00CF2F37">
        <w:rPr>
          <w:sz w:val="24"/>
          <w:szCs w:val="24"/>
        </w:rPr>
        <w:t xml:space="preserve">4 elevations in triglycerides occurred in 17% </w:t>
      </w:r>
      <w:r w:rsidR="00627C94">
        <w:rPr>
          <w:sz w:val="24"/>
          <w:szCs w:val="24"/>
        </w:rPr>
        <w:t xml:space="preserve">of the 332 patients </w:t>
      </w:r>
      <w:r w:rsidR="00CF2F37">
        <w:rPr>
          <w:sz w:val="24"/>
          <w:szCs w:val="24"/>
        </w:rPr>
        <w:t xml:space="preserve">who received </w:t>
      </w:r>
      <w:r w:rsidR="001A2032">
        <w:rPr>
          <w:sz w:val="24"/>
          <w:szCs w:val="24"/>
        </w:rPr>
        <w:t>LORBRENA</w:t>
      </w:r>
      <w:r w:rsidR="00CF2F37">
        <w:rPr>
          <w:sz w:val="24"/>
          <w:szCs w:val="24"/>
        </w:rPr>
        <w:t xml:space="preserve"> in Study B7461001.</w:t>
      </w:r>
      <w:r w:rsidR="00F857E5">
        <w:rPr>
          <w:sz w:val="24"/>
          <w:szCs w:val="24"/>
        </w:rPr>
        <w:t xml:space="preserve"> The median time to onset </w:t>
      </w:r>
      <w:r w:rsidR="009C7A2B">
        <w:rPr>
          <w:sz w:val="24"/>
          <w:szCs w:val="24"/>
        </w:rPr>
        <w:t xml:space="preserve">was 15 days for both </w:t>
      </w:r>
      <w:r w:rsidR="00F857E5">
        <w:rPr>
          <w:sz w:val="24"/>
          <w:szCs w:val="24"/>
        </w:rPr>
        <w:t>hypercholesterolemia and hypertriglyceridemia</w:t>
      </w:r>
      <w:r w:rsidR="00CF2F37">
        <w:rPr>
          <w:sz w:val="24"/>
          <w:szCs w:val="24"/>
        </w:rPr>
        <w:t>.</w:t>
      </w:r>
      <w:r w:rsidR="00174972">
        <w:rPr>
          <w:sz w:val="24"/>
          <w:szCs w:val="24"/>
        </w:rPr>
        <w:t xml:space="preserve"> </w:t>
      </w:r>
      <w:r w:rsidR="00547EAE">
        <w:rPr>
          <w:sz w:val="24"/>
          <w:szCs w:val="24"/>
        </w:rPr>
        <w:t xml:space="preserve">Approximately 7% of patients required temporary discontinuation and 3% </w:t>
      </w:r>
      <w:r w:rsidR="00F76433">
        <w:rPr>
          <w:sz w:val="24"/>
          <w:szCs w:val="24"/>
        </w:rPr>
        <w:t xml:space="preserve">of patients required </w:t>
      </w:r>
      <w:r w:rsidR="00F40DBA">
        <w:rPr>
          <w:sz w:val="24"/>
          <w:szCs w:val="24"/>
        </w:rPr>
        <w:t xml:space="preserve">dose reduction of </w:t>
      </w:r>
      <w:r w:rsidR="001A2032">
        <w:rPr>
          <w:sz w:val="24"/>
          <w:szCs w:val="24"/>
        </w:rPr>
        <w:t>LORBRENA</w:t>
      </w:r>
      <w:r w:rsidR="00F40DBA">
        <w:rPr>
          <w:sz w:val="24"/>
          <w:szCs w:val="24"/>
        </w:rPr>
        <w:t xml:space="preserve"> for elevations in cholesterol and in triglycerides</w:t>
      </w:r>
      <w:r w:rsidR="00817075">
        <w:rPr>
          <w:sz w:val="24"/>
          <w:szCs w:val="24"/>
        </w:rPr>
        <w:t xml:space="preserve">. </w:t>
      </w:r>
      <w:r>
        <w:rPr>
          <w:sz w:val="24"/>
          <w:szCs w:val="24"/>
        </w:rPr>
        <w:t>Eight</w:t>
      </w:r>
      <w:r w:rsidR="00CD2600">
        <w:rPr>
          <w:sz w:val="24"/>
          <w:szCs w:val="24"/>
        </w:rPr>
        <w:t>y</w:t>
      </w:r>
      <w:r>
        <w:rPr>
          <w:sz w:val="24"/>
          <w:szCs w:val="24"/>
        </w:rPr>
        <w:t xml:space="preserve"> percent of</w:t>
      </w:r>
      <w:r w:rsidR="00743A39">
        <w:rPr>
          <w:sz w:val="24"/>
          <w:szCs w:val="24"/>
        </w:rPr>
        <w:t xml:space="preserve"> patients </w:t>
      </w:r>
      <w:r w:rsidR="00544873">
        <w:rPr>
          <w:sz w:val="24"/>
          <w:szCs w:val="24"/>
        </w:rPr>
        <w:t>required</w:t>
      </w:r>
      <w:r w:rsidR="00743A39">
        <w:rPr>
          <w:sz w:val="24"/>
          <w:szCs w:val="24"/>
        </w:rPr>
        <w:t xml:space="preserve"> </w:t>
      </w:r>
      <w:r w:rsidR="00544873">
        <w:rPr>
          <w:sz w:val="24"/>
          <w:szCs w:val="24"/>
        </w:rPr>
        <w:t xml:space="preserve">initiation of </w:t>
      </w:r>
      <w:r w:rsidR="00EB4B38">
        <w:rPr>
          <w:sz w:val="24"/>
          <w:szCs w:val="24"/>
        </w:rPr>
        <w:t>lipid</w:t>
      </w:r>
      <w:r w:rsidR="00544873">
        <w:rPr>
          <w:sz w:val="24"/>
          <w:szCs w:val="24"/>
        </w:rPr>
        <w:t xml:space="preserve">-lowering </w:t>
      </w:r>
      <w:r w:rsidR="00743A39">
        <w:rPr>
          <w:sz w:val="24"/>
          <w:szCs w:val="24"/>
        </w:rPr>
        <w:t>medication</w:t>
      </w:r>
      <w:r w:rsidR="00544873">
        <w:rPr>
          <w:sz w:val="24"/>
          <w:szCs w:val="24"/>
        </w:rPr>
        <w:t>s</w:t>
      </w:r>
      <w:r w:rsidR="00F857E5">
        <w:rPr>
          <w:sz w:val="24"/>
          <w:szCs w:val="24"/>
        </w:rPr>
        <w:t xml:space="preserve">, with a median time to onset of start of </w:t>
      </w:r>
      <w:r w:rsidR="00A272B5">
        <w:rPr>
          <w:sz w:val="24"/>
          <w:szCs w:val="24"/>
        </w:rPr>
        <w:t xml:space="preserve">such </w:t>
      </w:r>
      <w:r w:rsidR="00F857E5">
        <w:rPr>
          <w:sz w:val="24"/>
          <w:szCs w:val="24"/>
        </w:rPr>
        <w:t>medication</w:t>
      </w:r>
      <w:r w:rsidR="00A272B5">
        <w:rPr>
          <w:sz w:val="24"/>
          <w:szCs w:val="24"/>
        </w:rPr>
        <w:t>s</w:t>
      </w:r>
      <w:r w:rsidR="00F857E5">
        <w:rPr>
          <w:sz w:val="24"/>
          <w:szCs w:val="24"/>
        </w:rPr>
        <w:t xml:space="preserve"> of </w:t>
      </w:r>
      <w:r w:rsidR="00430988">
        <w:rPr>
          <w:sz w:val="24"/>
          <w:szCs w:val="24"/>
        </w:rPr>
        <w:t xml:space="preserve">21 </w:t>
      </w:r>
      <w:r w:rsidR="00F857E5">
        <w:rPr>
          <w:sz w:val="24"/>
          <w:szCs w:val="24"/>
        </w:rPr>
        <w:t>days</w:t>
      </w:r>
      <w:r w:rsidR="00743A39">
        <w:rPr>
          <w:sz w:val="24"/>
          <w:szCs w:val="24"/>
        </w:rPr>
        <w:t>.</w:t>
      </w:r>
    </w:p>
    <w:p w:rsidR="001E1D15" w:rsidRDefault="001E1D15" w:rsidP="001E1D15">
      <w:pPr>
        <w:pStyle w:val="CommentText"/>
        <w:rPr>
          <w:sz w:val="24"/>
          <w:szCs w:val="24"/>
        </w:rPr>
      </w:pPr>
    </w:p>
    <w:p w:rsidR="00AB0F7F" w:rsidRDefault="00B33C22" w:rsidP="001E1D15">
      <w:pPr>
        <w:tabs>
          <w:tab w:val="left" w:pos="360"/>
        </w:tabs>
        <w:rPr>
          <w:sz w:val="24"/>
          <w:szCs w:val="24"/>
        </w:rPr>
      </w:pPr>
      <w:r w:rsidRPr="00B343E0">
        <w:rPr>
          <w:sz w:val="24"/>
          <w:szCs w:val="24"/>
        </w:rPr>
        <w:t>Initia</w:t>
      </w:r>
      <w:r w:rsidR="00544873">
        <w:rPr>
          <w:sz w:val="24"/>
          <w:szCs w:val="24"/>
        </w:rPr>
        <w:t xml:space="preserve">te </w:t>
      </w:r>
      <w:r w:rsidRPr="00B343E0">
        <w:rPr>
          <w:sz w:val="24"/>
          <w:szCs w:val="24"/>
        </w:rPr>
        <w:t xml:space="preserve">or increase the dose of lipid-lowering agents </w:t>
      </w:r>
      <w:r w:rsidR="0091015F">
        <w:rPr>
          <w:sz w:val="24"/>
          <w:szCs w:val="24"/>
        </w:rPr>
        <w:t>in patients with hyperlipidemia</w:t>
      </w:r>
      <w:r w:rsidR="00547EAE">
        <w:rPr>
          <w:sz w:val="24"/>
          <w:szCs w:val="24"/>
        </w:rPr>
        <w:t>.</w:t>
      </w:r>
      <w:r w:rsidR="00547EAE" w:rsidRPr="000C6454">
        <w:rPr>
          <w:sz w:val="24"/>
          <w:szCs w:val="24"/>
        </w:rPr>
        <w:t xml:space="preserve"> </w:t>
      </w:r>
      <w:r w:rsidR="00547EAE" w:rsidRPr="00B343E0">
        <w:rPr>
          <w:sz w:val="24"/>
          <w:szCs w:val="24"/>
        </w:rPr>
        <w:t>M</w:t>
      </w:r>
      <w:r w:rsidR="00547EAE">
        <w:rPr>
          <w:sz w:val="24"/>
          <w:szCs w:val="24"/>
        </w:rPr>
        <w:t>onitor</w:t>
      </w:r>
      <w:r w:rsidR="00547EAE" w:rsidRPr="00B343E0">
        <w:rPr>
          <w:sz w:val="24"/>
          <w:szCs w:val="24"/>
        </w:rPr>
        <w:t xml:space="preserve"> serum cholesterol and triglycerides before</w:t>
      </w:r>
      <w:r w:rsidR="00547EAE">
        <w:rPr>
          <w:sz w:val="24"/>
          <w:szCs w:val="24"/>
        </w:rPr>
        <w:t xml:space="preserve"> initiating LORBRENA, 1 and 2 months after initiating LORBRENA,</w:t>
      </w:r>
      <w:r w:rsidR="00547EAE" w:rsidRPr="00B343E0">
        <w:rPr>
          <w:sz w:val="24"/>
          <w:szCs w:val="24"/>
        </w:rPr>
        <w:t xml:space="preserve"> and </w:t>
      </w:r>
      <w:r w:rsidR="00547EAE">
        <w:rPr>
          <w:sz w:val="24"/>
          <w:szCs w:val="24"/>
        </w:rPr>
        <w:t>periodically thereafter</w:t>
      </w:r>
      <w:r w:rsidR="00547EAE" w:rsidRPr="00B343E0">
        <w:rPr>
          <w:sz w:val="24"/>
          <w:szCs w:val="24"/>
        </w:rPr>
        <w:t>.</w:t>
      </w:r>
      <w:r w:rsidR="00547EAE">
        <w:rPr>
          <w:sz w:val="24"/>
          <w:szCs w:val="24"/>
        </w:rPr>
        <w:t xml:space="preserve"> </w:t>
      </w:r>
      <w:r w:rsidR="004E7E8D">
        <w:rPr>
          <w:sz w:val="24"/>
          <w:szCs w:val="24"/>
        </w:rPr>
        <w:t xml:space="preserve">Withhold and resume at the same dose for the first occurrence; resume at the same or a reduced dose of LORBRENA for recurrence based on severity </w:t>
      </w:r>
      <w:r w:rsidR="004E7E8D" w:rsidRPr="00B343E0">
        <w:rPr>
          <w:i/>
          <w:sz w:val="24"/>
          <w:szCs w:val="24"/>
        </w:rPr>
        <w:t>[see Dosage and Administration</w:t>
      </w:r>
      <w:r w:rsidR="004E7E8D">
        <w:rPr>
          <w:i/>
          <w:sz w:val="24"/>
          <w:szCs w:val="24"/>
        </w:rPr>
        <w:t> </w:t>
      </w:r>
      <w:r w:rsidR="004E7E8D" w:rsidRPr="00B343E0">
        <w:rPr>
          <w:i/>
          <w:sz w:val="24"/>
          <w:szCs w:val="24"/>
        </w:rPr>
        <w:t>(2.2)]</w:t>
      </w:r>
      <w:r w:rsidR="006826C4">
        <w:rPr>
          <w:i/>
          <w:sz w:val="24"/>
          <w:szCs w:val="24"/>
        </w:rPr>
        <w:t>.</w:t>
      </w:r>
      <w:r w:rsidR="00547EAE">
        <w:rPr>
          <w:sz w:val="24"/>
          <w:szCs w:val="24"/>
        </w:rPr>
        <w:t xml:space="preserve"> </w:t>
      </w:r>
      <w:r w:rsidR="007A0ABC" w:rsidRPr="007A0ABC">
        <w:rPr>
          <w:sz w:val="24"/>
          <w:szCs w:val="24"/>
        </w:rPr>
        <w:t xml:space="preserve"> </w:t>
      </w:r>
    </w:p>
    <w:p w:rsidR="001E1D15" w:rsidRDefault="001E1D15" w:rsidP="001E1D15">
      <w:pPr>
        <w:tabs>
          <w:tab w:val="left" w:pos="360"/>
        </w:tabs>
        <w:rPr>
          <w:sz w:val="24"/>
          <w:szCs w:val="24"/>
        </w:rPr>
      </w:pPr>
    </w:p>
    <w:p w:rsidR="00AB0F7F" w:rsidRPr="00C0057E" w:rsidRDefault="000813D3" w:rsidP="00C0057E">
      <w:pPr>
        <w:tabs>
          <w:tab w:val="left" w:pos="540"/>
        </w:tabs>
        <w:rPr>
          <w:b/>
          <w:sz w:val="24"/>
          <w:szCs w:val="24"/>
        </w:rPr>
      </w:pPr>
      <w:r w:rsidRPr="00ED4A1D">
        <w:rPr>
          <w:b/>
          <w:sz w:val="24"/>
          <w:szCs w:val="24"/>
        </w:rPr>
        <w:t>5.</w:t>
      </w:r>
      <w:r>
        <w:rPr>
          <w:b/>
          <w:sz w:val="24"/>
          <w:szCs w:val="24"/>
        </w:rPr>
        <w:t>4</w:t>
      </w:r>
      <w:r w:rsidR="00DF5E8D">
        <w:rPr>
          <w:b/>
          <w:sz w:val="24"/>
          <w:szCs w:val="24"/>
        </w:rPr>
        <w:tab/>
      </w:r>
      <w:r w:rsidRPr="00ED4A1D">
        <w:rPr>
          <w:b/>
          <w:sz w:val="24"/>
          <w:szCs w:val="24"/>
        </w:rPr>
        <w:t>Atri</w:t>
      </w:r>
      <w:r>
        <w:rPr>
          <w:b/>
          <w:sz w:val="24"/>
          <w:szCs w:val="24"/>
        </w:rPr>
        <w:t>ov</w:t>
      </w:r>
      <w:r w:rsidRPr="00ED4A1D">
        <w:rPr>
          <w:b/>
          <w:sz w:val="24"/>
          <w:szCs w:val="24"/>
        </w:rPr>
        <w:t>entricular</w:t>
      </w:r>
      <w:r>
        <w:rPr>
          <w:b/>
          <w:sz w:val="24"/>
          <w:szCs w:val="24"/>
        </w:rPr>
        <w:t xml:space="preserve"> </w:t>
      </w:r>
      <w:r w:rsidRPr="00ED4A1D">
        <w:rPr>
          <w:b/>
          <w:sz w:val="24"/>
          <w:szCs w:val="24"/>
        </w:rPr>
        <w:t>Block</w:t>
      </w:r>
    </w:p>
    <w:p w:rsidR="001E1D15" w:rsidRDefault="001E1D15" w:rsidP="001E1D15">
      <w:pPr>
        <w:tabs>
          <w:tab w:val="left" w:pos="360"/>
        </w:tabs>
        <w:rPr>
          <w:sz w:val="24"/>
          <w:szCs w:val="24"/>
        </w:rPr>
      </w:pPr>
    </w:p>
    <w:p w:rsidR="002B1B86" w:rsidRDefault="00E64F1C" w:rsidP="001E1D15">
      <w:pPr>
        <w:tabs>
          <w:tab w:val="left" w:pos="360"/>
        </w:tabs>
        <w:rPr>
          <w:sz w:val="24"/>
          <w:szCs w:val="24"/>
        </w:rPr>
      </w:pPr>
      <w:r w:rsidRPr="00400AE6">
        <w:rPr>
          <w:sz w:val="24"/>
          <w:szCs w:val="24"/>
        </w:rPr>
        <w:t>PR interval prolongation</w:t>
      </w:r>
      <w:r w:rsidR="0060500B" w:rsidRPr="00400AE6">
        <w:rPr>
          <w:sz w:val="24"/>
          <w:szCs w:val="24"/>
        </w:rPr>
        <w:t xml:space="preserve"> </w:t>
      </w:r>
      <w:r w:rsidR="00557309" w:rsidRPr="00400AE6">
        <w:rPr>
          <w:sz w:val="24"/>
          <w:szCs w:val="24"/>
        </w:rPr>
        <w:t>and</w:t>
      </w:r>
      <w:r w:rsidRPr="00400AE6">
        <w:rPr>
          <w:sz w:val="24"/>
          <w:szCs w:val="24"/>
        </w:rPr>
        <w:t xml:space="preserve"> </w:t>
      </w:r>
      <w:r w:rsidR="001F30B6">
        <w:rPr>
          <w:sz w:val="24"/>
          <w:szCs w:val="24"/>
        </w:rPr>
        <w:t>atrioventricular (</w:t>
      </w:r>
      <w:r w:rsidRPr="00400AE6">
        <w:rPr>
          <w:sz w:val="24"/>
          <w:szCs w:val="24"/>
        </w:rPr>
        <w:t>AV</w:t>
      </w:r>
      <w:r w:rsidR="001F30B6">
        <w:rPr>
          <w:sz w:val="24"/>
          <w:szCs w:val="24"/>
        </w:rPr>
        <w:t>)</w:t>
      </w:r>
      <w:r w:rsidRPr="00400AE6">
        <w:rPr>
          <w:sz w:val="24"/>
          <w:szCs w:val="24"/>
        </w:rPr>
        <w:t xml:space="preserve"> block</w:t>
      </w:r>
      <w:r w:rsidR="00745542" w:rsidRPr="00400AE6">
        <w:rPr>
          <w:sz w:val="24"/>
          <w:szCs w:val="24"/>
        </w:rPr>
        <w:t xml:space="preserve"> </w:t>
      </w:r>
      <w:r w:rsidR="001F30B6">
        <w:rPr>
          <w:sz w:val="24"/>
          <w:szCs w:val="24"/>
        </w:rPr>
        <w:t xml:space="preserve">can </w:t>
      </w:r>
      <w:r w:rsidR="00A80C83">
        <w:rPr>
          <w:sz w:val="24"/>
          <w:szCs w:val="24"/>
        </w:rPr>
        <w:t>occur</w:t>
      </w:r>
      <w:r w:rsidR="000F781E" w:rsidRPr="00400AE6">
        <w:rPr>
          <w:sz w:val="24"/>
          <w:szCs w:val="24"/>
        </w:rPr>
        <w:t xml:space="preserve"> in patients receiving </w:t>
      </w:r>
      <w:r w:rsidR="001A2032">
        <w:rPr>
          <w:sz w:val="24"/>
          <w:szCs w:val="24"/>
        </w:rPr>
        <w:t>LORBRENA</w:t>
      </w:r>
      <w:r w:rsidR="00526567">
        <w:rPr>
          <w:sz w:val="24"/>
          <w:szCs w:val="24"/>
        </w:rPr>
        <w:t xml:space="preserve"> </w:t>
      </w:r>
      <w:r w:rsidR="00526567" w:rsidRPr="0012273B">
        <w:rPr>
          <w:i/>
          <w:sz w:val="24"/>
          <w:szCs w:val="24"/>
        </w:rPr>
        <w:t>[</w:t>
      </w:r>
      <w:r w:rsidR="003E270A">
        <w:rPr>
          <w:i/>
          <w:sz w:val="24"/>
          <w:szCs w:val="24"/>
        </w:rPr>
        <w:t>s</w:t>
      </w:r>
      <w:r w:rsidR="00526567" w:rsidRPr="0012273B">
        <w:rPr>
          <w:i/>
          <w:sz w:val="24"/>
          <w:szCs w:val="24"/>
        </w:rPr>
        <w:t xml:space="preserve">ee Adverse </w:t>
      </w:r>
      <w:r w:rsidR="00526567" w:rsidRPr="0016458D">
        <w:rPr>
          <w:i/>
          <w:sz w:val="24"/>
          <w:szCs w:val="24"/>
        </w:rPr>
        <w:t>Reactions</w:t>
      </w:r>
      <w:r w:rsidR="003E270A" w:rsidRPr="0016458D">
        <w:rPr>
          <w:i/>
          <w:sz w:val="24"/>
          <w:szCs w:val="24"/>
        </w:rPr>
        <w:t> </w:t>
      </w:r>
      <w:r w:rsidR="00526567" w:rsidRPr="0016458D">
        <w:rPr>
          <w:i/>
          <w:sz w:val="24"/>
          <w:szCs w:val="24"/>
        </w:rPr>
        <w:t>(6.1)</w:t>
      </w:r>
      <w:r w:rsidR="003E270A" w:rsidRPr="0016458D">
        <w:rPr>
          <w:i/>
          <w:sz w:val="24"/>
          <w:szCs w:val="24"/>
        </w:rPr>
        <w:t>,</w:t>
      </w:r>
      <w:r w:rsidR="00526567" w:rsidRPr="0016458D">
        <w:rPr>
          <w:i/>
          <w:sz w:val="24"/>
          <w:szCs w:val="24"/>
        </w:rPr>
        <w:t xml:space="preserve"> Clinical Pharmacology (12.2)]</w:t>
      </w:r>
      <w:r w:rsidRPr="0016458D">
        <w:rPr>
          <w:i/>
          <w:sz w:val="24"/>
          <w:szCs w:val="24"/>
        </w:rPr>
        <w:t>.</w:t>
      </w:r>
      <w:r w:rsidRPr="00794C35">
        <w:rPr>
          <w:sz w:val="24"/>
          <w:szCs w:val="24"/>
        </w:rPr>
        <w:t xml:space="preserve"> </w:t>
      </w:r>
      <w:r w:rsidR="00CA7D7A" w:rsidRPr="0016458D">
        <w:rPr>
          <w:sz w:val="24"/>
          <w:szCs w:val="24"/>
        </w:rPr>
        <w:t xml:space="preserve">In </w:t>
      </w:r>
      <w:r w:rsidR="00B51F78" w:rsidRPr="00856339">
        <w:rPr>
          <w:sz w:val="24"/>
          <w:szCs w:val="24"/>
        </w:rPr>
        <w:t>29</w:t>
      </w:r>
      <w:r w:rsidR="0044326E" w:rsidRPr="0016458D">
        <w:rPr>
          <w:sz w:val="24"/>
          <w:szCs w:val="24"/>
        </w:rPr>
        <w:t>5</w:t>
      </w:r>
      <w:r w:rsidR="00FE0F87" w:rsidRPr="0016458D">
        <w:rPr>
          <w:sz w:val="24"/>
          <w:szCs w:val="24"/>
        </w:rPr>
        <w:t xml:space="preserve"> </w:t>
      </w:r>
      <w:r w:rsidR="00B47394" w:rsidRPr="0016458D">
        <w:rPr>
          <w:sz w:val="24"/>
          <w:szCs w:val="24"/>
        </w:rPr>
        <w:t xml:space="preserve">patients who received </w:t>
      </w:r>
      <w:r w:rsidR="001A2032" w:rsidRPr="0016458D">
        <w:rPr>
          <w:sz w:val="24"/>
          <w:szCs w:val="24"/>
        </w:rPr>
        <w:t>LORBRENA</w:t>
      </w:r>
      <w:r w:rsidR="00B47394" w:rsidRPr="0016458D">
        <w:rPr>
          <w:sz w:val="24"/>
          <w:szCs w:val="24"/>
        </w:rPr>
        <w:t xml:space="preserve"> at </w:t>
      </w:r>
      <w:r w:rsidR="005000CF" w:rsidRPr="0016458D">
        <w:rPr>
          <w:sz w:val="24"/>
          <w:szCs w:val="24"/>
        </w:rPr>
        <w:t xml:space="preserve">a dose of 100 mg </w:t>
      </w:r>
      <w:r w:rsidR="00FE0F87" w:rsidRPr="0016458D">
        <w:rPr>
          <w:sz w:val="24"/>
          <w:szCs w:val="24"/>
        </w:rPr>
        <w:t xml:space="preserve">orally once </w:t>
      </w:r>
      <w:r w:rsidR="005000CF" w:rsidRPr="0016458D">
        <w:rPr>
          <w:sz w:val="24"/>
          <w:szCs w:val="24"/>
        </w:rPr>
        <w:t>daily</w:t>
      </w:r>
      <w:r w:rsidR="00B47394" w:rsidRPr="0016458D">
        <w:rPr>
          <w:sz w:val="24"/>
          <w:szCs w:val="24"/>
        </w:rPr>
        <w:t xml:space="preserve"> in </w:t>
      </w:r>
      <w:r w:rsidR="00CA7D7A" w:rsidRPr="0016458D">
        <w:rPr>
          <w:sz w:val="24"/>
          <w:szCs w:val="24"/>
        </w:rPr>
        <w:t>Study B7461001</w:t>
      </w:r>
      <w:r w:rsidR="00FE0F87" w:rsidRPr="0016458D">
        <w:rPr>
          <w:sz w:val="24"/>
          <w:szCs w:val="24"/>
        </w:rPr>
        <w:t xml:space="preserve"> </w:t>
      </w:r>
      <w:r w:rsidR="00876505" w:rsidRPr="0016458D">
        <w:rPr>
          <w:sz w:val="24"/>
          <w:szCs w:val="24"/>
        </w:rPr>
        <w:t xml:space="preserve">and </w:t>
      </w:r>
      <w:r w:rsidR="00FE0F87" w:rsidRPr="0016458D">
        <w:rPr>
          <w:sz w:val="24"/>
          <w:szCs w:val="24"/>
        </w:rPr>
        <w:t>who had a baseline</w:t>
      </w:r>
      <w:r w:rsidR="00FE35F7" w:rsidRPr="0016458D">
        <w:rPr>
          <w:sz w:val="24"/>
          <w:szCs w:val="24"/>
        </w:rPr>
        <w:t xml:space="preserve"> electrocardiography (ECG)</w:t>
      </w:r>
      <w:r w:rsidR="00CA7D7A" w:rsidRPr="0016458D">
        <w:rPr>
          <w:sz w:val="24"/>
          <w:szCs w:val="24"/>
        </w:rPr>
        <w:t xml:space="preserve">, </w:t>
      </w:r>
      <w:r w:rsidR="001B302E" w:rsidRPr="00856339">
        <w:rPr>
          <w:sz w:val="24"/>
          <w:szCs w:val="24"/>
        </w:rPr>
        <w:t>1%</w:t>
      </w:r>
      <w:r w:rsidR="001B302E" w:rsidRPr="0016458D">
        <w:rPr>
          <w:sz w:val="24"/>
          <w:szCs w:val="24"/>
        </w:rPr>
        <w:t xml:space="preserve"> experienced AV</w:t>
      </w:r>
      <w:r w:rsidR="00F424C7">
        <w:rPr>
          <w:sz w:val="24"/>
          <w:szCs w:val="24"/>
        </w:rPr>
        <w:t> </w:t>
      </w:r>
      <w:r w:rsidR="001B302E" w:rsidRPr="0016458D">
        <w:rPr>
          <w:sz w:val="24"/>
          <w:szCs w:val="24"/>
        </w:rPr>
        <w:t>block</w:t>
      </w:r>
      <w:r w:rsidR="001B302E" w:rsidRPr="00856339">
        <w:rPr>
          <w:sz w:val="24"/>
          <w:szCs w:val="24"/>
        </w:rPr>
        <w:t xml:space="preserve"> </w:t>
      </w:r>
      <w:r w:rsidR="001B302E">
        <w:rPr>
          <w:sz w:val="24"/>
          <w:szCs w:val="24"/>
        </w:rPr>
        <w:t>and</w:t>
      </w:r>
      <w:r w:rsidR="00FE46DF" w:rsidRPr="0016458D">
        <w:rPr>
          <w:sz w:val="24"/>
          <w:szCs w:val="24"/>
        </w:rPr>
        <w:t xml:space="preserve"> </w:t>
      </w:r>
      <w:r w:rsidR="000E5CBB">
        <w:rPr>
          <w:sz w:val="24"/>
          <w:szCs w:val="24"/>
        </w:rPr>
        <w:t xml:space="preserve">0.3% </w:t>
      </w:r>
      <w:r w:rsidR="00526567" w:rsidRPr="0016458D">
        <w:rPr>
          <w:sz w:val="24"/>
          <w:szCs w:val="24"/>
        </w:rPr>
        <w:t>experienced Grade 3 AV block and underwent pacemaker placement.</w:t>
      </w:r>
      <w:r w:rsidR="00526567" w:rsidRPr="0016458D" w:rsidDel="00526567">
        <w:rPr>
          <w:sz w:val="24"/>
          <w:szCs w:val="24"/>
        </w:rPr>
        <w:t xml:space="preserve"> </w:t>
      </w:r>
    </w:p>
    <w:p w:rsidR="001E1D15" w:rsidRDefault="001E1D15" w:rsidP="001E1D15">
      <w:pPr>
        <w:tabs>
          <w:tab w:val="left" w:pos="360"/>
        </w:tabs>
        <w:rPr>
          <w:sz w:val="24"/>
          <w:szCs w:val="24"/>
        </w:rPr>
      </w:pPr>
    </w:p>
    <w:p w:rsidR="00DB7CDE" w:rsidRDefault="00865BF0" w:rsidP="001E1D15">
      <w:pPr>
        <w:tabs>
          <w:tab w:val="left" w:pos="360"/>
        </w:tabs>
        <w:rPr>
          <w:sz w:val="24"/>
          <w:szCs w:val="24"/>
        </w:rPr>
      </w:pPr>
      <w:r w:rsidRPr="00400AE6">
        <w:rPr>
          <w:sz w:val="24"/>
          <w:szCs w:val="24"/>
        </w:rPr>
        <w:t>Monitor ECG</w:t>
      </w:r>
      <w:r w:rsidR="00745542" w:rsidRPr="00400AE6">
        <w:rPr>
          <w:sz w:val="24"/>
          <w:szCs w:val="24"/>
        </w:rPr>
        <w:t xml:space="preserve"> </w:t>
      </w:r>
      <w:r w:rsidR="00A80C83">
        <w:rPr>
          <w:sz w:val="24"/>
          <w:szCs w:val="24"/>
        </w:rPr>
        <w:t xml:space="preserve">prior to initiating </w:t>
      </w:r>
      <w:r w:rsidR="001A2032">
        <w:rPr>
          <w:sz w:val="24"/>
          <w:szCs w:val="24"/>
        </w:rPr>
        <w:t>LORBRENA</w:t>
      </w:r>
      <w:r w:rsidR="00A80C83">
        <w:rPr>
          <w:sz w:val="24"/>
          <w:szCs w:val="24"/>
        </w:rPr>
        <w:t xml:space="preserve"> and </w:t>
      </w:r>
      <w:r w:rsidR="003C1B3D">
        <w:rPr>
          <w:sz w:val="24"/>
          <w:szCs w:val="24"/>
        </w:rPr>
        <w:t>periodically</w:t>
      </w:r>
      <w:r w:rsidR="00A80C83">
        <w:rPr>
          <w:sz w:val="24"/>
          <w:szCs w:val="24"/>
        </w:rPr>
        <w:t xml:space="preserve"> thereafter. </w:t>
      </w:r>
      <w:r w:rsidR="004E7E8D">
        <w:rPr>
          <w:sz w:val="24"/>
          <w:szCs w:val="24"/>
        </w:rPr>
        <w:t xml:space="preserve">Withhold and resume at a reduced dose or at the same dose in patients who undergo pacemaker placement. Permanently discontinue for recurrence in patients without a </w:t>
      </w:r>
      <w:r w:rsidR="001F4B2A">
        <w:rPr>
          <w:sz w:val="24"/>
          <w:szCs w:val="24"/>
        </w:rPr>
        <w:t>pacemaker</w:t>
      </w:r>
      <w:r w:rsidR="00526567">
        <w:rPr>
          <w:sz w:val="24"/>
          <w:szCs w:val="24"/>
        </w:rPr>
        <w:t xml:space="preserve"> </w:t>
      </w:r>
      <w:r w:rsidR="00E64F1C" w:rsidRPr="00400AE6">
        <w:rPr>
          <w:i/>
          <w:sz w:val="24"/>
          <w:szCs w:val="24"/>
        </w:rPr>
        <w:t>[see Dosage and Administration (</w:t>
      </w:r>
      <w:r w:rsidR="00E64F1C" w:rsidRPr="00B44570">
        <w:rPr>
          <w:i/>
          <w:sz w:val="24"/>
          <w:szCs w:val="24"/>
        </w:rPr>
        <w:t>2.</w:t>
      </w:r>
      <w:r w:rsidR="003D5CBE">
        <w:rPr>
          <w:i/>
          <w:sz w:val="24"/>
          <w:szCs w:val="24"/>
        </w:rPr>
        <w:t>2</w:t>
      </w:r>
      <w:r w:rsidR="00E64F1C" w:rsidRPr="00400AE6">
        <w:rPr>
          <w:i/>
          <w:sz w:val="24"/>
          <w:szCs w:val="24"/>
        </w:rPr>
        <w:t>)</w:t>
      </w:r>
      <w:r w:rsidR="00046AEB" w:rsidRPr="00400AE6">
        <w:rPr>
          <w:i/>
          <w:sz w:val="24"/>
          <w:szCs w:val="24"/>
        </w:rPr>
        <w:t>]</w:t>
      </w:r>
      <w:r w:rsidR="00ED4A1D" w:rsidRPr="00400AE6">
        <w:rPr>
          <w:sz w:val="24"/>
          <w:szCs w:val="24"/>
        </w:rPr>
        <w:t>.</w:t>
      </w:r>
    </w:p>
    <w:p w:rsidR="001E1D15" w:rsidRDefault="001E1D15" w:rsidP="001E1D15">
      <w:pPr>
        <w:tabs>
          <w:tab w:val="left" w:pos="360"/>
        </w:tabs>
        <w:rPr>
          <w:sz w:val="24"/>
          <w:szCs w:val="24"/>
        </w:rPr>
      </w:pPr>
    </w:p>
    <w:p w:rsidR="000841E7" w:rsidRDefault="000841E7" w:rsidP="00C0057E">
      <w:pPr>
        <w:tabs>
          <w:tab w:val="left" w:pos="540"/>
        </w:tabs>
        <w:rPr>
          <w:b/>
          <w:sz w:val="24"/>
          <w:szCs w:val="24"/>
        </w:rPr>
      </w:pPr>
      <w:r>
        <w:rPr>
          <w:b/>
          <w:sz w:val="24"/>
          <w:szCs w:val="24"/>
        </w:rPr>
        <w:t>5.</w:t>
      </w:r>
      <w:r w:rsidR="00B56AF8">
        <w:rPr>
          <w:b/>
          <w:sz w:val="24"/>
          <w:szCs w:val="24"/>
        </w:rPr>
        <w:t>5</w:t>
      </w:r>
      <w:r w:rsidR="00DF5E8D">
        <w:rPr>
          <w:b/>
          <w:sz w:val="24"/>
          <w:szCs w:val="24"/>
        </w:rPr>
        <w:tab/>
      </w:r>
      <w:r w:rsidR="006D4CB6">
        <w:rPr>
          <w:b/>
          <w:sz w:val="24"/>
          <w:szCs w:val="24"/>
        </w:rPr>
        <w:t>Interstitial Lung Disease/</w:t>
      </w:r>
      <w:r>
        <w:rPr>
          <w:b/>
          <w:sz w:val="24"/>
          <w:szCs w:val="24"/>
        </w:rPr>
        <w:t>Pneumonitis</w:t>
      </w:r>
    </w:p>
    <w:p w:rsidR="001E1D15" w:rsidRDefault="001E1D15" w:rsidP="001E1D15">
      <w:pPr>
        <w:pStyle w:val="CommentText"/>
        <w:rPr>
          <w:sz w:val="24"/>
          <w:szCs w:val="24"/>
        </w:rPr>
      </w:pPr>
    </w:p>
    <w:p w:rsidR="00761384" w:rsidRDefault="00817075" w:rsidP="001E1D15">
      <w:pPr>
        <w:pStyle w:val="CommentText"/>
        <w:rPr>
          <w:sz w:val="24"/>
          <w:szCs w:val="24"/>
        </w:rPr>
      </w:pPr>
      <w:r w:rsidRPr="00817075">
        <w:rPr>
          <w:sz w:val="24"/>
          <w:szCs w:val="24"/>
        </w:rPr>
        <w:t>Severe</w:t>
      </w:r>
      <w:r w:rsidRPr="00954BDF">
        <w:rPr>
          <w:sz w:val="24"/>
          <w:szCs w:val="24"/>
        </w:rPr>
        <w:t xml:space="preserve"> or life-threatening pulmonary adverse reactions consistent with interstitial lung disease (ILD)/pneumonitis </w:t>
      </w:r>
      <w:r w:rsidR="001F30B6">
        <w:rPr>
          <w:sz w:val="24"/>
          <w:szCs w:val="24"/>
        </w:rPr>
        <w:t>can</w:t>
      </w:r>
      <w:r w:rsidR="001F30B6" w:rsidRPr="00954BDF">
        <w:rPr>
          <w:sz w:val="24"/>
          <w:szCs w:val="24"/>
        </w:rPr>
        <w:t xml:space="preserve"> </w:t>
      </w:r>
      <w:r w:rsidRPr="00954BDF">
        <w:rPr>
          <w:sz w:val="24"/>
          <w:szCs w:val="24"/>
        </w:rPr>
        <w:t xml:space="preserve">occur with LORBRENA. </w:t>
      </w:r>
      <w:r w:rsidR="00761384" w:rsidRPr="00817075">
        <w:rPr>
          <w:sz w:val="24"/>
          <w:szCs w:val="24"/>
        </w:rPr>
        <w:t xml:space="preserve">ILD/pneumonitis occurred </w:t>
      </w:r>
      <w:r w:rsidR="00761384" w:rsidRPr="004F5709">
        <w:rPr>
          <w:sz w:val="24"/>
          <w:szCs w:val="24"/>
        </w:rPr>
        <w:t xml:space="preserve">in </w:t>
      </w:r>
      <w:r w:rsidR="00481B7D">
        <w:rPr>
          <w:sz w:val="24"/>
          <w:szCs w:val="24"/>
        </w:rPr>
        <w:t>1.5</w:t>
      </w:r>
      <w:r w:rsidR="00761384" w:rsidRPr="004F5709">
        <w:rPr>
          <w:sz w:val="24"/>
          <w:szCs w:val="24"/>
        </w:rPr>
        <w:t xml:space="preserve">% of patients </w:t>
      </w:r>
      <w:r w:rsidR="00B47394" w:rsidRPr="004F5709">
        <w:rPr>
          <w:sz w:val="24"/>
          <w:szCs w:val="24"/>
        </w:rPr>
        <w:t xml:space="preserve">who received </w:t>
      </w:r>
      <w:r w:rsidR="001A2032" w:rsidRPr="004F5709">
        <w:rPr>
          <w:sz w:val="24"/>
          <w:szCs w:val="24"/>
        </w:rPr>
        <w:lastRenderedPageBreak/>
        <w:t>LORBRENA</w:t>
      </w:r>
      <w:r w:rsidR="00761384" w:rsidRPr="004F5709">
        <w:rPr>
          <w:sz w:val="24"/>
          <w:szCs w:val="24"/>
        </w:rPr>
        <w:t xml:space="preserve"> </w:t>
      </w:r>
      <w:r w:rsidR="00B47394" w:rsidRPr="004F5709">
        <w:rPr>
          <w:sz w:val="24"/>
          <w:szCs w:val="24"/>
        </w:rPr>
        <w:t xml:space="preserve">at any dose </w:t>
      </w:r>
      <w:r w:rsidR="00761384" w:rsidRPr="004F5709">
        <w:rPr>
          <w:sz w:val="24"/>
          <w:szCs w:val="24"/>
        </w:rPr>
        <w:t>in Study B7461001</w:t>
      </w:r>
      <w:r w:rsidR="001F30B6">
        <w:rPr>
          <w:sz w:val="24"/>
          <w:szCs w:val="24"/>
        </w:rPr>
        <w:t>, including</w:t>
      </w:r>
      <w:r w:rsidR="00761384" w:rsidRPr="004F5709">
        <w:rPr>
          <w:sz w:val="24"/>
          <w:szCs w:val="24"/>
        </w:rPr>
        <w:t xml:space="preserve"> </w:t>
      </w:r>
      <w:r w:rsidR="00360660" w:rsidRPr="004F5709">
        <w:rPr>
          <w:sz w:val="24"/>
          <w:szCs w:val="24"/>
        </w:rPr>
        <w:t xml:space="preserve">Grade 3 or 4 ILD/pneumonitis in </w:t>
      </w:r>
      <w:r w:rsidR="00481B7D">
        <w:rPr>
          <w:sz w:val="24"/>
          <w:szCs w:val="24"/>
        </w:rPr>
        <w:t>1.2</w:t>
      </w:r>
      <w:r w:rsidR="00360660" w:rsidRPr="004F5709">
        <w:rPr>
          <w:sz w:val="24"/>
          <w:szCs w:val="24"/>
        </w:rPr>
        <w:t xml:space="preserve">% of patients. One patient (0.3%) discontinued </w:t>
      </w:r>
      <w:r w:rsidR="001A2032" w:rsidRPr="004F5709">
        <w:rPr>
          <w:sz w:val="24"/>
          <w:szCs w:val="24"/>
        </w:rPr>
        <w:t>LORBRENA</w:t>
      </w:r>
      <w:r w:rsidR="00360660" w:rsidRPr="004F5709">
        <w:rPr>
          <w:sz w:val="24"/>
          <w:szCs w:val="24"/>
        </w:rPr>
        <w:t xml:space="preserve"> </w:t>
      </w:r>
      <w:r w:rsidR="00D04B96" w:rsidRPr="004F5709">
        <w:rPr>
          <w:sz w:val="24"/>
          <w:szCs w:val="24"/>
        </w:rPr>
        <w:t>for</w:t>
      </w:r>
      <w:r w:rsidR="00360660" w:rsidRPr="004F5709">
        <w:rPr>
          <w:sz w:val="24"/>
          <w:szCs w:val="24"/>
        </w:rPr>
        <w:t xml:space="preserve"> ILD/pneumonitis.</w:t>
      </w:r>
    </w:p>
    <w:p w:rsidR="00527EB7" w:rsidRDefault="00527EB7" w:rsidP="001E1D15">
      <w:pPr>
        <w:pStyle w:val="CommentText"/>
        <w:rPr>
          <w:sz w:val="24"/>
          <w:szCs w:val="24"/>
        </w:rPr>
      </w:pPr>
    </w:p>
    <w:p w:rsidR="00360660" w:rsidRDefault="00360660" w:rsidP="001E1D15">
      <w:pPr>
        <w:tabs>
          <w:tab w:val="left" w:pos="360"/>
        </w:tabs>
        <w:rPr>
          <w:sz w:val="24"/>
          <w:szCs w:val="24"/>
        </w:rPr>
      </w:pPr>
      <w:r>
        <w:rPr>
          <w:sz w:val="24"/>
          <w:szCs w:val="24"/>
        </w:rPr>
        <w:t xml:space="preserve">Promptly investigate for ILD/pneumonitis in any patient who presents with worsening of respiratory symptoms indicative of ILD/pneumonitis (e.g., dyspnea, cough, and fever). </w:t>
      </w:r>
      <w:r w:rsidR="00592995">
        <w:rPr>
          <w:sz w:val="24"/>
          <w:szCs w:val="24"/>
        </w:rPr>
        <w:t>Immediately withhold LORBRENA in patients with suspected ILD/pneumonitis. P</w:t>
      </w:r>
      <w:r>
        <w:rPr>
          <w:sz w:val="24"/>
          <w:szCs w:val="24"/>
        </w:rPr>
        <w:t xml:space="preserve">ermanently discontinue </w:t>
      </w:r>
      <w:r w:rsidR="001A2032">
        <w:rPr>
          <w:sz w:val="24"/>
          <w:szCs w:val="24"/>
        </w:rPr>
        <w:t>LORBRENA</w:t>
      </w:r>
      <w:r w:rsidR="00592995">
        <w:rPr>
          <w:sz w:val="24"/>
          <w:szCs w:val="24"/>
        </w:rPr>
        <w:t xml:space="preserve"> for treatment-related ILD/pneumonitis of any severity </w:t>
      </w:r>
      <w:r>
        <w:rPr>
          <w:i/>
          <w:sz w:val="24"/>
          <w:szCs w:val="24"/>
        </w:rPr>
        <w:t>[see Dosage and Administration (2.2)]</w:t>
      </w:r>
      <w:r>
        <w:rPr>
          <w:sz w:val="24"/>
          <w:szCs w:val="24"/>
        </w:rPr>
        <w:t>.</w:t>
      </w:r>
    </w:p>
    <w:p w:rsidR="001E1D15" w:rsidRDefault="001E1D15" w:rsidP="001E1D15">
      <w:pPr>
        <w:tabs>
          <w:tab w:val="left" w:pos="360"/>
        </w:tabs>
        <w:rPr>
          <w:b/>
          <w:sz w:val="24"/>
          <w:szCs w:val="24"/>
        </w:rPr>
      </w:pPr>
    </w:p>
    <w:p w:rsidR="00BD72E5" w:rsidRDefault="00BD72E5" w:rsidP="00C0057E">
      <w:pPr>
        <w:tabs>
          <w:tab w:val="left" w:pos="540"/>
        </w:tabs>
        <w:rPr>
          <w:b/>
          <w:sz w:val="24"/>
          <w:szCs w:val="24"/>
        </w:rPr>
      </w:pPr>
      <w:r w:rsidRPr="00447B13">
        <w:rPr>
          <w:b/>
          <w:sz w:val="24"/>
          <w:szCs w:val="24"/>
        </w:rPr>
        <w:t>5.</w:t>
      </w:r>
      <w:r w:rsidR="001D7E55">
        <w:rPr>
          <w:b/>
          <w:sz w:val="24"/>
          <w:szCs w:val="24"/>
        </w:rPr>
        <w:t>6</w:t>
      </w:r>
      <w:r w:rsidR="00FD19F4" w:rsidRPr="00447B13">
        <w:rPr>
          <w:b/>
          <w:sz w:val="24"/>
          <w:szCs w:val="24"/>
        </w:rPr>
        <w:tab/>
      </w:r>
      <w:r w:rsidRPr="00447B13">
        <w:rPr>
          <w:b/>
          <w:sz w:val="24"/>
          <w:szCs w:val="24"/>
        </w:rPr>
        <w:t>Embryo</w:t>
      </w:r>
      <w:r w:rsidR="009F4B22">
        <w:rPr>
          <w:b/>
          <w:sz w:val="24"/>
          <w:szCs w:val="24"/>
        </w:rPr>
        <w:noBreakHyphen/>
      </w:r>
      <w:r w:rsidR="006E6E4A">
        <w:rPr>
          <w:b/>
          <w:sz w:val="24"/>
          <w:szCs w:val="24"/>
        </w:rPr>
        <w:t>F</w:t>
      </w:r>
      <w:r w:rsidRPr="00447B13">
        <w:rPr>
          <w:b/>
          <w:sz w:val="24"/>
          <w:szCs w:val="24"/>
        </w:rPr>
        <w:t>etal Toxicity</w:t>
      </w:r>
    </w:p>
    <w:p w:rsidR="001E1D15" w:rsidRDefault="001E1D15" w:rsidP="001E1D15">
      <w:pPr>
        <w:tabs>
          <w:tab w:val="left" w:pos="360"/>
        </w:tabs>
        <w:rPr>
          <w:sz w:val="24"/>
          <w:szCs w:val="24"/>
        </w:rPr>
      </w:pPr>
    </w:p>
    <w:p w:rsidR="00876505" w:rsidRDefault="00C369B7" w:rsidP="001E1D15">
      <w:pPr>
        <w:tabs>
          <w:tab w:val="left" w:pos="360"/>
        </w:tabs>
        <w:rPr>
          <w:sz w:val="24"/>
          <w:szCs w:val="24"/>
        </w:rPr>
      </w:pPr>
      <w:r w:rsidRPr="00C369B7">
        <w:rPr>
          <w:sz w:val="24"/>
          <w:szCs w:val="24"/>
        </w:rPr>
        <w:t>Based on</w:t>
      </w:r>
      <w:r w:rsidR="00195E01">
        <w:rPr>
          <w:sz w:val="24"/>
          <w:szCs w:val="24"/>
        </w:rPr>
        <w:t xml:space="preserve"> findings from</w:t>
      </w:r>
      <w:r w:rsidRPr="00C369B7">
        <w:rPr>
          <w:sz w:val="24"/>
          <w:szCs w:val="24"/>
        </w:rPr>
        <w:t xml:space="preserve"> </w:t>
      </w:r>
      <w:r w:rsidR="00217A57">
        <w:rPr>
          <w:sz w:val="24"/>
          <w:szCs w:val="24"/>
        </w:rPr>
        <w:t>animal studies</w:t>
      </w:r>
      <w:r w:rsidR="00195E01" w:rsidRPr="00195E01">
        <w:rPr>
          <w:sz w:val="24"/>
          <w:szCs w:val="24"/>
        </w:rPr>
        <w:t xml:space="preserve"> </w:t>
      </w:r>
      <w:r w:rsidR="00195E01">
        <w:rPr>
          <w:sz w:val="24"/>
          <w:szCs w:val="24"/>
        </w:rPr>
        <w:t>and its mechanism of action</w:t>
      </w:r>
      <w:r w:rsidRPr="00C369B7">
        <w:rPr>
          <w:sz w:val="24"/>
          <w:szCs w:val="24"/>
        </w:rPr>
        <w:t xml:space="preserve">, </w:t>
      </w:r>
      <w:r w:rsidR="001A2032">
        <w:rPr>
          <w:sz w:val="24"/>
          <w:szCs w:val="24"/>
        </w:rPr>
        <w:t>LORBRENA</w:t>
      </w:r>
      <w:r w:rsidRPr="00C369B7">
        <w:rPr>
          <w:sz w:val="24"/>
          <w:szCs w:val="24"/>
        </w:rPr>
        <w:t xml:space="preserve"> can cause fetal harm when administered to a pregnant woman. </w:t>
      </w:r>
      <w:r w:rsidR="00873F4D">
        <w:rPr>
          <w:sz w:val="24"/>
          <w:szCs w:val="24"/>
        </w:rPr>
        <w:t>Administration</w:t>
      </w:r>
      <w:r w:rsidR="00195E01">
        <w:rPr>
          <w:sz w:val="24"/>
          <w:szCs w:val="24"/>
        </w:rPr>
        <w:t xml:space="preserve"> of lorlatinib to pregnant rats and rabbits by oral gavage during the period of organogenesis resulted in</w:t>
      </w:r>
      <w:r w:rsidR="00195E01" w:rsidRPr="00CA58EC">
        <w:rPr>
          <w:sz w:val="24"/>
          <w:szCs w:val="24"/>
        </w:rPr>
        <w:t xml:space="preserve"> </w:t>
      </w:r>
      <w:r w:rsidR="00195E01">
        <w:rPr>
          <w:sz w:val="24"/>
          <w:szCs w:val="24"/>
        </w:rPr>
        <w:t>malformations, increased post-implantation loss, and abortion</w:t>
      </w:r>
      <w:r w:rsidR="00412F36">
        <w:rPr>
          <w:sz w:val="24"/>
          <w:szCs w:val="24"/>
        </w:rPr>
        <w:t xml:space="preserve"> at</w:t>
      </w:r>
      <w:r w:rsidR="00195E01">
        <w:rPr>
          <w:sz w:val="24"/>
          <w:szCs w:val="24"/>
        </w:rPr>
        <w:t xml:space="preserve"> </w:t>
      </w:r>
      <w:r w:rsidR="00195E01" w:rsidRPr="00CA58EC">
        <w:rPr>
          <w:sz w:val="24"/>
          <w:szCs w:val="24"/>
        </w:rPr>
        <w:t xml:space="preserve">maternal exposures that were </w:t>
      </w:r>
      <w:r w:rsidR="00195E01">
        <w:rPr>
          <w:sz w:val="24"/>
          <w:szCs w:val="24"/>
        </w:rPr>
        <w:t>equal to or less than</w:t>
      </w:r>
      <w:r w:rsidR="00195E01" w:rsidRPr="00CA58EC">
        <w:rPr>
          <w:sz w:val="24"/>
          <w:szCs w:val="24"/>
        </w:rPr>
        <w:t xml:space="preserve"> the </w:t>
      </w:r>
      <w:r w:rsidR="00195E01">
        <w:rPr>
          <w:sz w:val="24"/>
          <w:szCs w:val="24"/>
        </w:rPr>
        <w:t xml:space="preserve">human </w:t>
      </w:r>
      <w:r w:rsidR="00195E01" w:rsidRPr="00CA58EC">
        <w:rPr>
          <w:sz w:val="24"/>
          <w:szCs w:val="24"/>
        </w:rPr>
        <w:t xml:space="preserve">exposure at the </w:t>
      </w:r>
      <w:r w:rsidR="00112D78">
        <w:rPr>
          <w:sz w:val="24"/>
          <w:szCs w:val="24"/>
        </w:rPr>
        <w:t>recommended</w:t>
      </w:r>
      <w:r w:rsidR="00195E01">
        <w:rPr>
          <w:sz w:val="24"/>
          <w:szCs w:val="24"/>
        </w:rPr>
        <w:t xml:space="preserve"> dose of 100 mg once daily</w:t>
      </w:r>
      <w:r w:rsidR="00195E01" w:rsidRPr="00CA58EC">
        <w:rPr>
          <w:sz w:val="24"/>
          <w:szCs w:val="24"/>
        </w:rPr>
        <w:t xml:space="preserve"> based on </w:t>
      </w:r>
      <w:r w:rsidR="00876505">
        <w:rPr>
          <w:sz w:val="24"/>
          <w:szCs w:val="24"/>
        </w:rPr>
        <w:t>area under the curve (AUC)</w:t>
      </w:r>
      <w:r w:rsidR="0071310E">
        <w:rPr>
          <w:sz w:val="24"/>
          <w:szCs w:val="24"/>
        </w:rPr>
        <w:t xml:space="preserve">. </w:t>
      </w:r>
    </w:p>
    <w:p w:rsidR="001E1D15" w:rsidRDefault="001E1D15" w:rsidP="001E1D15">
      <w:pPr>
        <w:tabs>
          <w:tab w:val="left" w:pos="360"/>
        </w:tabs>
        <w:rPr>
          <w:sz w:val="24"/>
          <w:szCs w:val="24"/>
        </w:rPr>
      </w:pPr>
    </w:p>
    <w:p w:rsidR="00BD72E5" w:rsidRDefault="0071310E" w:rsidP="001E1D15">
      <w:pPr>
        <w:tabs>
          <w:tab w:val="left" w:pos="360"/>
        </w:tabs>
        <w:rPr>
          <w:sz w:val="24"/>
          <w:szCs w:val="24"/>
        </w:rPr>
      </w:pPr>
      <w:r w:rsidRPr="00C369B7">
        <w:rPr>
          <w:sz w:val="24"/>
          <w:szCs w:val="24"/>
        </w:rPr>
        <w:t>Advise pregnant women of the potential risk to a fetus.</w:t>
      </w:r>
      <w:r w:rsidR="007C1AC0">
        <w:rPr>
          <w:sz w:val="24"/>
          <w:szCs w:val="24"/>
        </w:rPr>
        <w:t xml:space="preserve"> </w:t>
      </w:r>
      <w:r w:rsidRPr="00C369B7">
        <w:rPr>
          <w:sz w:val="24"/>
          <w:szCs w:val="24"/>
        </w:rPr>
        <w:t>Advise females of reproductive potential to use</w:t>
      </w:r>
      <w:r w:rsidR="00F77006">
        <w:rPr>
          <w:sz w:val="24"/>
          <w:szCs w:val="24"/>
        </w:rPr>
        <w:t xml:space="preserve"> an</w:t>
      </w:r>
      <w:r w:rsidRPr="00C369B7">
        <w:rPr>
          <w:sz w:val="24"/>
          <w:szCs w:val="24"/>
        </w:rPr>
        <w:t xml:space="preserve"> effective</w:t>
      </w:r>
      <w:r w:rsidR="00F77006">
        <w:rPr>
          <w:sz w:val="24"/>
          <w:szCs w:val="24"/>
        </w:rPr>
        <w:t xml:space="preserve"> </w:t>
      </w:r>
      <w:r w:rsidR="00C763AD">
        <w:rPr>
          <w:sz w:val="24"/>
          <w:szCs w:val="24"/>
        </w:rPr>
        <w:t>non-hormonal method of</w:t>
      </w:r>
      <w:r w:rsidR="00C763AD" w:rsidRPr="00C369B7">
        <w:rPr>
          <w:sz w:val="24"/>
          <w:szCs w:val="24"/>
        </w:rPr>
        <w:t xml:space="preserve"> contraception</w:t>
      </w:r>
      <w:r w:rsidR="00C763AD">
        <w:rPr>
          <w:sz w:val="24"/>
          <w:szCs w:val="24"/>
        </w:rPr>
        <w:t>,</w:t>
      </w:r>
      <w:r w:rsidR="00C763AD" w:rsidRPr="00C369B7">
        <w:rPr>
          <w:sz w:val="24"/>
          <w:szCs w:val="24"/>
        </w:rPr>
        <w:t xml:space="preserve"> </w:t>
      </w:r>
      <w:r w:rsidR="00C763AD">
        <w:rPr>
          <w:sz w:val="24"/>
          <w:szCs w:val="24"/>
        </w:rPr>
        <w:t xml:space="preserve">since LORBRENA can render hormonal contraceptives ineffective, </w:t>
      </w:r>
      <w:r w:rsidRPr="00C369B7">
        <w:rPr>
          <w:sz w:val="24"/>
          <w:szCs w:val="24"/>
        </w:rPr>
        <w:t xml:space="preserve">during treatment with </w:t>
      </w:r>
      <w:r w:rsidR="001A2032">
        <w:rPr>
          <w:sz w:val="24"/>
          <w:szCs w:val="24"/>
        </w:rPr>
        <w:t>LORBRENA</w:t>
      </w:r>
      <w:r w:rsidRPr="00C369B7">
        <w:rPr>
          <w:sz w:val="24"/>
          <w:szCs w:val="24"/>
        </w:rPr>
        <w:t xml:space="preserve"> and for at </w:t>
      </w:r>
      <w:r w:rsidR="00B833F2" w:rsidRPr="00C369B7">
        <w:rPr>
          <w:sz w:val="24"/>
          <w:szCs w:val="24"/>
        </w:rPr>
        <w:t>least</w:t>
      </w:r>
      <w:r w:rsidR="00B833F2">
        <w:rPr>
          <w:sz w:val="24"/>
          <w:szCs w:val="24"/>
        </w:rPr>
        <w:t xml:space="preserve"> </w:t>
      </w:r>
      <w:r w:rsidR="00464B1A">
        <w:rPr>
          <w:sz w:val="24"/>
          <w:szCs w:val="24"/>
        </w:rPr>
        <w:t xml:space="preserve">6 months </w:t>
      </w:r>
      <w:r w:rsidR="00B833F2" w:rsidRPr="00A54BCA">
        <w:rPr>
          <w:sz w:val="24"/>
          <w:szCs w:val="24"/>
        </w:rPr>
        <w:t>after</w:t>
      </w:r>
      <w:r w:rsidR="00481B7D" w:rsidRPr="00A54BCA">
        <w:rPr>
          <w:sz w:val="24"/>
          <w:szCs w:val="24"/>
        </w:rPr>
        <w:t xml:space="preserve"> </w:t>
      </w:r>
      <w:r w:rsidRPr="00C369B7">
        <w:rPr>
          <w:sz w:val="24"/>
          <w:szCs w:val="24"/>
        </w:rPr>
        <w:t>the final dose.</w:t>
      </w:r>
      <w:r w:rsidR="00B753F6" w:rsidRPr="00C369B7" w:rsidDel="00596888">
        <w:rPr>
          <w:sz w:val="24"/>
          <w:szCs w:val="24"/>
        </w:rPr>
        <w:t xml:space="preserve"> </w:t>
      </w:r>
      <w:r w:rsidR="00195E01">
        <w:rPr>
          <w:sz w:val="24"/>
          <w:szCs w:val="24"/>
        </w:rPr>
        <w:t>Advise males with female partners of reproductive potential to use effective contraception</w:t>
      </w:r>
      <w:r w:rsidR="00412F36">
        <w:rPr>
          <w:sz w:val="24"/>
          <w:szCs w:val="24"/>
        </w:rPr>
        <w:t xml:space="preserve"> during treatment with </w:t>
      </w:r>
      <w:r w:rsidR="001A2032">
        <w:rPr>
          <w:sz w:val="24"/>
          <w:szCs w:val="24"/>
        </w:rPr>
        <w:t>LORBRENA</w:t>
      </w:r>
      <w:r w:rsidR="00412F36">
        <w:rPr>
          <w:sz w:val="24"/>
          <w:szCs w:val="24"/>
        </w:rPr>
        <w:t xml:space="preserve"> and</w:t>
      </w:r>
      <w:r w:rsidR="00195E01">
        <w:rPr>
          <w:sz w:val="24"/>
          <w:szCs w:val="24"/>
        </w:rPr>
        <w:t xml:space="preserve"> </w:t>
      </w:r>
      <w:r w:rsidRPr="00C369B7">
        <w:rPr>
          <w:sz w:val="24"/>
          <w:szCs w:val="24"/>
        </w:rPr>
        <w:t xml:space="preserve">for </w:t>
      </w:r>
      <w:r w:rsidR="00195E01">
        <w:rPr>
          <w:sz w:val="24"/>
          <w:szCs w:val="24"/>
        </w:rPr>
        <w:t>3 months</w:t>
      </w:r>
      <w:r w:rsidRPr="00C369B7">
        <w:rPr>
          <w:sz w:val="24"/>
          <w:szCs w:val="24"/>
        </w:rPr>
        <w:t xml:space="preserve"> after the final dose </w:t>
      </w:r>
      <w:r w:rsidRPr="00C369B7">
        <w:rPr>
          <w:i/>
          <w:sz w:val="24"/>
          <w:szCs w:val="24"/>
        </w:rPr>
        <w:t>[see</w:t>
      </w:r>
      <w:r w:rsidR="00F77006">
        <w:rPr>
          <w:i/>
          <w:sz w:val="24"/>
          <w:szCs w:val="24"/>
        </w:rPr>
        <w:t xml:space="preserve"> Drug Interactions (7.2), </w:t>
      </w:r>
      <w:r w:rsidRPr="00C369B7">
        <w:rPr>
          <w:i/>
          <w:sz w:val="24"/>
          <w:szCs w:val="24"/>
        </w:rPr>
        <w:t xml:space="preserve">Use in Specific Populations </w:t>
      </w:r>
      <w:r w:rsidR="00195E01">
        <w:rPr>
          <w:i/>
          <w:sz w:val="24"/>
          <w:szCs w:val="24"/>
        </w:rPr>
        <w:t>(8.1,</w:t>
      </w:r>
      <w:r w:rsidR="00481B7D">
        <w:rPr>
          <w:i/>
          <w:sz w:val="24"/>
          <w:szCs w:val="24"/>
        </w:rPr>
        <w:t xml:space="preserve"> </w:t>
      </w:r>
      <w:r w:rsidRPr="00C369B7">
        <w:rPr>
          <w:i/>
          <w:sz w:val="24"/>
          <w:szCs w:val="24"/>
        </w:rPr>
        <w:t>8.3)</w:t>
      </w:r>
      <w:r w:rsidR="006E6E4A">
        <w:rPr>
          <w:i/>
          <w:sz w:val="24"/>
          <w:szCs w:val="24"/>
        </w:rPr>
        <w:t>,</w:t>
      </w:r>
      <w:r w:rsidRPr="00C369B7">
        <w:rPr>
          <w:i/>
          <w:sz w:val="24"/>
          <w:szCs w:val="24"/>
        </w:rPr>
        <w:t xml:space="preserve"> Nonclinical Toxicology (13.1)]</w:t>
      </w:r>
      <w:r w:rsidRPr="00C369B7">
        <w:rPr>
          <w:sz w:val="24"/>
          <w:szCs w:val="24"/>
        </w:rPr>
        <w:t>.</w:t>
      </w:r>
    </w:p>
    <w:p w:rsidR="001E1D15" w:rsidRPr="00C369B7" w:rsidRDefault="001E1D15" w:rsidP="001E1D15">
      <w:pPr>
        <w:tabs>
          <w:tab w:val="left" w:pos="360"/>
        </w:tabs>
        <w:rPr>
          <w:sz w:val="24"/>
          <w:szCs w:val="24"/>
        </w:rPr>
      </w:pPr>
    </w:p>
    <w:p w:rsidR="00DD0D9A" w:rsidRDefault="002A7E70" w:rsidP="001E1D15">
      <w:pPr>
        <w:pStyle w:val="Heading1"/>
        <w:tabs>
          <w:tab w:val="left" w:pos="720"/>
        </w:tabs>
        <w:jc w:val="left"/>
        <w:rPr>
          <w:sz w:val="24"/>
          <w:szCs w:val="24"/>
        </w:rPr>
      </w:pPr>
      <w:bookmarkStart w:id="7" w:name="_Toc128065013"/>
      <w:r>
        <w:rPr>
          <w:sz w:val="24"/>
          <w:szCs w:val="24"/>
        </w:rPr>
        <w:t>6</w:t>
      </w:r>
      <w:r w:rsidR="00DF5E8D">
        <w:rPr>
          <w:b w:val="0"/>
          <w:sz w:val="24"/>
          <w:szCs w:val="24"/>
        </w:rPr>
        <w:tab/>
      </w:r>
      <w:r w:rsidR="00DD0D9A" w:rsidRPr="00BA102E">
        <w:rPr>
          <w:sz w:val="24"/>
          <w:szCs w:val="24"/>
        </w:rPr>
        <w:t>ADVERSE REACTIONS</w:t>
      </w:r>
      <w:bookmarkEnd w:id="7"/>
    </w:p>
    <w:p w:rsidR="001E1D15" w:rsidRDefault="001E1D15" w:rsidP="001E1D15">
      <w:pPr>
        <w:keepNext/>
        <w:tabs>
          <w:tab w:val="left" w:pos="360"/>
        </w:tabs>
        <w:rPr>
          <w:sz w:val="24"/>
          <w:szCs w:val="24"/>
        </w:rPr>
      </w:pPr>
    </w:p>
    <w:p w:rsidR="00A06349" w:rsidRDefault="00A06349" w:rsidP="001E1D15">
      <w:pPr>
        <w:keepNext/>
        <w:tabs>
          <w:tab w:val="left" w:pos="360"/>
        </w:tabs>
        <w:rPr>
          <w:sz w:val="24"/>
          <w:szCs w:val="24"/>
        </w:rPr>
      </w:pPr>
      <w:r w:rsidRPr="00870EA4">
        <w:rPr>
          <w:sz w:val="24"/>
          <w:szCs w:val="24"/>
        </w:rPr>
        <w:t xml:space="preserve">The following adverse reactions are </w:t>
      </w:r>
      <w:r>
        <w:rPr>
          <w:sz w:val="24"/>
          <w:szCs w:val="24"/>
        </w:rPr>
        <w:t>described elsewhere in</w:t>
      </w:r>
      <w:r w:rsidRPr="00870EA4">
        <w:rPr>
          <w:sz w:val="24"/>
          <w:szCs w:val="24"/>
        </w:rPr>
        <w:t xml:space="preserve"> the labeling:</w:t>
      </w:r>
    </w:p>
    <w:p w:rsidR="001E1D15" w:rsidRPr="00870EA4" w:rsidRDefault="001E1D15" w:rsidP="001E1D15">
      <w:pPr>
        <w:keepNext/>
        <w:tabs>
          <w:tab w:val="left" w:pos="360"/>
        </w:tabs>
        <w:rPr>
          <w:sz w:val="24"/>
          <w:szCs w:val="24"/>
        </w:rPr>
      </w:pPr>
    </w:p>
    <w:p w:rsidR="00A06349" w:rsidRPr="00B61FFD" w:rsidRDefault="00A06349" w:rsidP="001E0DEB">
      <w:pPr>
        <w:keepNext/>
        <w:numPr>
          <w:ilvl w:val="0"/>
          <w:numId w:val="7"/>
        </w:numPr>
        <w:tabs>
          <w:tab w:val="clear" w:pos="720"/>
          <w:tab w:val="num" w:pos="426"/>
        </w:tabs>
        <w:ind w:left="426" w:hanging="426"/>
        <w:rPr>
          <w:sz w:val="24"/>
          <w:szCs w:val="24"/>
        </w:rPr>
      </w:pPr>
      <w:r>
        <w:rPr>
          <w:sz w:val="24"/>
          <w:szCs w:val="24"/>
        </w:rPr>
        <w:t xml:space="preserve">Risk of </w:t>
      </w:r>
      <w:r w:rsidR="00481B7D">
        <w:rPr>
          <w:sz w:val="24"/>
          <w:szCs w:val="24"/>
        </w:rPr>
        <w:t xml:space="preserve">Serious </w:t>
      </w:r>
      <w:r>
        <w:rPr>
          <w:sz w:val="24"/>
          <w:szCs w:val="24"/>
        </w:rPr>
        <w:t xml:space="preserve">Hepatotoxicity with Concomitant Use of Strong CYP3A Inducers </w:t>
      </w:r>
      <w:r w:rsidRPr="00160533">
        <w:rPr>
          <w:i/>
          <w:sz w:val="24"/>
          <w:szCs w:val="24"/>
        </w:rPr>
        <w:t>[see Warnings and Precautions (5.</w:t>
      </w:r>
      <w:r>
        <w:rPr>
          <w:i/>
          <w:sz w:val="24"/>
          <w:szCs w:val="24"/>
        </w:rPr>
        <w:t>1</w:t>
      </w:r>
      <w:r w:rsidRPr="00160533">
        <w:rPr>
          <w:i/>
          <w:sz w:val="24"/>
          <w:szCs w:val="24"/>
        </w:rPr>
        <w:t>)]</w:t>
      </w:r>
      <w:r>
        <w:rPr>
          <w:sz w:val="24"/>
          <w:szCs w:val="24"/>
        </w:rPr>
        <w:t xml:space="preserve"> </w:t>
      </w:r>
    </w:p>
    <w:p w:rsidR="00A06349" w:rsidRPr="005F3BF2" w:rsidRDefault="00A06349" w:rsidP="001E0DEB">
      <w:pPr>
        <w:keepNext/>
        <w:numPr>
          <w:ilvl w:val="0"/>
          <w:numId w:val="7"/>
        </w:numPr>
        <w:tabs>
          <w:tab w:val="clear" w:pos="720"/>
          <w:tab w:val="num" w:pos="426"/>
        </w:tabs>
        <w:ind w:left="426" w:hanging="426"/>
        <w:rPr>
          <w:sz w:val="24"/>
          <w:szCs w:val="24"/>
        </w:rPr>
      </w:pPr>
      <w:r>
        <w:rPr>
          <w:sz w:val="24"/>
          <w:szCs w:val="24"/>
        </w:rPr>
        <w:t>Central Nervous System Effects</w:t>
      </w:r>
      <w:r w:rsidRPr="00870EA4">
        <w:rPr>
          <w:sz w:val="24"/>
          <w:szCs w:val="24"/>
        </w:rPr>
        <w:t xml:space="preserve"> </w:t>
      </w:r>
      <w:r w:rsidRPr="00160533">
        <w:rPr>
          <w:i/>
          <w:sz w:val="24"/>
          <w:szCs w:val="24"/>
        </w:rPr>
        <w:t>[see Warnings and Precautions (5.2)]</w:t>
      </w:r>
    </w:p>
    <w:p w:rsidR="00A06349" w:rsidRPr="009F4B22" w:rsidRDefault="00A06349" w:rsidP="001E0DEB">
      <w:pPr>
        <w:keepNext/>
        <w:numPr>
          <w:ilvl w:val="0"/>
          <w:numId w:val="7"/>
        </w:numPr>
        <w:tabs>
          <w:tab w:val="clear" w:pos="720"/>
          <w:tab w:val="num" w:pos="426"/>
        </w:tabs>
        <w:ind w:left="426" w:hanging="426"/>
        <w:rPr>
          <w:sz w:val="24"/>
          <w:szCs w:val="24"/>
        </w:rPr>
      </w:pPr>
      <w:r>
        <w:rPr>
          <w:sz w:val="24"/>
          <w:szCs w:val="24"/>
        </w:rPr>
        <w:t>Hyperlipidemia</w:t>
      </w:r>
      <w:r w:rsidRPr="00870EA4">
        <w:rPr>
          <w:sz w:val="24"/>
          <w:szCs w:val="24"/>
        </w:rPr>
        <w:t xml:space="preserve"> </w:t>
      </w:r>
      <w:r w:rsidRPr="00160533">
        <w:rPr>
          <w:i/>
          <w:sz w:val="24"/>
          <w:szCs w:val="24"/>
        </w:rPr>
        <w:t>[see Warnings and Precautions (5.</w:t>
      </w:r>
      <w:r>
        <w:rPr>
          <w:i/>
          <w:sz w:val="24"/>
          <w:szCs w:val="24"/>
        </w:rPr>
        <w:t>3</w:t>
      </w:r>
      <w:r w:rsidRPr="00160533">
        <w:rPr>
          <w:i/>
          <w:sz w:val="24"/>
          <w:szCs w:val="24"/>
        </w:rPr>
        <w:t>)]</w:t>
      </w:r>
    </w:p>
    <w:p w:rsidR="00A06349" w:rsidRPr="005F3BF2" w:rsidRDefault="00A06349" w:rsidP="001E0DEB">
      <w:pPr>
        <w:keepNext/>
        <w:numPr>
          <w:ilvl w:val="0"/>
          <w:numId w:val="7"/>
        </w:numPr>
        <w:tabs>
          <w:tab w:val="clear" w:pos="720"/>
          <w:tab w:val="num" w:pos="426"/>
        </w:tabs>
        <w:ind w:left="426" w:hanging="426"/>
        <w:rPr>
          <w:sz w:val="24"/>
          <w:szCs w:val="24"/>
        </w:rPr>
      </w:pPr>
      <w:r>
        <w:rPr>
          <w:sz w:val="24"/>
          <w:szCs w:val="24"/>
        </w:rPr>
        <w:t>Atrioventricular</w:t>
      </w:r>
      <w:r w:rsidR="00240E91">
        <w:rPr>
          <w:sz w:val="24"/>
          <w:szCs w:val="24"/>
        </w:rPr>
        <w:t xml:space="preserve"> </w:t>
      </w:r>
      <w:r>
        <w:rPr>
          <w:sz w:val="24"/>
          <w:szCs w:val="24"/>
        </w:rPr>
        <w:t xml:space="preserve">Block </w:t>
      </w:r>
      <w:r w:rsidRPr="00160533">
        <w:rPr>
          <w:i/>
          <w:sz w:val="24"/>
          <w:szCs w:val="24"/>
        </w:rPr>
        <w:t>[see Warnings and Precautions (5.</w:t>
      </w:r>
      <w:r>
        <w:rPr>
          <w:i/>
          <w:sz w:val="24"/>
          <w:szCs w:val="24"/>
        </w:rPr>
        <w:t>4</w:t>
      </w:r>
      <w:r w:rsidRPr="00160533">
        <w:rPr>
          <w:i/>
          <w:sz w:val="24"/>
          <w:szCs w:val="24"/>
        </w:rPr>
        <w:t>)]</w:t>
      </w:r>
    </w:p>
    <w:p w:rsidR="003720AC" w:rsidRPr="00870EA4" w:rsidRDefault="00A06349" w:rsidP="001E0DEB">
      <w:pPr>
        <w:keepNext/>
        <w:numPr>
          <w:ilvl w:val="0"/>
          <w:numId w:val="7"/>
        </w:numPr>
        <w:tabs>
          <w:tab w:val="clear" w:pos="720"/>
          <w:tab w:val="num" w:pos="426"/>
        </w:tabs>
        <w:ind w:left="426" w:hanging="426"/>
        <w:rPr>
          <w:sz w:val="24"/>
          <w:szCs w:val="24"/>
        </w:rPr>
      </w:pPr>
      <w:r>
        <w:rPr>
          <w:sz w:val="24"/>
          <w:szCs w:val="24"/>
        </w:rPr>
        <w:t xml:space="preserve">Interstitial Lung Disease/Pneumonitis </w:t>
      </w:r>
      <w:r w:rsidRPr="00160533">
        <w:rPr>
          <w:i/>
          <w:sz w:val="24"/>
          <w:szCs w:val="24"/>
        </w:rPr>
        <w:t>[see Warnings and Precautions (5.</w:t>
      </w:r>
      <w:r>
        <w:rPr>
          <w:i/>
          <w:sz w:val="24"/>
          <w:szCs w:val="24"/>
        </w:rPr>
        <w:t>5</w:t>
      </w:r>
      <w:r w:rsidRPr="00160533">
        <w:rPr>
          <w:i/>
          <w:sz w:val="24"/>
          <w:szCs w:val="24"/>
        </w:rPr>
        <w:t>)]</w:t>
      </w:r>
    </w:p>
    <w:p w:rsidR="00870EA4" w:rsidRPr="00870EA4" w:rsidRDefault="00870EA4" w:rsidP="001E1D15">
      <w:pPr>
        <w:tabs>
          <w:tab w:val="left" w:pos="360"/>
        </w:tabs>
        <w:rPr>
          <w:sz w:val="24"/>
          <w:szCs w:val="24"/>
        </w:rPr>
      </w:pPr>
    </w:p>
    <w:p w:rsidR="00DD0D9A" w:rsidRPr="00C0057E" w:rsidRDefault="00DC0632" w:rsidP="00C0057E">
      <w:pPr>
        <w:tabs>
          <w:tab w:val="left" w:pos="540"/>
        </w:tabs>
        <w:rPr>
          <w:b/>
          <w:sz w:val="24"/>
          <w:szCs w:val="24"/>
        </w:rPr>
      </w:pPr>
      <w:r w:rsidRPr="00C0057E">
        <w:rPr>
          <w:b/>
          <w:sz w:val="24"/>
          <w:szCs w:val="24"/>
        </w:rPr>
        <w:t>6.1</w:t>
      </w:r>
      <w:r w:rsidRPr="00C0057E">
        <w:rPr>
          <w:b/>
          <w:sz w:val="24"/>
          <w:szCs w:val="24"/>
        </w:rPr>
        <w:tab/>
      </w:r>
      <w:r w:rsidR="00DB7CDE" w:rsidRPr="00C0057E">
        <w:rPr>
          <w:b/>
          <w:sz w:val="24"/>
          <w:szCs w:val="24"/>
        </w:rPr>
        <w:t xml:space="preserve">Clinical </w:t>
      </w:r>
      <w:r w:rsidR="00F14285" w:rsidRPr="00C0057E">
        <w:rPr>
          <w:b/>
          <w:sz w:val="24"/>
          <w:szCs w:val="24"/>
        </w:rPr>
        <w:t>Trial</w:t>
      </w:r>
      <w:r w:rsidR="00605A6F" w:rsidRPr="00C0057E">
        <w:rPr>
          <w:b/>
          <w:sz w:val="24"/>
          <w:szCs w:val="24"/>
        </w:rPr>
        <w:t>s</w:t>
      </w:r>
      <w:r w:rsidR="00DB7CDE" w:rsidRPr="00C0057E">
        <w:rPr>
          <w:b/>
          <w:sz w:val="24"/>
          <w:szCs w:val="24"/>
        </w:rPr>
        <w:t xml:space="preserve"> Experience</w:t>
      </w:r>
    </w:p>
    <w:p w:rsidR="001E1D15" w:rsidRDefault="001E1D15" w:rsidP="001E1D15">
      <w:pPr>
        <w:keepNext/>
        <w:tabs>
          <w:tab w:val="left" w:pos="360"/>
        </w:tabs>
        <w:rPr>
          <w:sz w:val="24"/>
          <w:szCs w:val="24"/>
        </w:rPr>
      </w:pPr>
    </w:p>
    <w:p w:rsidR="00DD0D9A" w:rsidRDefault="00F14285" w:rsidP="001E1D15">
      <w:pPr>
        <w:keepNext/>
        <w:tabs>
          <w:tab w:val="left" w:pos="360"/>
        </w:tabs>
        <w:rPr>
          <w:sz w:val="24"/>
          <w:szCs w:val="24"/>
        </w:rPr>
      </w:pPr>
      <w:r w:rsidRPr="00F14285">
        <w:rPr>
          <w:sz w:val="24"/>
          <w:szCs w:val="24"/>
        </w:rPr>
        <w:t>Because clinical trials are conducted under widely varying conditions, adverse reaction rates observed in the clinical trials of a drug cannot be directly compared to rates in the clinical trials of another drug and may not reflect the rates observed in practice.</w:t>
      </w:r>
    </w:p>
    <w:p w:rsidR="001E1D15" w:rsidRDefault="001E1D15" w:rsidP="001E1D15">
      <w:pPr>
        <w:rPr>
          <w:sz w:val="24"/>
          <w:szCs w:val="24"/>
        </w:rPr>
      </w:pPr>
    </w:p>
    <w:p w:rsidR="0033222F" w:rsidRDefault="00C40EB3" w:rsidP="001E1D15">
      <w:pPr>
        <w:rPr>
          <w:sz w:val="24"/>
          <w:szCs w:val="24"/>
        </w:rPr>
      </w:pPr>
      <w:r w:rsidRPr="00416465">
        <w:rPr>
          <w:sz w:val="24"/>
          <w:szCs w:val="24"/>
        </w:rPr>
        <w:t xml:space="preserve">The data in Warnings and Precautions </w:t>
      </w:r>
      <w:r>
        <w:rPr>
          <w:sz w:val="24"/>
          <w:szCs w:val="24"/>
        </w:rPr>
        <w:t xml:space="preserve">reflect exposure to </w:t>
      </w:r>
      <w:r w:rsidR="001A2032">
        <w:rPr>
          <w:sz w:val="24"/>
          <w:szCs w:val="24"/>
        </w:rPr>
        <w:t>LORBRENA</w:t>
      </w:r>
      <w:r>
        <w:rPr>
          <w:sz w:val="24"/>
          <w:szCs w:val="24"/>
        </w:rPr>
        <w:t xml:space="preserve"> in </w:t>
      </w:r>
      <w:r w:rsidR="00AB0B97">
        <w:rPr>
          <w:sz w:val="24"/>
          <w:szCs w:val="24"/>
        </w:rPr>
        <w:t>332</w:t>
      </w:r>
      <w:r w:rsidR="00AB0B97">
        <w:rPr>
          <w:color w:val="0000FF"/>
          <w:sz w:val="24"/>
          <w:szCs w:val="24"/>
        </w:rPr>
        <w:t xml:space="preserve"> </w:t>
      </w:r>
      <w:r>
        <w:rPr>
          <w:sz w:val="24"/>
          <w:szCs w:val="24"/>
        </w:rPr>
        <w:t>patients with ALK</w:t>
      </w:r>
      <w:r w:rsidR="004829B1">
        <w:rPr>
          <w:sz w:val="24"/>
          <w:szCs w:val="24"/>
        </w:rPr>
        <w:noBreakHyphen/>
      </w:r>
      <w:r>
        <w:rPr>
          <w:sz w:val="24"/>
          <w:szCs w:val="24"/>
        </w:rPr>
        <w:t xml:space="preserve">positive or </w:t>
      </w:r>
      <w:r w:rsidRPr="009803C3">
        <w:rPr>
          <w:sz w:val="24"/>
          <w:szCs w:val="24"/>
        </w:rPr>
        <w:t>ROS</w:t>
      </w:r>
      <w:r w:rsidR="00943FDA" w:rsidRPr="009803C3">
        <w:rPr>
          <w:sz w:val="24"/>
          <w:szCs w:val="24"/>
        </w:rPr>
        <w:t>1</w:t>
      </w:r>
      <w:r w:rsidR="004829B1" w:rsidRPr="009803C3">
        <w:rPr>
          <w:sz w:val="24"/>
          <w:szCs w:val="24"/>
        </w:rPr>
        <w:noBreakHyphen/>
      </w:r>
      <w:r w:rsidRPr="009803C3">
        <w:rPr>
          <w:sz w:val="24"/>
          <w:szCs w:val="24"/>
        </w:rPr>
        <w:t>positive</w:t>
      </w:r>
      <w:r w:rsidR="0033222F">
        <w:rPr>
          <w:sz w:val="24"/>
          <w:szCs w:val="24"/>
        </w:rPr>
        <w:t>,</w:t>
      </w:r>
      <w:r w:rsidR="003A712B" w:rsidRPr="009803C3">
        <w:rPr>
          <w:sz w:val="24"/>
          <w:szCs w:val="24"/>
        </w:rPr>
        <w:t xml:space="preserve"> </w:t>
      </w:r>
      <w:r w:rsidRPr="009803C3">
        <w:rPr>
          <w:sz w:val="24"/>
          <w:szCs w:val="24"/>
        </w:rPr>
        <w:t xml:space="preserve">metastatic </w:t>
      </w:r>
      <w:r w:rsidR="00FE4063">
        <w:rPr>
          <w:sz w:val="24"/>
          <w:szCs w:val="24"/>
        </w:rPr>
        <w:t>non-small cell lung cancer</w:t>
      </w:r>
      <w:r w:rsidR="007B5211">
        <w:rPr>
          <w:sz w:val="24"/>
          <w:szCs w:val="24"/>
        </w:rPr>
        <w:t xml:space="preserve"> (NSCLC)</w:t>
      </w:r>
      <w:r w:rsidRPr="009803C3">
        <w:rPr>
          <w:sz w:val="24"/>
          <w:szCs w:val="24"/>
        </w:rPr>
        <w:t xml:space="preserve"> </w:t>
      </w:r>
      <w:r w:rsidR="0033222F">
        <w:rPr>
          <w:sz w:val="24"/>
          <w:szCs w:val="24"/>
        </w:rPr>
        <w:t>enrolled in a multi-cohort, multinational, non</w:t>
      </w:r>
      <w:r w:rsidR="0061014B">
        <w:rPr>
          <w:sz w:val="24"/>
          <w:szCs w:val="24"/>
        </w:rPr>
        <w:noBreakHyphen/>
      </w:r>
      <w:r w:rsidR="0033222F">
        <w:rPr>
          <w:sz w:val="24"/>
          <w:szCs w:val="24"/>
        </w:rPr>
        <w:t>comparative, dose-finding</w:t>
      </w:r>
      <w:r w:rsidR="00DE77D3">
        <w:rPr>
          <w:sz w:val="24"/>
          <w:szCs w:val="24"/>
        </w:rPr>
        <w:t>,</w:t>
      </w:r>
      <w:r w:rsidR="0033222F">
        <w:rPr>
          <w:sz w:val="24"/>
          <w:szCs w:val="24"/>
        </w:rPr>
        <w:t xml:space="preserve"> and activity-estimating trial</w:t>
      </w:r>
      <w:r w:rsidR="00873F4D">
        <w:rPr>
          <w:sz w:val="24"/>
          <w:szCs w:val="24"/>
        </w:rPr>
        <w:t xml:space="preserve"> </w:t>
      </w:r>
      <w:r w:rsidR="0033222F">
        <w:rPr>
          <w:sz w:val="24"/>
          <w:szCs w:val="24"/>
        </w:rPr>
        <w:t>(</w:t>
      </w:r>
      <w:r w:rsidRPr="009803C3">
        <w:rPr>
          <w:sz w:val="24"/>
          <w:szCs w:val="24"/>
        </w:rPr>
        <w:t xml:space="preserve">Study </w:t>
      </w:r>
      <w:r w:rsidR="006E6E4A">
        <w:rPr>
          <w:bCs/>
          <w:sz w:val="24"/>
          <w:szCs w:val="24"/>
        </w:rPr>
        <w:t>B</w:t>
      </w:r>
      <w:r w:rsidR="006E6E4A" w:rsidRPr="006E6E4A">
        <w:rPr>
          <w:bCs/>
          <w:sz w:val="24"/>
          <w:szCs w:val="24"/>
        </w:rPr>
        <w:t>7461001</w:t>
      </w:r>
      <w:r w:rsidR="001E3D97">
        <w:rPr>
          <w:bCs/>
          <w:sz w:val="24"/>
          <w:szCs w:val="24"/>
        </w:rPr>
        <w:t>)</w:t>
      </w:r>
      <w:r w:rsidR="0033222F">
        <w:rPr>
          <w:bCs/>
          <w:sz w:val="24"/>
          <w:szCs w:val="24"/>
        </w:rPr>
        <w:t xml:space="preserve"> who received </w:t>
      </w:r>
      <w:r w:rsidR="001A2032">
        <w:rPr>
          <w:bCs/>
          <w:sz w:val="24"/>
          <w:szCs w:val="24"/>
        </w:rPr>
        <w:t>LORBRENA</w:t>
      </w:r>
      <w:r w:rsidR="0033222F">
        <w:rPr>
          <w:bCs/>
          <w:sz w:val="24"/>
          <w:szCs w:val="24"/>
        </w:rPr>
        <w:t xml:space="preserve"> at doses ranging from 10 mg to 200 mg daily in single or divided doses</w:t>
      </w:r>
      <w:r w:rsidRPr="009803C3">
        <w:rPr>
          <w:sz w:val="24"/>
          <w:szCs w:val="24"/>
        </w:rPr>
        <w:t xml:space="preserve">. </w:t>
      </w:r>
    </w:p>
    <w:p w:rsidR="001E1D15" w:rsidRDefault="001E1D15" w:rsidP="001E1D15">
      <w:pPr>
        <w:rPr>
          <w:sz w:val="24"/>
          <w:szCs w:val="24"/>
        </w:rPr>
      </w:pPr>
    </w:p>
    <w:p w:rsidR="00040067" w:rsidRPr="001114C2" w:rsidRDefault="00C40EB3" w:rsidP="001E1D15">
      <w:pPr>
        <w:rPr>
          <w:sz w:val="24"/>
          <w:szCs w:val="24"/>
        </w:rPr>
      </w:pPr>
      <w:r w:rsidRPr="009803C3">
        <w:rPr>
          <w:sz w:val="24"/>
          <w:szCs w:val="24"/>
        </w:rPr>
        <w:t xml:space="preserve">The </w:t>
      </w:r>
      <w:r w:rsidR="00040067" w:rsidRPr="009803C3">
        <w:rPr>
          <w:sz w:val="24"/>
          <w:szCs w:val="24"/>
        </w:rPr>
        <w:t xml:space="preserve">data described </w:t>
      </w:r>
      <w:r w:rsidRPr="009803C3">
        <w:rPr>
          <w:sz w:val="24"/>
          <w:szCs w:val="24"/>
        </w:rPr>
        <w:t xml:space="preserve">below reflect exposure to </w:t>
      </w:r>
      <w:r w:rsidR="001A2032">
        <w:rPr>
          <w:sz w:val="24"/>
          <w:szCs w:val="24"/>
        </w:rPr>
        <w:t>LORBRENA</w:t>
      </w:r>
      <w:r w:rsidRPr="009803C3">
        <w:rPr>
          <w:sz w:val="24"/>
          <w:szCs w:val="24"/>
        </w:rPr>
        <w:t xml:space="preserve"> in </w:t>
      </w:r>
      <w:r w:rsidR="004F74BE" w:rsidRPr="009803C3">
        <w:rPr>
          <w:sz w:val="24"/>
          <w:szCs w:val="24"/>
        </w:rPr>
        <w:t xml:space="preserve">295 </w:t>
      </w:r>
      <w:r w:rsidR="007374EB">
        <w:rPr>
          <w:sz w:val="24"/>
          <w:szCs w:val="24"/>
        </w:rPr>
        <w:t xml:space="preserve">patients with </w:t>
      </w:r>
      <w:r w:rsidRPr="009803C3">
        <w:rPr>
          <w:sz w:val="24"/>
          <w:szCs w:val="24"/>
        </w:rPr>
        <w:t>ALK</w:t>
      </w:r>
      <w:r w:rsidR="004829B1" w:rsidRPr="009803C3">
        <w:rPr>
          <w:sz w:val="24"/>
          <w:szCs w:val="24"/>
        </w:rPr>
        <w:noBreakHyphen/>
      </w:r>
      <w:r w:rsidRPr="009803C3">
        <w:rPr>
          <w:sz w:val="24"/>
          <w:szCs w:val="24"/>
        </w:rPr>
        <w:t>positive or ROS1</w:t>
      </w:r>
      <w:r w:rsidR="004829B1" w:rsidRPr="009803C3">
        <w:rPr>
          <w:sz w:val="24"/>
          <w:szCs w:val="24"/>
        </w:rPr>
        <w:noBreakHyphen/>
      </w:r>
      <w:r w:rsidRPr="009803C3">
        <w:rPr>
          <w:sz w:val="24"/>
          <w:szCs w:val="24"/>
        </w:rPr>
        <w:t>positive</w:t>
      </w:r>
      <w:r>
        <w:rPr>
          <w:sz w:val="24"/>
          <w:szCs w:val="24"/>
        </w:rPr>
        <w:t xml:space="preserve"> metastatic </w:t>
      </w:r>
      <w:r w:rsidRPr="00416465">
        <w:rPr>
          <w:sz w:val="24"/>
          <w:szCs w:val="24"/>
        </w:rPr>
        <w:t xml:space="preserve">NSCLC who received </w:t>
      </w:r>
      <w:r w:rsidR="001A2032">
        <w:rPr>
          <w:sz w:val="24"/>
          <w:szCs w:val="24"/>
        </w:rPr>
        <w:t>LORBRENA</w:t>
      </w:r>
      <w:r w:rsidRPr="00416465">
        <w:rPr>
          <w:sz w:val="24"/>
          <w:szCs w:val="24"/>
        </w:rPr>
        <w:t xml:space="preserve"> 100</w:t>
      </w:r>
      <w:r w:rsidR="00B523E1">
        <w:rPr>
          <w:sz w:val="24"/>
          <w:szCs w:val="24"/>
        </w:rPr>
        <w:t> </w:t>
      </w:r>
      <w:r w:rsidRPr="00416465">
        <w:rPr>
          <w:sz w:val="24"/>
          <w:szCs w:val="24"/>
        </w:rPr>
        <w:t xml:space="preserve">mg orally </w:t>
      </w:r>
      <w:r w:rsidR="001C68F4">
        <w:rPr>
          <w:sz w:val="24"/>
          <w:szCs w:val="24"/>
        </w:rPr>
        <w:t xml:space="preserve">once </w:t>
      </w:r>
      <w:r w:rsidRPr="00416465">
        <w:rPr>
          <w:sz w:val="24"/>
          <w:szCs w:val="24"/>
        </w:rPr>
        <w:t xml:space="preserve">daily </w:t>
      </w:r>
      <w:r w:rsidR="0033222F">
        <w:rPr>
          <w:sz w:val="24"/>
          <w:szCs w:val="24"/>
        </w:rPr>
        <w:t>in</w:t>
      </w:r>
      <w:r w:rsidRPr="00416465">
        <w:rPr>
          <w:sz w:val="24"/>
          <w:szCs w:val="24"/>
        </w:rPr>
        <w:t xml:space="preserve"> Study</w:t>
      </w:r>
      <w:r w:rsidR="00AC0ACA">
        <w:rPr>
          <w:sz w:val="24"/>
          <w:szCs w:val="24"/>
        </w:rPr>
        <w:t xml:space="preserve"> </w:t>
      </w:r>
      <w:r w:rsidR="00BA5143">
        <w:rPr>
          <w:bCs/>
          <w:sz w:val="24"/>
          <w:szCs w:val="24"/>
        </w:rPr>
        <w:t>B</w:t>
      </w:r>
      <w:r w:rsidR="00BA5143" w:rsidRPr="006E6E4A">
        <w:rPr>
          <w:bCs/>
          <w:sz w:val="24"/>
          <w:szCs w:val="24"/>
        </w:rPr>
        <w:t>7461001</w:t>
      </w:r>
      <w:r w:rsidRPr="00416465">
        <w:rPr>
          <w:sz w:val="24"/>
          <w:szCs w:val="24"/>
        </w:rPr>
        <w:t>.</w:t>
      </w:r>
      <w:r w:rsidR="0033222F">
        <w:rPr>
          <w:sz w:val="24"/>
          <w:szCs w:val="24"/>
        </w:rPr>
        <w:t xml:space="preserve"> </w:t>
      </w:r>
      <w:r w:rsidR="00040067" w:rsidRPr="004013CF">
        <w:rPr>
          <w:sz w:val="24"/>
          <w:szCs w:val="24"/>
        </w:rPr>
        <w:t xml:space="preserve">The median duration of </w:t>
      </w:r>
      <w:r w:rsidR="00E12B83">
        <w:rPr>
          <w:sz w:val="24"/>
          <w:szCs w:val="24"/>
        </w:rPr>
        <w:t xml:space="preserve">exposure to </w:t>
      </w:r>
      <w:r w:rsidR="001A2032">
        <w:rPr>
          <w:sz w:val="24"/>
          <w:szCs w:val="24"/>
        </w:rPr>
        <w:t>LORBRENA</w:t>
      </w:r>
      <w:r w:rsidR="00E12B83">
        <w:rPr>
          <w:sz w:val="24"/>
          <w:szCs w:val="24"/>
        </w:rPr>
        <w:t xml:space="preserve"> </w:t>
      </w:r>
      <w:r w:rsidR="00040067" w:rsidRPr="004013CF">
        <w:rPr>
          <w:sz w:val="24"/>
          <w:szCs w:val="24"/>
        </w:rPr>
        <w:t xml:space="preserve">was </w:t>
      </w:r>
      <w:r w:rsidR="00481B7D">
        <w:rPr>
          <w:sz w:val="24"/>
          <w:szCs w:val="24"/>
        </w:rPr>
        <w:t>12.5 </w:t>
      </w:r>
      <w:r w:rsidR="00481B7D" w:rsidRPr="004013CF">
        <w:rPr>
          <w:sz w:val="24"/>
          <w:szCs w:val="24"/>
        </w:rPr>
        <w:t>months</w:t>
      </w:r>
      <w:r w:rsidR="00481B7D">
        <w:rPr>
          <w:sz w:val="24"/>
          <w:szCs w:val="24"/>
        </w:rPr>
        <w:t xml:space="preserve"> (1 day to 35 months) and 52% received LORBRENA for ≥12 months. </w:t>
      </w:r>
      <w:r w:rsidR="00AB0B97">
        <w:rPr>
          <w:sz w:val="24"/>
          <w:szCs w:val="24"/>
        </w:rPr>
        <w:t>Patient characteristics were</w:t>
      </w:r>
      <w:r w:rsidR="00040067" w:rsidRPr="004013CF">
        <w:rPr>
          <w:sz w:val="24"/>
          <w:szCs w:val="24"/>
        </w:rPr>
        <w:t xml:space="preserve"> </w:t>
      </w:r>
      <w:r w:rsidR="00EC0517">
        <w:rPr>
          <w:sz w:val="24"/>
          <w:szCs w:val="24"/>
        </w:rPr>
        <w:t xml:space="preserve">a </w:t>
      </w:r>
      <w:r w:rsidR="00040067" w:rsidRPr="004013CF">
        <w:rPr>
          <w:sz w:val="24"/>
          <w:szCs w:val="24"/>
        </w:rPr>
        <w:t>me</w:t>
      </w:r>
      <w:r w:rsidR="0062145A">
        <w:rPr>
          <w:sz w:val="24"/>
          <w:szCs w:val="24"/>
        </w:rPr>
        <w:t>dian</w:t>
      </w:r>
      <w:r w:rsidR="00040067" w:rsidRPr="004013CF">
        <w:rPr>
          <w:sz w:val="24"/>
          <w:szCs w:val="24"/>
        </w:rPr>
        <w:t xml:space="preserve"> age </w:t>
      </w:r>
      <w:r w:rsidR="00EC0517">
        <w:rPr>
          <w:sz w:val="24"/>
          <w:szCs w:val="24"/>
        </w:rPr>
        <w:t xml:space="preserve">of </w:t>
      </w:r>
      <w:r w:rsidR="00040067" w:rsidRPr="004013CF">
        <w:rPr>
          <w:sz w:val="24"/>
          <w:szCs w:val="24"/>
        </w:rPr>
        <w:t>53</w:t>
      </w:r>
      <w:r w:rsidR="00252152">
        <w:rPr>
          <w:sz w:val="24"/>
          <w:szCs w:val="24"/>
        </w:rPr>
        <w:t> </w:t>
      </w:r>
      <w:r w:rsidR="00040067" w:rsidRPr="004013CF">
        <w:rPr>
          <w:sz w:val="24"/>
          <w:szCs w:val="24"/>
        </w:rPr>
        <w:t>years</w:t>
      </w:r>
      <w:r w:rsidR="00040067">
        <w:rPr>
          <w:sz w:val="24"/>
          <w:szCs w:val="24"/>
        </w:rPr>
        <w:t xml:space="preserve"> (19 to 85</w:t>
      </w:r>
      <w:r w:rsidR="00252152">
        <w:rPr>
          <w:sz w:val="24"/>
          <w:szCs w:val="24"/>
        </w:rPr>
        <w:t> </w:t>
      </w:r>
      <w:r w:rsidR="00040067">
        <w:rPr>
          <w:sz w:val="24"/>
          <w:szCs w:val="24"/>
        </w:rPr>
        <w:t xml:space="preserve">years), </w:t>
      </w:r>
      <w:r w:rsidR="00AB0B97">
        <w:rPr>
          <w:sz w:val="24"/>
          <w:szCs w:val="24"/>
        </w:rPr>
        <w:t xml:space="preserve">age </w:t>
      </w:r>
      <w:r w:rsidR="001C68F4">
        <w:rPr>
          <w:sz w:val="24"/>
          <w:szCs w:val="24"/>
        </w:rPr>
        <w:t>≥</w:t>
      </w:r>
      <w:r w:rsidR="00040067" w:rsidRPr="004013CF">
        <w:rPr>
          <w:sz w:val="24"/>
          <w:szCs w:val="24"/>
        </w:rPr>
        <w:t>65</w:t>
      </w:r>
      <w:r w:rsidR="00252152">
        <w:rPr>
          <w:sz w:val="24"/>
          <w:szCs w:val="24"/>
        </w:rPr>
        <w:t> </w:t>
      </w:r>
      <w:r w:rsidR="00040067" w:rsidRPr="004013CF">
        <w:rPr>
          <w:sz w:val="24"/>
          <w:szCs w:val="24"/>
        </w:rPr>
        <w:t>years</w:t>
      </w:r>
      <w:r w:rsidR="00AB0B97">
        <w:rPr>
          <w:sz w:val="24"/>
          <w:szCs w:val="24"/>
        </w:rPr>
        <w:t xml:space="preserve"> (18%), </w:t>
      </w:r>
      <w:r w:rsidR="00040067" w:rsidRPr="004013CF">
        <w:rPr>
          <w:sz w:val="24"/>
          <w:szCs w:val="24"/>
        </w:rPr>
        <w:t>female</w:t>
      </w:r>
      <w:r w:rsidR="00527EB7">
        <w:rPr>
          <w:sz w:val="24"/>
          <w:szCs w:val="24"/>
        </w:rPr>
        <w:t> </w:t>
      </w:r>
      <w:r w:rsidR="00AB0B97">
        <w:rPr>
          <w:sz w:val="24"/>
          <w:szCs w:val="24"/>
        </w:rPr>
        <w:t>(58%)</w:t>
      </w:r>
      <w:r w:rsidR="00040067">
        <w:rPr>
          <w:sz w:val="24"/>
          <w:szCs w:val="24"/>
        </w:rPr>
        <w:t>,</w:t>
      </w:r>
      <w:r w:rsidR="00040067" w:rsidRPr="004013CF">
        <w:rPr>
          <w:sz w:val="24"/>
          <w:szCs w:val="24"/>
        </w:rPr>
        <w:t xml:space="preserve"> </w:t>
      </w:r>
      <w:r w:rsidR="0083093E">
        <w:rPr>
          <w:sz w:val="24"/>
          <w:szCs w:val="24"/>
        </w:rPr>
        <w:t>W</w:t>
      </w:r>
      <w:r w:rsidR="00040067">
        <w:rPr>
          <w:sz w:val="24"/>
          <w:szCs w:val="24"/>
        </w:rPr>
        <w:t>hite</w:t>
      </w:r>
      <w:r w:rsidR="006C2165">
        <w:rPr>
          <w:sz w:val="24"/>
          <w:szCs w:val="24"/>
        </w:rPr>
        <w:t xml:space="preserve"> (49%)</w:t>
      </w:r>
      <w:r w:rsidR="00040067">
        <w:rPr>
          <w:sz w:val="24"/>
          <w:szCs w:val="24"/>
        </w:rPr>
        <w:t>,</w:t>
      </w:r>
      <w:r w:rsidR="00040067" w:rsidDel="00AB0B97">
        <w:rPr>
          <w:sz w:val="24"/>
          <w:szCs w:val="24"/>
        </w:rPr>
        <w:t xml:space="preserve"> </w:t>
      </w:r>
      <w:r w:rsidR="00040067" w:rsidRPr="004013CF">
        <w:rPr>
          <w:sz w:val="24"/>
          <w:szCs w:val="24"/>
        </w:rPr>
        <w:t>Asian</w:t>
      </w:r>
      <w:r w:rsidR="00AB0B97">
        <w:rPr>
          <w:sz w:val="24"/>
          <w:szCs w:val="24"/>
        </w:rPr>
        <w:t xml:space="preserve"> (37%), and E</w:t>
      </w:r>
      <w:r w:rsidR="00775EAE">
        <w:rPr>
          <w:sz w:val="24"/>
          <w:szCs w:val="24"/>
        </w:rPr>
        <w:t xml:space="preserve">astern </w:t>
      </w:r>
      <w:r w:rsidR="00AB0B97">
        <w:rPr>
          <w:sz w:val="24"/>
          <w:szCs w:val="24"/>
        </w:rPr>
        <w:t>C</w:t>
      </w:r>
      <w:r w:rsidR="00775EAE">
        <w:rPr>
          <w:sz w:val="24"/>
          <w:szCs w:val="24"/>
        </w:rPr>
        <w:t xml:space="preserve">ooperative </w:t>
      </w:r>
      <w:r w:rsidR="00AB0B97">
        <w:rPr>
          <w:sz w:val="24"/>
          <w:szCs w:val="24"/>
        </w:rPr>
        <w:t>O</w:t>
      </w:r>
      <w:r w:rsidR="00775EAE">
        <w:rPr>
          <w:sz w:val="24"/>
          <w:szCs w:val="24"/>
        </w:rPr>
        <w:t xml:space="preserve">ncology </w:t>
      </w:r>
      <w:r w:rsidR="00AB0B97">
        <w:rPr>
          <w:sz w:val="24"/>
          <w:szCs w:val="24"/>
        </w:rPr>
        <w:t>G</w:t>
      </w:r>
      <w:r w:rsidR="00775EAE">
        <w:rPr>
          <w:sz w:val="24"/>
          <w:szCs w:val="24"/>
        </w:rPr>
        <w:t xml:space="preserve">roup (ECOG) performance status </w:t>
      </w:r>
      <w:r w:rsidR="00AB0B97">
        <w:rPr>
          <w:sz w:val="24"/>
          <w:szCs w:val="24"/>
        </w:rPr>
        <w:t>0 or 1 (96%)</w:t>
      </w:r>
      <w:r w:rsidR="00040067" w:rsidRPr="004013CF">
        <w:rPr>
          <w:sz w:val="24"/>
          <w:szCs w:val="24"/>
        </w:rPr>
        <w:t>.</w:t>
      </w:r>
    </w:p>
    <w:p w:rsidR="001E1D15" w:rsidRDefault="001E1D15" w:rsidP="001E1D15">
      <w:pPr>
        <w:rPr>
          <w:sz w:val="24"/>
          <w:szCs w:val="24"/>
        </w:rPr>
      </w:pPr>
    </w:p>
    <w:p w:rsidR="001C68F4" w:rsidRDefault="00DE3426" w:rsidP="001E1D15">
      <w:pPr>
        <w:rPr>
          <w:sz w:val="24"/>
          <w:szCs w:val="24"/>
        </w:rPr>
      </w:pPr>
      <w:r w:rsidRPr="001114C2">
        <w:rPr>
          <w:sz w:val="24"/>
          <w:szCs w:val="24"/>
        </w:rPr>
        <w:t>The most comm</w:t>
      </w:r>
      <w:r>
        <w:rPr>
          <w:sz w:val="24"/>
          <w:szCs w:val="24"/>
        </w:rPr>
        <w:t xml:space="preserve">on (≥20%) </w:t>
      </w:r>
      <w:r w:rsidRPr="001114C2">
        <w:rPr>
          <w:sz w:val="24"/>
          <w:szCs w:val="24"/>
        </w:rPr>
        <w:t>adv</w:t>
      </w:r>
      <w:r>
        <w:rPr>
          <w:sz w:val="24"/>
          <w:szCs w:val="24"/>
        </w:rPr>
        <w:t xml:space="preserve">erse reactions </w:t>
      </w:r>
      <w:r w:rsidRPr="001114C2">
        <w:rPr>
          <w:sz w:val="24"/>
          <w:szCs w:val="24"/>
        </w:rPr>
        <w:t xml:space="preserve">were edema, peripheral neuropathy, </w:t>
      </w:r>
      <w:r w:rsidR="008259C9" w:rsidRPr="001114C2">
        <w:rPr>
          <w:sz w:val="24"/>
          <w:szCs w:val="24"/>
        </w:rPr>
        <w:t>cognitive</w:t>
      </w:r>
      <w:r w:rsidR="008259C9">
        <w:rPr>
          <w:sz w:val="24"/>
          <w:szCs w:val="24"/>
        </w:rPr>
        <w:t xml:space="preserve"> effects</w:t>
      </w:r>
      <w:r w:rsidR="008259C9" w:rsidRPr="001114C2">
        <w:rPr>
          <w:sz w:val="24"/>
          <w:szCs w:val="24"/>
        </w:rPr>
        <w:t xml:space="preserve">, </w:t>
      </w:r>
      <w:r w:rsidR="008259C9">
        <w:rPr>
          <w:sz w:val="24"/>
          <w:szCs w:val="24"/>
        </w:rPr>
        <w:t xml:space="preserve">dyspnea, fatigue, </w:t>
      </w:r>
      <w:r w:rsidR="008259C9" w:rsidRPr="001114C2">
        <w:rPr>
          <w:sz w:val="24"/>
          <w:szCs w:val="24"/>
        </w:rPr>
        <w:t xml:space="preserve">weight </w:t>
      </w:r>
      <w:r w:rsidR="008259C9">
        <w:rPr>
          <w:sz w:val="24"/>
          <w:szCs w:val="24"/>
        </w:rPr>
        <w:t>gain,</w:t>
      </w:r>
      <w:r w:rsidR="00F424C7">
        <w:rPr>
          <w:sz w:val="24"/>
          <w:szCs w:val="24"/>
        </w:rPr>
        <w:t xml:space="preserve"> </w:t>
      </w:r>
      <w:r w:rsidR="008259C9">
        <w:rPr>
          <w:sz w:val="24"/>
          <w:szCs w:val="24"/>
        </w:rPr>
        <w:t xml:space="preserve">arthralgia, </w:t>
      </w:r>
      <w:r w:rsidR="008259C9" w:rsidRPr="001114C2">
        <w:rPr>
          <w:sz w:val="24"/>
          <w:szCs w:val="24"/>
        </w:rPr>
        <w:t xml:space="preserve">mood </w:t>
      </w:r>
      <w:r w:rsidR="008259C9">
        <w:rPr>
          <w:sz w:val="24"/>
          <w:szCs w:val="24"/>
        </w:rPr>
        <w:t>effects</w:t>
      </w:r>
      <w:r w:rsidR="008259C9" w:rsidRPr="001114C2">
        <w:rPr>
          <w:sz w:val="24"/>
          <w:szCs w:val="24"/>
        </w:rPr>
        <w:t xml:space="preserve">, </w:t>
      </w:r>
      <w:r w:rsidR="008259C9">
        <w:rPr>
          <w:sz w:val="24"/>
          <w:szCs w:val="24"/>
        </w:rPr>
        <w:t>and diarrhea</w:t>
      </w:r>
      <w:r>
        <w:rPr>
          <w:sz w:val="24"/>
          <w:szCs w:val="24"/>
        </w:rPr>
        <w:t xml:space="preserve">; the most common (≥20%) laboratory abnormalities were </w:t>
      </w:r>
      <w:r w:rsidRPr="001114C2">
        <w:rPr>
          <w:sz w:val="24"/>
          <w:szCs w:val="24"/>
        </w:rPr>
        <w:t>hypercholest</w:t>
      </w:r>
      <w:r>
        <w:rPr>
          <w:sz w:val="24"/>
          <w:szCs w:val="24"/>
        </w:rPr>
        <w:t>erolemia</w:t>
      </w:r>
      <w:r w:rsidR="002B3093">
        <w:rPr>
          <w:sz w:val="24"/>
          <w:szCs w:val="24"/>
        </w:rPr>
        <w:t>,</w:t>
      </w:r>
      <w:r>
        <w:rPr>
          <w:sz w:val="24"/>
          <w:szCs w:val="24"/>
        </w:rPr>
        <w:t xml:space="preserve"> hypertriglyceridemia</w:t>
      </w:r>
      <w:r w:rsidR="002B3093">
        <w:rPr>
          <w:sz w:val="24"/>
          <w:szCs w:val="24"/>
        </w:rPr>
        <w:t>, anemia, hyperglycemia, increased AST, hypoalbuminemia, increased ALT, increased lipase, and increased alkaline phosphatase</w:t>
      </w:r>
      <w:r>
        <w:rPr>
          <w:sz w:val="24"/>
          <w:szCs w:val="24"/>
        </w:rPr>
        <w:t xml:space="preserve">. </w:t>
      </w:r>
    </w:p>
    <w:p w:rsidR="001E1D15" w:rsidRDefault="001E1D15" w:rsidP="001E1D15">
      <w:pPr>
        <w:rPr>
          <w:sz w:val="24"/>
          <w:szCs w:val="24"/>
        </w:rPr>
      </w:pPr>
    </w:p>
    <w:p w:rsidR="001C68F4" w:rsidRDefault="00EF004B" w:rsidP="001E1D15">
      <w:pPr>
        <w:rPr>
          <w:sz w:val="24"/>
          <w:szCs w:val="24"/>
        </w:rPr>
      </w:pPr>
      <w:r>
        <w:rPr>
          <w:sz w:val="24"/>
          <w:szCs w:val="24"/>
        </w:rPr>
        <w:t xml:space="preserve">Serious </w:t>
      </w:r>
      <w:r w:rsidR="008259C9">
        <w:rPr>
          <w:sz w:val="24"/>
          <w:szCs w:val="24"/>
        </w:rPr>
        <w:t xml:space="preserve">adverse reactions occurred in </w:t>
      </w:r>
      <w:r w:rsidR="00311123">
        <w:rPr>
          <w:sz w:val="24"/>
          <w:szCs w:val="24"/>
        </w:rPr>
        <w:t>32</w:t>
      </w:r>
      <w:r w:rsidR="008259C9">
        <w:rPr>
          <w:sz w:val="24"/>
          <w:szCs w:val="24"/>
        </w:rPr>
        <w:t>% of the 295 patients; the most frequently reported serious adverse reactions were pneumonia (</w:t>
      </w:r>
      <w:r w:rsidR="00311123">
        <w:rPr>
          <w:sz w:val="24"/>
          <w:szCs w:val="24"/>
        </w:rPr>
        <w:t>3.4</w:t>
      </w:r>
      <w:r w:rsidR="008259C9">
        <w:rPr>
          <w:sz w:val="24"/>
          <w:szCs w:val="24"/>
        </w:rPr>
        <w:t xml:space="preserve">%), dyspnea (2.7%), pyrexia (2%), mental status changes (1.4%), and respiratory failure (1.4%). Fatal adverse reactions occurred in </w:t>
      </w:r>
      <w:r w:rsidR="0006159E">
        <w:rPr>
          <w:sz w:val="24"/>
          <w:szCs w:val="24"/>
        </w:rPr>
        <w:t>2.7</w:t>
      </w:r>
      <w:r w:rsidR="008259C9">
        <w:rPr>
          <w:sz w:val="24"/>
          <w:szCs w:val="24"/>
        </w:rPr>
        <w:t>% of patients and included pneumonia (0.7%), myocardial infarction (0.7%), acute pulmonary edema (0.3%), embolism (0.3%), peripheral artery occlusion (0.3%), and respiratory distress (0.3%)</w:t>
      </w:r>
      <w:r w:rsidR="007B413F">
        <w:rPr>
          <w:sz w:val="24"/>
          <w:szCs w:val="24"/>
        </w:rPr>
        <w:t xml:space="preserve">. </w:t>
      </w:r>
      <w:r w:rsidR="008259C9">
        <w:rPr>
          <w:sz w:val="24"/>
          <w:szCs w:val="24"/>
        </w:rPr>
        <w:t>Permanent discontinuation of LORBRENA for adverse reactions occurred in 8% of patients.</w:t>
      </w:r>
      <w:r w:rsidR="00D0191A">
        <w:rPr>
          <w:sz w:val="24"/>
          <w:szCs w:val="24"/>
        </w:rPr>
        <w:t xml:space="preserve"> </w:t>
      </w:r>
    </w:p>
    <w:p w:rsidR="001E1D15" w:rsidRDefault="001E1D15" w:rsidP="001E1D15">
      <w:pPr>
        <w:rPr>
          <w:sz w:val="24"/>
          <w:szCs w:val="24"/>
        </w:rPr>
      </w:pPr>
    </w:p>
    <w:p w:rsidR="00C30C28" w:rsidRDefault="008259C9" w:rsidP="001E1D15">
      <w:pPr>
        <w:rPr>
          <w:sz w:val="24"/>
          <w:szCs w:val="24"/>
        </w:rPr>
      </w:pPr>
      <w:r>
        <w:rPr>
          <w:sz w:val="24"/>
          <w:szCs w:val="24"/>
        </w:rPr>
        <w:t xml:space="preserve">The most frequent adverse reactions that led to permanent discontinuation were respiratory failure (1.4%), dyspnea (0.7%), myocardial infarction (0.7%), cognitive effects (0.7%) and mood effects (0.7%). Approximately </w:t>
      </w:r>
      <w:r w:rsidRPr="00304A33">
        <w:rPr>
          <w:sz w:val="24"/>
          <w:szCs w:val="24"/>
        </w:rPr>
        <w:t>4</w:t>
      </w:r>
      <w:r>
        <w:rPr>
          <w:sz w:val="24"/>
          <w:szCs w:val="24"/>
        </w:rPr>
        <w:t>8</w:t>
      </w:r>
      <w:r w:rsidRPr="00304A33">
        <w:rPr>
          <w:sz w:val="24"/>
          <w:szCs w:val="24"/>
        </w:rPr>
        <w:t>% of patients required dose interruption. The most frequent adverse reactions that led to dose interruptions were edema (</w:t>
      </w:r>
      <w:r w:rsidR="00BE07AA">
        <w:rPr>
          <w:sz w:val="24"/>
          <w:szCs w:val="24"/>
        </w:rPr>
        <w:t>7</w:t>
      </w:r>
      <w:r w:rsidRPr="00304A33">
        <w:rPr>
          <w:sz w:val="24"/>
          <w:szCs w:val="24"/>
        </w:rPr>
        <w:t>%), hypertriglyceridemia (</w:t>
      </w:r>
      <w:r w:rsidR="00BE07AA">
        <w:rPr>
          <w:sz w:val="24"/>
          <w:szCs w:val="24"/>
        </w:rPr>
        <w:t>6</w:t>
      </w:r>
      <w:r w:rsidRPr="00304A33">
        <w:rPr>
          <w:sz w:val="24"/>
          <w:szCs w:val="24"/>
        </w:rPr>
        <w:t>%), peripheral neuropathy (</w:t>
      </w:r>
      <w:r>
        <w:rPr>
          <w:sz w:val="24"/>
          <w:szCs w:val="24"/>
        </w:rPr>
        <w:t>5</w:t>
      </w:r>
      <w:r w:rsidRPr="00304A33">
        <w:rPr>
          <w:sz w:val="24"/>
          <w:szCs w:val="24"/>
        </w:rPr>
        <w:t>%), cognitive effects (</w:t>
      </w:r>
      <w:r>
        <w:rPr>
          <w:sz w:val="24"/>
          <w:szCs w:val="24"/>
        </w:rPr>
        <w:t>4.4</w:t>
      </w:r>
      <w:r w:rsidRPr="00304A33">
        <w:rPr>
          <w:sz w:val="24"/>
          <w:szCs w:val="24"/>
        </w:rPr>
        <w:t xml:space="preserve">%), </w:t>
      </w:r>
      <w:r>
        <w:rPr>
          <w:sz w:val="24"/>
          <w:szCs w:val="24"/>
        </w:rPr>
        <w:t xml:space="preserve">increased lipase (3.7%), </w:t>
      </w:r>
      <w:r w:rsidRPr="00304A33">
        <w:rPr>
          <w:sz w:val="24"/>
          <w:szCs w:val="24"/>
        </w:rPr>
        <w:t>hypercholesterolemia (3.4%), mood effects (</w:t>
      </w:r>
      <w:r>
        <w:rPr>
          <w:sz w:val="24"/>
          <w:szCs w:val="24"/>
        </w:rPr>
        <w:t>3.1</w:t>
      </w:r>
      <w:r w:rsidRPr="00304A33">
        <w:rPr>
          <w:sz w:val="24"/>
          <w:szCs w:val="24"/>
        </w:rPr>
        <w:t>%), dyspnea (</w:t>
      </w:r>
      <w:r>
        <w:rPr>
          <w:sz w:val="24"/>
          <w:szCs w:val="24"/>
        </w:rPr>
        <w:t xml:space="preserve">2.7%), pneumonia </w:t>
      </w:r>
      <w:r w:rsidRPr="00304A33">
        <w:rPr>
          <w:sz w:val="24"/>
          <w:szCs w:val="24"/>
        </w:rPr>
        <w:t>(2.</w:t>
      </w:r>
      <w:r>
        <w:rPr>
          <w:sz w:val="24"/>
          <w:szCs w:val="24"/>
        </w:rPr>
        <w:t>7</w:t>
      </w:r>
      <w:r w:rsidRPr="00304A33">
        <w:rPr>
          <w:sz w:val="24"/>
          <w:szCs w:val="24"/>
        </w:rPr>
        <w:t>%)</w:t>
      </w:r>
      <w:r>
        <w:rPr>
          <w:sz w:val="24"/>
          <w:szCs w:val="24"/>
        </w:rPr>
        <w:t>, and hypertension (2.0%)</w:t>
      </w:r>
      <w:r w:rsidRPr="00304A33">
        <w:rPr>
          <w:sz w:val="24"/>
          <w:szCs w:val="24"/>
        </w:rPr>
        <w:t xml:space="preserve">. </w:t>
      </w:r>
      <w:r>
        <w:rPr>
          <w:sz w:val="24"/>
          <w:szCs w:val="24"/>
        </w:rPr>
        <w:t xml:space="preserve">Approximately 24% of patients required at least 1 dose reduction for adverse reactions. The most frequent adverse reactions that led to dose reductions were edema </w:t>
      </w:r>
      <w:r w:rsidR="007B413F">
        <w:rPr>
          <w:sz w:val="24"/>
          <w:szCs w:val="24"/>
        </w:rPr>
        <w:t>(6%),</w:t>
      </w:r>
      <w:r>
        <w:rPr>
          <w:sz w:val="24"/>
          <w:szCs w:val="24"/>
        </w:rPr>
        <w:t xml:space="preserve"> peripheral neuropathy (4.7%), cognitive effects (4.1%), and mood effects (3.1%).</w:t>
      </w:r>
      <w:r w:rsidR="006045A1">
        <w:rPr>
          <w:sz w:val="24"/>
          <w:szCs w:val="24"/>
        </w:rPr>
        <w:t xml:space="preserve"> </w:t>
      </w:r>
    </w:p>
    <w:p w:rsidR="001E1D15" w:rsidRPr="001114C2" w:rsidRDefault="001E1D15" w:rsidP="001E1D15">
      <w:pPr>
        <w:rPr>
          <w:sz w:val="24"/>
          <w:szCs w:val="24"/>
        </w:rPr>
      </w:pPr>
    </w:p>
    <w:p w:rsidR="00331628" w:rsidRDefault="00331628" w:rsidP="001E1D15">
      <w:pPr>
        <w:rPr>
          <w:sz w:val="24"/>
          <w:szCs w:val="24"/>
        </w:rPr>
      </w:pPr>
      <w:r w:rsidRPr="00416465">
        <w:rPr>
          <w:sz w:val="24"/>
          <w:szCs w:val="24"/>
        </w:rPr>
        <w:t xml:space="preserve">Tables </w:t>
      </w:r>
      <w:r w:rsidR="00CE7098">
        <w:rPr>
          <w:sz w:val="24"/>
          <w:szCs w:val="24"/>
        </w:rPr>
        <w:t>2</w:t>
      </w:r>
      <w:r w:rsidRPr="00416465">
        <w:rPr>
          <w:sz w:val="24"/>
          <w:szCs w:val="24"/>
        </w:rPr>
        <w:t xml:space="preserve"> and </w:t>
      </w:r>
      <w:r w:rsidR="00CE7098">
        <w:rPr>
          <w:sz w:val="24"/>
          <w:szCs w:val="24"/>
        </w:rPr>
        <w:t>3</w:t>
      </w:r>
      <w:r w:rsidRPr="00416465">
        <w:rPr>
          <w:sz w:val="24"/>
          <w:szCs w:val="24"/>
        </w:rPr>
        <w:t xml:space="preserve"> summarize</w:t>
      </w:r>
      <w:r w:rsidR="006978BF">
        <w:rPr>
          <w:sz w:val="24"/>
          <w:szCs w:val="24"/>
        </w:rPr>
        <w:t xml:space="preserve"> common</w:t>
      </w:r>
      <w:r w:rsidRPr="00416465">
        <w:rPr>
          <w:sz w:val="24"/>
          <w:szCs w:val="24"/>
        </w:rPr>
        <w:t xml:space="preserve"> adverse reactions and laboratory abnormalities</w:t>
      </w:r>
      <w:r w:rsidR="00445F7D">
        <w:rPr>
          <w:sz w:val="24"/>
          <w:szCs w:val="24"/>
        </w:rPr>
        <w:t>, respectively,</w:t>
      </w:r>
      <w:r w:rsidRPr="00416465">
        <w:rPr>
          <w:sz w:val="24"/>
          <w:szCs w:val="24"/>
        </w:rPr>
        <w:t xml:space="preserve"> in patients treated with </w:t>
      </w:r>
      <w:r w:rsidR="001A2032">
        <w:rPr>
          <w:sz w:val="24"/>
          <w:szCs w:val="24"/>
        </w:rPr>
        <w:t>LORBRENA</w:t>
      </w:r>
      <w:r w:rsidR="004F0E11">
        <w:rPr>
          <w:sz w:val="24"/>
          <w:szCs w:val="24"/>
        </w:rPr>
        <w:t xml:space="preserve"> in Study B7461001</w:t>
      </w:r>
      <w:r w:rsidRPr="00416465">
        <w:rPr>
          <w:sz w:val="24"/>
          <w:szCs w:val="24"/>
        </w:rPr>
        <w:t>.</w:t>
      </w:r>
    </w:p>
    <w:p w:rsidR="001E1D15" w:rsidRPr="00416465" w:rsidRDefault="001E1D15" w:rsidP="001E1D15">
      <w:pPr>
        <w:rPr>
          <w:sz w:val="24"/>
          <w:szCs w:val="24"/>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8"/>
        <w:gridCol w:w="3285"/>
        <w:gridCol w:w="3285"/>
      </w:tblGrid>
      <w:tr w:rsidR="002B467D" w:rsidRPr="00BA102E" w:rsidTr="007E367F">
        <w:trPr>
          <w:cantSplit/>
          <w:tblHeader/>
        </w:trPr>
        <w:tc>
          <w:tcPr>
            <w:tcW w:w="10768" w:type="dxa"/>
            <w:gridSpan w:val="3"/>
            <w:tcBorders>
              <w:top w:val="nil"/>
              <w:left w:val="nil"/>
              <w:right w:val="nil"/>
            </w:tcBorders>
            <w:tcMar>
              <w:left w:w="58" w:type="dxa"/>
              <w:right w:w="58" w:type="dxa"/>
            </w:tcMar>
            <w:vAlign w:val="center"/>
          </w:tcPr>
          <w:p w:rsidR="002B467D" w:rsidRPr="00D054BA" w:rsidRDefault="002B467D" w:rsidP="001E1D15">
            <w:pPr>
              <w:keepNext/>
              <w:tabs>
                <w:tab w:val="left" w:pos="1065"/>
              </w:tabs>
              <w:ind w:left="1080" w:hanging="1080"/>
              <w:rPr>
                <w:b/>
                <w:bCs/>
                <w:sz w:val="24"/>
                <w:szCs w:val="24"/>
              </w:rPr>
            </w:pPr>
            <w:r w:rsidRPr="002B467D">
              <w:rPr>
                <w:b/>
                <w:sz w:val="24"/>
                <w:szCs w:val="24"/>
              </w:rPr>
              <w:t xml:space="preserve">Table </w:t>
            </w:r>
            <w:r w:rsidR="00CE7098">
              <w:rPr>
                <w:b/>
                <w:sz w:val="24"/>
                <w:szCs w:val="24"/>
              </w:rPr>
              <w:t>2</w:t>
            </w:r>
            <w:r w:rsidRPr="002B467D">
              <w:rPr>
                <w:b/>
                <w:sz w:val="24"/>
                <w:szCs w:val="24"/>
              </w:rPr>
              <w:tab/>
            </w:r>
            <w:r w:rsidRPr="002B467D">
              <w:rPr>
                <w:rStyle w:val="TableText12"/>
                <w:b/>
              </w:rPr>
              <w:t xml:space="preserve">Adverse Reactions </w:t>
            </w:r>
            <w:r w:rsidR="00F52347">
              <w:rPr>
                <w:rStyle w:val="TableText12"/>
                <w:b/>
              </w:rPr>
              <w:t>Occurring</w:t>
            </w:r>
            <w:r w:rsidR="00F52347" w:rsidRPr="002B467D">
              <w:rPr>
                <w:rStyle w:val="TableText12"/>
                <w:b/>
              </w:rPr>
              <w:t xml:space="preserve"> </w:t>
            </w:r>
            <w:r w:rsidRPr="002B467D">
              <w:rPr>
                <w:rStyle w:val="TableText12"/>
                <w:b/>
              </w:rPr>
              <w:t xml:space="preserve">in ≥10% of Patients in </w:t>
            </w:r>
            <w:r w:rsidR="008259C9">
              <w:rPr>
                <w:rStyle w:val="TableText12"/>
                <w:b/>
              </w:rPr>
              <w:t xml:space="preserve">Study </w:t>
            </w:r>
            <w:r w:rsidR="008259C9" w:rsidRPr="00BA5143">
              <w:rPr>
                <w:b/>
                <w:bCs/>
                <w:sz w:val="24"/>
                <w:szCs w:val="24"/>
              </w:rPr>
              <w:t>B7461001</w:t>
            </w:r>
            <w:r w:rsidRPr="002B467D">
              <w:rPr>
                <w:rStyle w:val="TableText12"/>
                <w:b/>
                <w:vertAlign w:val="superscript"/>
              </w:rPr>
              <w:t>*</w:t>
            </w:r>
            <w:r w:rsidR="003F3FB0" w:rsidRPr="003F3FB0">
              <w:rPr>
                <w:rStyle w:val="TableText12"/>
                <w:b/>
              </w:rPr>
              <w:t xml:space="preserve"> </w:t>
            </w:r>
          </w:p>
        </w:tc>
      </w:tr>
      <w:tr w:rsidR="007904A7" w:rsidRPr="00BA102E" w:rsidTr="007E367F">
        <w:trPr>
          <w:cantSplit/>
          <w:tblHeader/>
        </w:trPr>
        <w:tc>
          <w:tcPr>
            <w:tcW w:w="4198" w:type="dxa"/>
            <w:vMerge w:val="restart"/>
            <w:tcBorders>
              <w:top w:val="single" w:sz="4" w:space="0" w:color="auto"/>
              <w:left w:val="single" w:sz="4" w:space="0" w:color="auto"/>
            </w:tcBorders>
            <w:tcMar>
              <w:left w:w="58" w:type="dxa"/>
              <w:right w:w="58" w:type="dxa"/>
            </w:tcMar>
            <w:vAlign w:val="center"/>
          </w:tcPr>
          <w:p w:rsidR="007904A7" w:rsidRPr="00BA102E" w:rsidRDefault="007904A7" w:rsidP="001E1D15">
            <w:pPr>
              <w:keepNext/>
              <w:ind w:hanging="180"/>
              <w:jc w:val="center"/>
              <w:rPr>
                <w:b/>
                <w:bCs/>
                <w:sz w:val="24"/>
                <w:szCs w:val="24"/>
              </w:rPr>
            </w:pPr>
            <w:r>
              <w:rPr>
                <w:b/>
                <w:bCs/>
                <w:sz w:val="24"/>
                <w:szCs w:val="24"/>
              </w:rPr>
              <w:t>Adverse Reaction</w:t>
            </w:r>
          </w:p>
        </w:tc>
        <w:tc>
          <w:tcPr>
            <w:tcW w:w="6570" w:type="dxa"/>
            <w:gridSpan w:val="2"/>
            <w:tcBorders>
              <w:top w:val="single" w:sz="4" w:space="0" w:color="auto"/>
              <w:bottom w:val="single" w:sz="4" w:space="0" w:color="auto"/>
            </w:tcBorders>
            <w:vAlign w:val="center"/>
          </w:tcPr>
          <w:p w:rsidR="007904A7" w:rsidRPr="00BA102E" w:rsidRDefault="001A2032" w:rsidP="001E1D15">
            <w:pPr>
              <w:keepNext/>
              <w:jc w:val="center"/>
              <w:rPr>
                <w:b/>
                <w:bCs/>
                <w:sz w:val="24"/>
                <w:szCs w:val="24"/>
              </w:rPr>
            </w:pPr>
            <w:r>
              <w:rPr>
                <w:b/>
                <w:bCs/>
                <w:sz w:val="24"/>
                <w:szCs w:val="24"/>
              </w:rPr>
              <w:t>LORBRENA</w:t>
            </w:r>
          </w:p>
          <w:p w:rsidR="007904A7" w:rsidRPr="00BA102E" w:rsidRDefault="007904A7" w:rsidP="001E1D15">
            <w:pPr>
              <w:keepNext/>
              <w:jc w:val="center"/>
              <w:rPr>
                <w:b/>
                <w:bCs/>
                <w:sz w:val="24"/>
                <w:szCs w:val="24"/>
              </w:rPr>
            </w:pPr>
            <w:r w:rsidRPr="00BA102E">
              <w:rPr>
                <w:b/>
                <w:bCs/>
                <w:sz w:val="24"/>
                <w:szCs w:val="24"/>
              </w:rPr>
              <w:t>(N=</w:t>
            </w:r>
            <w:r w:rsidR="003A3779">
              <w:rPr>
                <w:b/>
                <w:bCs/>
                <w:sz w:val="24"/>
                <w:szCs w:val="24"/>
              </w:rPr>
              <w:t>295</w:t>
            </w:r>
            <w:r w:rsidRPr="00BA102E">
              <w:rPr>
                <w:b/>
                <w:bCs/>
                <w:sz w:val="24"/>
                <w:szCs w:val="24"/>
              </w:rPr>
              <w:t>)</w:t>
            </w:r>
          </w:p>
        </w:tc>
      </w:tr>
      <w:tr w:rsidR="007904A7" w:rsidRPr="00BA102E" w:rsidTr="007E367F">
        <w:trPr>
          <w:cantSplit/>
          <w:tblHeader/>
        </w:trPr>
        <w:tc>
          <w:tcPr>
            <w:tcW w:w="4198" w:type="dxa"/>
            <w:vMerge/>
            <w:tcBorders>
              <w:left w:val="single" w:sz="4" w:space="0" w:color="auto"/>
              <w:bottom w:val="single" w:sz="4" w:space="0" w:color="auto"/>
              <w:right w:val="single" w:sz="4" w:space="0" w:color="auto"/>
            </w:tcBorders>
            <w:tcMar>
              <w:left w:w="58" w:type="dxa"/>
              <w:right w:w="58" w:type="dxa"/>
            </w:tcMar>
            <w:vAlign w:val="center"/>
          </w:tcPr>
          <w:p w:rsidR="007904A7" w:rsidRDefault="007904A7" w:rsidP="00A32ABB">
            <w:pPr>
              <w:keepNext/>
              <w:ind w:hanging="180"/>
              <w:jc w:val="center"/>
              <w:rPr>
                <w:b/>
                <w:bCs/>
                <w:sz w:val="24"/>
                <w:szCs w:val="24"/>
              </w:rPr>
            </w:pPr>
          </w:p>
        </w:tc>
        <w:tc>
          <w:tcPr>
            <w:tcW w:w="3285" w:type="dxa"/>
            <w:tcBorders>
              <w:top w:val="single" w:sz="4" w:space="0" w:color="auto"/>
              <w:left w:val="single" w:sz="4" w:space="0" w:color="auto"/>
              <w:bottom w:val="single" w:sz="4" w:space="0" w:color="auto"/>
            </w:tcBorders>
            <w:vAlign w:val="center"/>
          </w:tcPr>
          <w:p w:rsidR="007904A7" w:rsidRDefault="007904A7" w:rsidP="00A32ABB">
            <w:pPr>
              <w:keepNext/>
              <w:jc w:val="center"/>
              <w:rPr>
                <w:b/>
                <w:bCs/>
                <w:sz w:val="24"/>
                <w:szCs w:val="24"/>
              </w:rPr>
            </w:pPr>
            <w:r>
              <w:rPr>
                <w:b/>
                <w:bCs/>
                <w:sz w:val="24"/>
                <w:szCs w:val="24"/>
              </w:rPr>
              <w:t>All Grades</w:t>
            </w:r>
          </w:p>
          <w:p w:rsidR="007904A7" w:rsidRPr="00BA102E" w:rsidRDefault="007904A7" w:rsidP="00A32ABB">
            <w:pPr>
              <w:keepNext/>
              <w:jc w:val="center"/>
              <w:rPr>
                <w:b/>
                <w:bCs/>
                <w:sz w:val="24"/>
                <w:szCs w:val="24"/>
              </w:rPr>
            </w:pPr>
            <w:r>
              <w:rPr>
                <w:b/>
                <w:bCs/>
                <w:sz w:val="24"/>
                <w:szCs w:val="24"/>
              </w:rPr>
              <w:t>(%)</w:t>
            </w:r>
          </w:p>
        </w:tc>
        <w:tc>
          <w:tcPr>
            <w:tcW w:w="3285" w:type="dxa"/>
            <w:tcBorders>
              <w:top w:val="single" w:sz="4" w:space="0" w:color="auto"/>
              <w:bottom w:val="single" w:sz="4" w:space="0" w:color="auto"/>
            </w:tcBorders>
          </w:tcPr>
          <w:p w:rsidR="007904A7" w:rsidRDefault="007904A7" w:rsidP="001E1D15">
            <w:pPr>
              <w:keepNext/>
              <w:jc w:val="center"/>
              <w:rPr>
                <w:b/>
                <w:bCs/>
                <w:sz w:val="24"/>
                <w:szCs w:val="24"/>
              </w:rPr>
            </w:pPr>
            <w:r>
              <w:rPr>
                <w:b/>
                <w:bCs/>
                <w:sz w:val="24"/>
                <w:szCs w:val="24"/>
              </w:rPr>
              <w:t>Grade 3</w:t>
            </w:r>
            <w:r w:rsidR="006C0D43">
              <w:rPr>
                <w:b/>
                <w:bCs/>
                <w:sz w:val="24"/>
                <w:szCs w:val="24"/>
              </w:rPr>
              <w:t xml:space="preserve"> or </w:t>
            </w:r>
            <w:r>
              <w:rPr>
                <w:b/>
                <w:bCs/>
                <w:sz w:val="24"/>
                <w:szCs w:val="24"/>
              </w:rPr>
              <w:t>4</w:t>
            </w:r>
          </w:p>
          <w:p w:rsidR="007904A7" w:rsidRPr="00BA102E" w:rsidRDefault="007904A7" w:rsidP="001E1D15">
            <w:pPr>
              <w:keepNext/>
              <w:jc w:val="center"/>
              <w:rPr>
                <w:b/>
                <w:bCs/>
                <w:sz w:val="24"/>
                <w:szCs w:val="24"/>
              </w:rPr>
            </w:pPr>
            <w:r>
              <w:rPr>
                <w:b/>
                <w:bCs/>
                <w:sz w:val="24"/>
                <w:szCs w:val="24"/>
              </w:rPr>
              <w:t>(%)</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rsidR="007378D7" w:rsidRPr="00416465" w:rsidRDefault="007378D7" w:rsidP="001E1D15">
            <w:pPr>
              <w:keepNext/>
              <w:tabs>
                <w:tab w:val="left" w:pos="180"/>
              </w:tabs>
              <w:rPr>
                <w:sz w:val="24"/>
                <w:szCs w:val="24"/>
              </w:rPr>
            </w:pPr>
            <w:r w:rsidRPr="00416465">
              <w:rPr>
                <w:sz w:val="24"/>
                <w:szCs w:val="24"/>
              </w:rPr>
              <w:t>Psychiatric</w:t>
            </w:r>
          </w:p>
          <w:p w:rsidR="007378D7" w:rsidRPr="00416465" w:rsidRDefault="007378D7" w:rsidP="001E1D15">
            <w:pPr>
              <w:keepNext/>
              <w:tabs>
                <w:tab w:val="left" w:pos="180"/>
              </w:tabs>
              <w:ind w:left="197"/>
              <w:jc w:val="both"/>
              <w:rPr>
                <w:sz w:val="24"/>
                <w:szCs w:val="24"/>
              </w:rPr>
            </w:pPr>
            <w:r w:rsidRPr="00416465">
              <w:rPr>
                <w:sz w:val="24"/>
                <w:szCs w:val="24"/>
              </w:rPr>
              <w:t xml:space="preserve">Mood </w:t>
            </w:r>
            <w:r>
              <w:rPr>
                <w:sz w:val="24"/>
                <w:szCs w:val="24"/>
              </w:rPr>
              <w:t>effects</w:t>
            </w:r>
            <w:r>
              <w:rPr>
                <w:sz w:val="24"/>
                <w:szCs w:val="24"/>
                <w:vertAlign w:val="superscript"/>
              </w:rPr>
              <w:t>a</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keepNext/>
              <w:jc w:val="center"/>
              <w:rPr>
                <w:sz w:val="24"/>
                <w:szCs w:val="24"/>
              </w:rPr>
            </w:pPr>
          </w:p>
          <w:p w:rsidR="007378D7" w:rsidRPr="00416465" w:rsidRDefault="00D624F5" w:rsidP="001E1D15">
            <w:pPr>
              <w:keepNext/>
              <w:jc w:val="center"/>
              <w:rPr>
                <w:sz w:val="24"/>
                <w:szCs w:val="24"/>
              </w:rPr>
            </w:pPr>
            <w:r>
              <w:rPr>
                <w:sz w:val="24"/>
                <w:szCs w:val="24"/>
              </w:rPr>
              <w:t>23</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keepNext/>
              <w:jc w:val="center"/>
              <w:rPr>
                <w:sz w:val="24"/>
                <w:szCs w:val="24"/>
              </w:rPr>
            </w:pPr>
          </w:p>
          <w:p w:rsidR="007378D7" w:rsidRPr="00416465" w:rsidRDefault="007378D7" w:rsidP="001E1D15">
            <w:pPr>
              <w:keepNext/>
              <w:jc w:val="center"/>
              <w:rPr>
                <w:sz w:val="24"/>
                <w:szCs w:val="24"/>
              </w:rPr>
            </w:pPr>
            <w:r>
              <w:rPr>
                <w:sz w:val="24"/>
                <w:szCs w:val="24"/>
              </w:rPr>
              <w:t>1.7</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Pr="002323AF" w:rsidRDefault="007378D7" w:rsidP="001E1D15">
            <w:pPr>
              <w:keepNext/>
              <w:rPr>
                <w:sz w:val="24"/>
                <w:szCs w:val="24"/>
              </w:rPr>
            </w:pPr>
            <w:r w:rsidRPr="002323AF">
              <w:rPr>
                <w:sz w:val="24"/>
                <w:szCs w:val="24"/>
              </w:rPr>
              <w:t>Nervous system</w:t>
            </w:r>
          </w:p>
          <w:p w:rsidR="007378D7" w:rsidRPr="002323AF" w:rsidRDefault="007378D7" w:rsidP="001E1D15">
            <w:pPr>
              <w:keepNext/>
              <w:ind w:left="197"/>
              <w:rPr>
                <w:sz w:val="24"/>
                <w:szCs w:val="24"/>
                <w:vertAlign w:val="superscript"/>
              </w:rPr>
            </w:pPr>
            <w:r w:rsidRPr="002323AF">
              <w:rPr>
                <w:sz w:val="24"/>
                <w:szCs w:val="24"/>
              </w:rPr>
              <w:t>Peripheral neuropathy</w:t>
            </w:r>
            <w:r>
              <w:rPr>
                <w:sz w:val="24"/>
                <w:szCs w:val="24"/>
                <w:vertAlign w:val="superscript"/>
              </w:rPr>
              <w:t>b</w:t>
            </w:r>
          </w:p>
          <w:p w:rsidR="007378D7" w:rsidRDefault="007378D7" w:rsidP="001E1D15">
            <w:pPr>
              <w:keepNext/>
              <w:tabs>
                <w:tab w:val="left" w:pos="180"/>
              </w:tabs>
              <w:ind w:left="197"/>
              <w:jc w:val="both"/>
              <w:rPr>
                <w:sz w:val="24"/>
                <w:szCs w:val="24"/>
                <w:vertAlign w:val="superscript"/>
              </w:rPr>
            </w:pPr>
            <w:r w:rsidRPr="002323AF">
              <w:rPr>
                <w:sz w:val="24"/>
                <w:szCs w:val="24"/>
              </w:rPr>
              <w:t xml:space="preserve">Cognitive </w:t>
            </w:r>
            <w:r>
              <w:rPr>
                <w:sz w:val="24"/>
                <w:szCs w:val="24"/>
              </w:rPr>
              <w:t>effects</w:t>
            </w:r>
            <w:r w:rsidRPr="00361BCB">
              <w:rPr>
                <w:sz w:val="24"/>
                <w:szCs w:val="24"/>
                <w:vertAlign w:val="superscript"/>
              </w:rPr>
              <w:t xml:space="preserve">c </w:t>
            </w:r>
          </w:p>
          <w:p w:rsidR="007378D7" w:rsidRDefault="007378D7" w:rsidP="001E1D15">
            <w:pPr>
              <w:keepNext/>
              <w:tabs>
                <w:tab w:val="left" w:pos="180"/>
              </w:tabs>
              <w:ind w:left="197"/>
              <w:jc w:val="both"/>
              <w:rPr>
                <w:sz w:val="24"/>
                <w:szCs w:val="24"/>
              </w:rPr>
            </w:pPr>
            <w:r w:rsidRPr="00775EAE">
              <w:rPr>
                <w:sz w:val="24"/>
                <w:szCs w:val="24"/>
              </w:rPr>
              <w:t>Headache</w:t>
            </w:r>
          </w:p>
          <w:p w:rsidR="007378D7" w:rsidRDefault="007378D7" w:rsidP="001E1D15">
            <w:pPr>
              <w:keepNext/>
              <w:tabs>
                <w:tab w:val="left" w:pos="180"/>
              </w:tabs>
              <w:ind w:left="197"/>
              <w:jc w:val="both"/>
              <w:rPr>
                <w:sz w:val="24"/>
                <w:szCs w:val="24"/>
              </w:rPr>
            </w:pPr>
            <w:r>
              <w:rPr>
                <w:sz w:val="24"/>
                <w:szCs w:val="24"/>
              </w:rPr>
              <w:t>Dizziness</w:t>
            </w:r>
          </w:p>
          <w:p w:rsidR="00D624F5" w:rsidRDefault="007378D7" w:rsidP="001E1D15">
            <w:pPr>
              <w:keepNext/>
              <w:tabs>
                <w:tab w:val="left" w:pos="180"/>
              </w:tabs>
              <w:ind w:left="197"/>
              <w:jc w:val="both"/>
              <w:rPr>
                <w:sz w:val="24"/>
                <w:szCs w:val="24"/>
                <w:vertAlign w:val="superscript"/>
              </w:rPr>
            </w:pPr>
            <w:r>
              <w:rPr>
                <w:sz w:val="24"/>
                <w:szCs w:val="24"/>
              </w:rPr>
              <w:t>Speech effects</w:t>
            </w:r>
            <w:r w:rsidRPr="00954BDF">
              <w:rPr>
                <w:sz w:val="24"/>
                <w:szCs w:val="24"/>
                <w:vertAlign w:val="superscript"/>
              </w:rPr>
              <w:t>d</w:t>
            </w:r>
          </w:p>
          <w:p w:rsidR="007378D7" w:rsidRPr="00F263E3" w:rsidRDefault="007378D7" w:rsidP="001E1D15">
            <w:pPr>
              <w:keepNext/>
              <w:tabs>
                <w:tab w:val="left" w:pos="180"/>
              </w:tabs>
              <w:ind w:left="197"/>
              <w:jc w:val="both"/>
              <w:rPr>
                <w:sz w:val="24"/>
                <w:szCs w:val="24"/>
              </w:rPr>
            </w:pPr>
            <w:r w:rsidRPr="00AB0F7F">
              <w:rPr>
                <w:sz w:val="24"/>
                <w:szCs w:val="24"/>
              </w:rPr>
              <w:t>Sleep effects</w:t>
            </w:r>
            <w:r w:rsidRPr="00AB0F7F">
              <w:rPr>
                <w:sz w:val="24"/>
                <w:szCs w:val="24"/>
                <w:vertAlign w:val="superscript"/>
              </w:rPr>
              <w:t>e</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keepNext/>
              <w:jc w:val="center"/>
              <w:rPr>
                <w:sz w:val="24"/>
                <w:szCs w:val="24"/>
              </w:rPr>
            </w:pPr>
          </w:p>
          <w:p w:rsidR="007378D7" w:rsidRPr="00416465" w:rsidRDefault="007378D7" w:rsidP="001E1D15">
            <w:pPr>
              <w:keepNext/>
              <w:jc w:val="center"/>
              <w:rPr>
                <w:sz w:val="24"/>
                <w:szCs w:val="24"/>
              </w:rPr>
            </w:pPr>
            <w:r>
              <w:rPr>
                <w:sz w:val="24"/>
                <w:szCs w:val="24"/>
              </w:rPr>
              <w:t>47</w:t>
            </w:r>
          </w:p>
          <w:p w:rsidR="007378D7" w:rsidRDefault="007378D7" w:rsidP="001E1D15">
            <w:pPr>
              <w:keepNext/>
              <w:jc w:val="center"/>
              <w:rPr>
                <w:sz w:val="24"/>
                <w:szCs w:val="24"/>
              </w:rPr>
            </w:pPr>
            <w:r>
              <w:rPr>
                <w:sz w:val="24"/>
                <w:szCs w:val="24"/>
              </w:rPr>
              <w:t>27</w:t>
            </w:r>
          </w:p>
          <w:p w:rsidR="007378D7" w:rsidRDefault="007378D7" w:rsidP="001E1D15">
            <w:pPr>
              <w:keepNext/>
              <w:jc w:val="center"/>
              <w:rPr>
                <w:sz w:val="24"/>
                <w:szCs w:val="24"/>
              </w:rPr>
            </w:pPr>
            <w:r>
              <w:rPr>
                <w:sz w:val="24"/>
                <w:szCs w:val="24"/>
              </w:rPr>
              <w:t>18</w:t>
            </w:r>
          </w:p>
          <w:p w:rsidR="007378D7" w:rsidRDefault="007378D7" w:rsidP="001E1D15">
            <w:pPr>
              <w:keepNext/>
              <w:jc w:val="center"/>
              <w:rPr>
                <w:sz w:val="24"/>
                <w:szCs w:val="24"/>
              </w:rPr>
            </w:pPr>
            <w:r>
              <w:rPr>
                <w:sz w:val="24"/>
                <w:szCs w:val="24"/>
              </w:rPr>
              <w:t>16</w:t>
            </w:r>
          </w:p>
          <w:p w:rsidR="00D624F5" w:rsidRDefault="007378D7" w:rsidP="001E1D15">
            <w:pPr>
              <w:keepNext/>
              <w:jc w:val="center"/>
              <w:rPr>
                <w:sz w:val="24"/>
                <w:szCs w:val="24"/>
              </w:rPr>
            </w:pPr>
            <w:r>
              <w:rPr>
                <w:sz w:val="24"/>
                <w:szCs w:val="24"/>
              </w:rPr>
              <w:t>12</w:t>
            </w:r>
          </w:p>
          <w:p w:rsidR="007378D7" w:rsidRPr="00416465" w:rsidRDefault="00D624F5" w:rsidP="001E1D15">
            <w:pPr>
              <w:keepNext/>
              <w:jc w:val="center"/>
              <w:rPr>
                <w:sz w:val="24"/>
                <w:szCs w:val="24"/>
              </w:rPr>
            </w:pPr>
            <w:r>
              <w:rPr>
                <w:sz w:val="24"/>
                <w:szCs w:val="24"/>
              </w:rPr>
              <w:t>10</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keepNext/>
              <w:jc w:val="center"/>
              <w:rPr>
                <w:sz w:val="24"/>
                <w:szCs w:val="24"/>
              </w:rPr>
            </w:pPr>
          </w:p>
          <w:p w:rsidR="007378D7" w:rsidRPr="00416465" w:rsidRDefault="007378D7" w:rsidP="001E1D15">
            <w:pPr>
              <w:keepNext/>
              <w:jc w:val="center"/>
              <w:rPr>
                <w:sz w:val="24"/>
                <w:szCs w:val="24"/>
              </w:rPr>
            </w:pPr>
            <w:r>
              <w:rPr>
                <w:sz w:val="24"/>
                <w:szCs w:val="24"/>
              </w:rPr>
              <w:t>2.7</w:t>
            </w:r>
          </w:p>
          <w:p w:rsidR="007378D7" w:rsidRDefault="007378D7" w:rsidP="001E1D15">
            <w:pPr>
              <w:keepNext/>
              <w:jc w:val="center"/>
              <w:rPr>
                <w:sz w:val="24"/>
                <w:szCs w:val="24"/>
              </w:rPr>
            </w:pPr>
            <w:r>
              <w:rPr>
                <w:sz w:val="24"/>
                <w:szCs w:val="24"/>
              </w:rPr>
              <w:t>2.0</w:t>
            </w:r>
          </w:p>
          <w:p w:rsidR="007378D7" w:rsidRDefault="007378D7" w:rsidP="001E1D15">
            <w:pPr>
              <w:keepNext/>
              <w:jc w:val="center"/>
              <w:rPr>
                <w:sz w:val="24"/>
                <w:szCs w:val="24"/>
              </w:rPr>
            </w:pPr>
            <w:r>
              <w:rPr>
                <w:sz w:val="24"/>
                <w:szCs w:val="24"/>
              </w:rPr>
              <w:t>0.7</w:t>
            </w:r>
          </w:p>
          <w:p w:rsidR="007378D7" w:rsidRDefault="007378D7" w:rsidP="001E1D15">
            <w:pPr>
              <w:keepNext/>
              <w:jc w:val="center"/>
              <w:rPr>
                <w:sz w:val="24"/>
                <w:szCs w:val="24"/>
              </w:rPr>
            </w:pPr>
            <w:r>
              <w:rPr>
                <w:sz w:val="24"/>
                <w:szCs w:val="24"/>
              </w:rPr>
              <w:t>0.7</w:t>
            </w:r>
          </w:p>
          <w:p w:rsidR="00D624F5" w:rsidRDefault="007378D7" w:rsidP="001E1D15">
            <w:pPr>
              <w:keepNext/>
              <w:jc w:val="center"/>
              <w:rPr>
                <w:sz w:val="24"/>
                <w:szCs w:val="24"/>
              </w:rPr>
            </w:pPr>
            <w:r>
              <w:rPr>
                <w:sz w:val="24"/>
                <w:szCs w:val="24"/>
              </w:rPr>
              <w:t>0.3</w:t>
            </w:r>
          </w:p>
          <w:p w:rsidR="007378D7" w:rsidRPr="00416465" w:rsidRDefault="00D624F5" w:rsidP="001E1D15">
            <w:pPr>
              <w:keepNext/>
              <w:jc w:val="center"/>
              <w:rPr>
                <w:sz w:val="24"/>
                <w:szCs w:val="24"/>
              </w:rPr>
            </w:pPr>
            <w:r>
              <w:rPr>
                <w:sz w:val="24"/>
                <w:szCs w:val="24"/>
              </w:rPr>
              <w:t>0</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Default="007378D7" w:rsidP="001E1D15">
            <w:pPr>
              <w:rPr>
                <w:sz w:val="24"/>
                <w:szCs w:val="24"/>
              </w:rPr>
            </w:pPr>
            <w:r>
              <w:rPr>
                <w:sz w:val="24"/>
                <w:szCs w:val="24"/>
              </w:rPr>
              <w:t>Respiratory</w:t>
            </w:r>
          </w:p>
          <w:p w:rsidR="007378D7" w:rsidRDefault="007378D7" w:rsidP="001E1D15">
            <w:pPr>
              <w:ind w:left="180"/>
              <w:rPr>
                <w:sz w:val="24"/>
                <w:szCs w:val="24"/>
              </w:rPr>
            </w:pPr>
            <w:r>
              <w:rPr>
                <w:sz w:val="24"/>
                <w:szCs w:val="24"/>
              </w:rPr>
              <w:t>Dyspnea</w:t>
            </w:r>
          </w:p>
          <w:p w:rsidR="007378D7" w:rsidRPr="002323AF" w:rsidRDefault="007378D7" w:rsidP="001E1D15">
            <w:pPr>
              <w:ind w:left="180"/>
              <w:rPr>
                <w:sz w:val="24"/>
                <w:szCs w:val="24"/>
              </w:rPr>
            </w:pPr>
            <w:r>
              <w:rPr>
                <w:sz w:val="24"/>
                <w:szCs w:val="24"/>
              </w:rPr>
              <w:t>Cough</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Default="007378D7" w:rsidP="001E1D15">
            <w:pPr>
              <w:jc w:val="center"/>
              <w:rPr>
                <w:sz w:val="24"/>
                <w:szCs w:val="24"/>
              </w:rPr>
            </w:pPr>
            <w:r>
              <w:rPr>
                <w:sz w:val="24"/>
                <w:szCs w:val="24"/>
              </w:rPr>
              <w:t>27</w:t>
            </w:r>
          </w:p>
          <w:p w:rsidR="007378D7" w:rsidRPr="00416465" w:rsidRDefault="002068EF" w:rsidP="001E1D15">
            <w:pPr>
              <w:jc w:val="center"/>
              <w:rPr>
                <w:sz w:val="24"/>
                <w:szCs w:val="24"/>
              </w:rPr>
            </w:pPr>
            <w:r>
              <w:rPr>
                <w:sz w:val="24"/>
                <w:szCs w:val="24"/>
              </w:rPr>
              <w:t>18</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Default="007378D7" w:rsidP="001E1D15">
            <w:pPr>
              <w:jc w:val="center"/>
              <w:rPr>
                <w:sz w:val="24"/>
                <w:szCs w:val="24"/>
              </w:rPr>
            </w:pPr>
            <w:r>
              <w:rPr>
                <w:sz w:val="24"/>
                <w:szCs w:val="24"/>
              </w:rPr>
              <w:t>5.4</w:t>
            </w:r>
          </w:p>
          <w:p w:rsidR="007378D7" w:rsidRPr="00416465" w:rsidRDefault="007378D7" w:rsidP="001E1D15">
            <w:pPr>
              <w:jc w:val="center"/>
              <w:rPr>
                <w:sz w:val="24"/>
                <w:szCs w:val="24"/>
              </w:rPr>
            </w:pPr>
            <w:r>
              <w:rPr>
                <w:sz w:val="24"/>
                <w:szCs w:val="24"/>
              </w:rPr>
              <w:t>0</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Pr="002323AF" w:rsidRDefault="007378D7" w:rsidP="001E1D15">
            <w:pPr>
              <w:rPr>
                <w:sz w:val="24"/>
                <w:szCs w:val="24"/>
              </w:rPr>
            </w:pPr>
            <w:r>
              <w:rPr>
                <w:sz w:val="24"/>
                <w:szCs w:val="24"/>
              </w:rPr>
              <w:t>Ocular</w:t>
            </w:r>
          </w:p>
          <w:p w:rsidR="007378D7" w:rsidRPr="002323AF" w:rsidRDefault="007378D7" w:rsidP="001E1D15">
            <w:pPr>
              <w:ind w:left="197"/>
              <w:rPr>
                <w:sz w:val="24"/>
                <w:szCs w:val="24"/>
              </w:rPr>
            </w:pPr>
            <w:r w:rsidRPr="002323AF">
              <w:rPr>
                <w:sz w:val="24"/>
                <w:szCs w:val="24"/>
              </w:rPr>
              <w:t>Vision disorder</w:t>
            </w:r>
            <w:r w:rsidR="000E5CBB">
              <w:rPr>
                <w:sz w:val="24"/>
                <w:szCs w:val="24"/>
                <w:vertAlign w:val="superscript"/>
              </w:rPr>
              <w:t>f</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Pr="00416465" w:rsidRDefault="007378D7" w:rsidP="001E1D15">
            <w:pPr>
              <w:jc w:val="center"/>
              <w:rPr>
                <w:sz w:val="24"/>
                <w:szCs w:val="24"/>
              </w:rPr>
            </w:pPr>
            <w:r>
              <w:rPr>
                <w:sz w:val="24"/>
                <w:szCs w:val="24"/>
              </w:rPr>
              <w:t>15</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Pr="00416465" w:rsidRDefault="007378D7" w:rsidP="001E1D15">
            <w:pPr>
              <w:jc w:val="center"/>
              <w:rPr>
                <w:sz w:val="24"/>
                <w:szCs w:val="24"/>
              </w:rPr>
            </w:pPr>
            <w:r>
              <w:rPr>
                <w:sz w:val="24"/>
                <w:szCs w:val="24"/>
              </w:rPr>
              <w:t>0.3</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Pr="00416465" w:rsidRDefault="007378D7" w:rsidP="001E1D15">
            <w:pPr>
              <w:rPr>
                <w:sz w:val="24"/>
                <w:szCs w:val="24"/>
              </w:rPr>
            </w:pPr>
            <w:r w:rsidRPr="00416465">
              <w:rPr>
                <w:sz w:val="24"/>
                <w:szCs w:val="24"/>
              </w:rPr>
              <w:t>Gastrointestinal</w:t>
            </w:r>
          </w:p>
          <w:p w:rsidR="007378D7" w:rsidRDefault="007378D7" w:rsidP="001E1D15">
            <w:pPr>
              <w:ind w:left="197"/>
              <w:rPr>
                <w:sz w:val="24"/>
                <w:szCs w:val="24"/>
              </w:rPr>
            </w:pPr>
            <w:r w:rsidRPr="00416465">
              <w:rPr>
                <w:sz w:val="24"/>
                <w:szCs w:val="24"/>
              </w:rPr>
              <w:t>Diarrhea</w:t>
            </w:r>
          </w:p>
          <w:p w:rsidR="007378D7" w:rsidRPr="00416465" w:rsidRDefault="007378D7" w:rsidP="001E1D15">
            <w:pPr>
              <w:ind w:left="197"/>
              <w:rPr>
                <w:sz w:val="24"/>
                <w:szCs w:val="24"/>
              </w:rPr>
            </w:pPr>
            <w:r>
              <w:rPr>
                <w:sz w:val="24"/>
                <w:szCs w:val="24"/>
              </w:rPr>
              <w:t>Nausea</w:t>
            </w:r>
          </w:p>
          <w:p w:rsidR="007378D7" w:rsidRDefault="007378D7" w:rsidP="001E1D15">
            <w:pPr>
              <w:ind w:left="197"/>
              <w:rPr>
                <w:sz w:val="24"/>
                <w:szCs w:val="24"/>
              </w:rPr>
            </w:pPr>
            <w:r w:rsidRPr="00416465">
              <w:rPr>
                <w:sz w:val="24"/>
                <w:szCs w:val="24"/>
              </w:rPr>
              <w:t>Constipation</w:t>
            </w:r>
          </w:p>
          <w:p w:rsidR="007378D7" w:rsidRPr="00416465" w:rsidRDefault="007378D7" w:rsidP="001E1D15">
            <w:pPr>
              <w:ind w:left="197"/>
              <w:rPr>
                <w:sz w:val="24"/>
                <w:szCs w:val="24"/>
              </w:rPr>
            </w:pPr>
            <w:r>
              <w:rPr>
                <w:sz w:val="24"/>
                <w:szCs w:val="24"/>
              </w:rPr>
              <w:t>Vomiting</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Default="007378D7" w:rsidP="001E1D15">
            <w:pPr>
              <w:jc w:val="center"/>
              <w:rPr>
                <w:sz w:val="24"/>
                <w:szCs w:val="24"/>
              </w:rPr>
            </w:pPr>
            <w:r>
              <w:rPr>
                <w:sz w:val="24"/>
                <w:szCs w:val="24"/>
              </w:rPr>
              <w:t>22</w:t>
            </w:r>
          </w:p>
          <w:p w:rsidR="007378D7" w:rsidRPr="00416465" w:rsidRDefault="007378D7" w:rsidP="001E1D15">
            <w:pPr>
              <w:jc w:val="center"/>
              <w:rPr>
                <w:sz w:val="24"/>
                <w:szCs w:val="24"/>
              </w:rPr>
            </w:pPr>
            <w:r>
              <w:rPr>
                <w:sz w:val="24"/>
                <w:szCs w:val="24"/>
              </w:rPr>
              <w:t>18</w:t>
            </w:r>
          </w:p>
          <w:p w:rsidR="007378D7" w:rsidRDefault="007378D7" w:rsidP="001E1D15">
            <w:pPr>
              <w:jc w:val="center"/>
              <w:rPr>
                <w:sz w:val="24"/>
                <w:szCs w:val="24"/>
              </w:rPr>
            </w:pPr>
            <w:r>
              <w:rPr>
                <w:sz w:val="24"/>
                <w:szCs w:val="24"/>
              </w:rPr>
              <w:t>15</w:t>
            </w:r>
          </w:p>
          <w:p w:rsidR="007378D7" w:rsidRPr="00416465" w:rsidRDefault="007378D7" w:rsidP="001E1D15">
            <w:pPr>
              <w:jc w:val="center"/>
              <w:rPr>
                <w:sz w:val="24"/>
                <w:szCs w:val="24"/>
              </w:rPr>
            </w:pPr>
            <w:r>
              <w:rPr>
                <w:sz w:val="24"/>
                <w:szCs w:val="24"/>
              </w:rPr>
              <w:t>12</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Default="007378D7" w:rsidP="001E1D15">
            <w:pPr>
              <w:jc w:val="center"/>
              <w:rPr>
                <w:sz w:val="24"/>
                <w:szCs w:val="24"/>
              </w:rPr>
            </w:pPr>
            <w:r>
              <w:rPr>
                <w:sz w:val="24"/>
                <w:szCs w:val="24"/>
              </w:rPr>
              <w:t>0.7</w:t>
            </w:r>
          </w:p>
          <w:p w:rsidR="007378D7" w:rsidRPr="00416465" w:rsidRDefault="007378D7" w:rsidP="001E1D15">
            <w:pPr>
              <w:jc w:val="center"/>
              <w:rPr>
                <w:sz w:val="24"/>
                <w:szCs w:val="24"/>
              </w:rPr>
            </w:pPr>
            <w:r>
              <w:rPr>
                <w:sz w:val="24"/>
                <w:szCs w:val="24"/>
              </w:rPr>
              <w:t>0.7</w:t>
            </w:r>
          </w:p>
          <w:p w:rsidR="007378D7" w:rsidRDefault="007378D7" w:rsidP="001E1D15">
            <w:pPr>
              <w:jc w:val="center"/>
              <w:rPr>
                <w:sz w:val="24"/>
                <w:szCs w:val="24"/>
              </w:rPr>
            </w:pPr>
            <w:r>
              <w:rPr>
                <w:sz w:val="24"/>
                <w:szCs w:val="24"/>
              </w:rPr>
              <w:t>0</w:t>
            </w:r>
          </w:p>
          <w:p w:rsidR="007378D7" w:rsidRPr="00416465" w:rsidRDefault="007378D7" w:rsidP="001E1D15">
            <w:pPr>
              <w:jc w:val="center"/>
              <w:rPr>
                <w:sz w:val="24"/>
                <w:szCs w:val="24"/>
              </w:rPr>
            </w:pPr>
            <w:r>
              <w:rPr>
                <w:sz w:val="24"/>
                <w:szCs w:val="24"/>
              </w:rPr>
              <w:t>1</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Pr="00416465" w:rsidRDefault="007378D7" w:rsidP="001E1D15">
            <w:pPr>
              <w:rPr>
                <w:sz w:val="24"/>
                <w:szCs w:val="24"/>
              </w:rPr>
            </w:pPr>
            <w:r w:rsidRPr="00416465">
              <w:rPr>
                <w:sz w:val="24"/>
                <w:szCs w:val="24"/>
              </w:rPr>
              <w:lastRenderedPageBreak/>
              <w:t>Musculoskeletal and connective tissue</w:t>
            </w:r>
          </w:p>
          <w:p w:rsidR="007378D7" w:rsidRDefault="007378D7" w:rsidP="001E1D15">
            <w:pPr>
              <w:ind w:left="197"/>
              <w:rPr>
                <w:sz w:val="24"/>
                <w:szCs w:val="24"/>
              </w:rPr>
            </w:pPr>
            <w:r w:rsidRPr="00416465">
              <w:rPr>
                <w:sz w:val="24"/>
                <w:szCs w:val="24"/>
              </w:rPr>
              <w:t>Arthralgia</w:t>
            </w:r>
          </w:p>
          <w:p w:rsidR="007378D7" w:rsidRDefault="007378D7" w:rsidP="001E1D15">
            <w:pPr>
              <w:ind w:left="197"/>
              <w:rPr>
                <w:sz w:val="24"/>
                <w:szCs w:val="24"/>
                <w:vertAlign w:val="superscript"/>
              </w:rPr>
            </w:pPr>
            <w:r>
              <w:rPr>
                <w:sz w:val="24"/>
                <w:szCs w:val="24"/>
              </w:rPr>
              <w:t>Myalgia</w:t>
            </w:r>
            <w:r>
              <w:rPr>
                <w:sz w:val="24"/>
                <w:szCs w:val="24"/>
                <w:vertAlign w:val="superscript"/>
              </w:rPr>
              <w:t>g</w:t>
            </w:r>
          </w:p>
          <w:p w:rsidR="007378D7" w:rsidRDefault="007378D7" w:rsidP="001E1D15">
            <w:pPr>
              <w:ind w:left="197"/>
              <w:rPr>
                <w:sz w:val="24"/>
                <w:szCs w:val="24"/>
              </w:rPr>
            </w:pPr>
            <w:r w:rsidRPr="00C37F9F">
              <w:rPr>
                <w:sz w:val="24"/>
                <w:szCs w:val="24"/>
              </w:rPr>
              <w:t>Back pain</w:t>
            </w:r>
          </w:p>
          <w:p w:rsidR="007378D7" w:rsidRPr="001B6814" w:rsidRDefault="007378D7" w:rsidP="001E1D15">
            <w:pPr>
              <w:ind w:left="197"/>
              <w:rPr>
                <w:sz w:val="24"/>
                <w:szCs w:val="24"/>
              </w:rPr>
            </w:pPr>
            <w:r>
              <w:rPr>
                <w:sz w:val="24"/>
                <w:szCs w:val="24"/>
              </w:rPr>
              <w:t>Pain in extremity</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Default="007378D7" w:rsidP="001E1D15">
            <w:pPr>
              <w:jc w:val="center"/>
              <w:rPr>
                <w:sz w:val="24"/>
                <w:szCs w:val="24"/>
              </w:rPr>
            </w:pPr>
            <w:r>
              <w:rPr>
                <w:sz w:val="24"/>
                <w:szCs w:val="24"/>
              </w:rPr>
              <w:t>23</w:t>
            </w:r>
          </w:p>
          <w:p w:rsidR="007378D7" w:rsidRDefault="00D624F5" w:rsidP="001E1D15">
            <w:pPr>
              <w:jc w:val="center"/>
              <w:rPr>
                <w:sz w:val="24"/>
                <w:szCs w:val="24"/>
              </w:rPr>
            </w:pPr>
            <w:r>
              <w:rPr>
                <w:sz w:val="24"/>
                <w:szCs w:val="24"/>
              </w:rPr>
              <w:t>17</w:t>
            </w:r>
          </w:p>
          <w:p w:rsidR="007378D7" w:rsidRDefault="007378D7" w:rsidP="001E1D15">
            <w:pPr>
              <w:jc w:val="center"/>
              <w:rPr>
                <w:sz w:val="24"/>
                <w:szCs w:val="24"/>
              </w:rPr>
            </w:pPr>
            <w:r>
              <w:rPr>
                <w:sz w:val="24"/>
                <w:szCs w:val="24"/>
              </w:rPr>
              <w:t>13</w:t>
            </w:r>
          </w:p>
          <w:p w:rsidR="007378D7" w:rsidRPr="00416465" w:rsidRDefault="007378D7" w:rsidP="001E1D15">
            <w:pPr>
              <w:jc w:val="center"/>
              <w:rPr>
                <w:sz w:val="24"/>
                <w:szCs w:val="24"/>
              </w:rPr>
            </w:pPr>
            <w:r>
              <w:rPr>
                <w:sz w:val="24"/>
                <w:szCs w:val="24"/>
              </w:rPr>
              <w:t>13</w:t>
            </w:r>
          </w:p>
        </w:tc>
        <w:tc>
          <w:tcPr>
            <w:tcW w:w="3285" w:type="dxa"/>
            <w:tcBorders>
              <w:top w:val="single" w:sz="4" w:space="0" w:color="auto"/>
              <w:left w:val="single" w:sz="4" w:space="0" w:color="auto"/>
              <w:bottom w:val="single" w:sz="4" w:space="0" w:color="auto"/>
              <w:right w:val="single" w:sz="4" w:space="0" w:color="auto"/>
            </w:tcBorders>
          </w:tcPr>
          <w:p w:rsidR="007378D7" w:rsidRPr="00416465" w:rsidRDefault="007378D7" w:rsidP="001E1D15">
            <w:pPr>
              <w:jc w:val="center"/>
              <w:rPr>
                <w:sz w:val="24"/>
                <w:szCs w:val="24"/>
              </w:rPr>
            </w:pPr>
          </w:p>
          <w:p w:rsidR="007378D7" w:rsidRDefault="007378D7" w:rsidP="001E1D15">
            <w:pPr>
              <w:jc w:val="center"/>
              <w:rPr>
                <w:sz w:val="24"/>
                <w:szCs w:val="24"/>
              </w:rPr>
            </w:pPr>
            <w:r>
              <w:rPr>
                <w:sz w:val="24"/>
                <w:szCs w:val="24"/>
              </w:rPr>
              <w:t>0.7</w:t>
            </w:r>
          </w:p>
          <w:p w:rsidR="007378D7" w:rsidRDefault="007378D7" w:rsidP="001E1D15">
            <w:pPr>
              <w:jc w:val="center"/>
              <w:rPr>
                <w:sz w:val="24"/>
                <w:szCs w:val="24"/>
              </w:rPr>
            </w:pPr>
            <w:r>
              <w:rPr>
                <w:sz w:val="24"/>
                <w:szCs w:val="24"/>
              </w:rPr>
              <w:t>0</w:t>
            </w:r>
          </w:p>
          <w:p w:rsidR="007378D7" w:rsidRDefault="007378D7" w:rsidP="001E1D15">
            <w:pPr>
              <w:jc w:val="center"/>
              <w:rPr>
                <w:sz w:val="24"/>
                <w:szCs w:val="24"/>
              </w:rPr>
            </w:pPr>
            <w:r>
              <w:rPr>
                <w:sz w:val="24"/>
                <w:szCs w:val="24"/>
              </w:rPr>
              <w:t>0.7</w:t>
            </w:r>
          </w:p>
          <w:p w:rsidR="007378D7" w:rsidRPr="00416465" w:rsidRDefault="007378D7" w:rsidP="001E1D15">
            <w:pPr>
              <w:jc w:val="center"/>
              <w:rPr>
                <w:sz w:val="24"/>
                <w:szCs w:val="24"/>
              </w:rPr>
            </w:pPr>
            <w:r>
              <w:rPr>
                <w:sz w:val="24"/>
                <w:szCs w:val="24"/>
              </w:rPr>
              <w:t>0.3</w:t>
            </w:r>
          </w:p>
        </w:tc>
      </w:tr>
      <w:tr w:rsidR="007378D7" w:rsidRPr="00BA102E" w:rsidTr="00C060CA">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Pr="00416465" w:rsidRDefault="007378D7" w:rsidP="001E1D15">
            <w:pPr>
              <w:ind w:left="107" w:hanging="107"/>
              <w:rPr>
                <w:sz w:val="24"/>
                <w:szCs w:val="24"/>
              </w:rPr>
            </w:pPr>
            <w:r w:rsidRPr="00416465">
              <w:rPr>
                <w:sz w:val="24"/>
                <w:szCs w:val="24"/>
              </w:rPr>
              <w:t>General</w:t>
            </w:r>
          </w:p>
          <w:p w:rsidR="007378D7" w:rsidRPr="00416465" w:rsidRDefault="007378D7" w:rsidP="001E1D15">
            <w:pPr>
              <w:ind w:left="197"/>
              <w:rPr>
                <w:sz w:val="24"/>
                <w:szCs w:val="24"/>
              </w:rPr>
            </w:pPr>
            <w:r w:rsidRPr="00416465">
              <w:rPr>
                <w:sz w:val="24"/>
                <w:szCs w:val="24"/>
              </w:rPr>
              <w:t>Edema</w:t>
            </w:r>
            <w:r>
              <w:rPr>
                <w:sz w:val="24"/>
                <w:szCs w:val="24"/>
                <w:vertAlign w:val="superscript"/>
              </w:rPr>
              <w:t>h</w:t>
            </w:r>
            <w:r w:rsidRPr="00416465">
              <w:rPr>
                <w:sz w:val="24"/>
                <w:szCs w:val="24"/>
              </w:rPr>
              <w:t xml:space="preserve"> </w:t>
            </w:r>
          </w:p>
          <w:p w:rsidR="007378D7" w:rsidRDefault="007378D7" w:rsidP="001E1D15">
            <w:pPr>
              <w:ind w:left="197"/>
              <w:rPr>
                <w:sz w:val="24"/>
                <w:szCs w:val="24"/>
                <w:vertAlign w:val="superscript"/>
              </w:rPr>
            </w:pPr>
            <w:r w:rsidRPr="00416465">
              <w:rPr>
                <w:sz w:val="24"/>
                <w:szCs w:val="24"/>
              </w:rPr>
              <w:t>Fatigue</w:t>
            </w:r>
            <w:r>
              <w:rPr>
                <w:sz w:val="24"/>
                <w:szCs w:val="24"/>
                <w:vertAlign w:val="superscript"/>
              </w:rPr>
              <w:t>i</w:t>
            </w:r>
          </w:p>
          <w:p w:rsidR="007378D7" w:rsidRDefault="007378D7" w:rsidP="001E1D15">
            <w:pPr>
              <w:ind w:left="197"/>
              <w:rPr>
                <w:sz w:val="24"/>
                <w:szCs w:val="24"/>
                <w:vertAlign w:val="superscript"/>
              </w:rPr>
            </w:pPr>
            <w:r>
              <w:rPr>
                <w:sz w:val="24"/>
                <w:szCs w:val="24"/>
              </w:rPr>
              <w:t xml:space="preserve">Weight gain </w:t>
            </w:r>
          </w:p>
          <w:p w:rsidR="007378D7" w:rsidRPr="004B617B" w:rsidRDefault="007378D7" w:rsidP="001E1D15">
            <w:pPr>
              <w:ind w:left="197"/>
              <w:rPr>
                <w:sz w:val="24"/>
                <w:szCs w:val="24"/>
              </w:rPr>
            </w:pPr>
            <w:r>
              <w:rPr>
                <w:sz w:val="24"/>
                <w:szCs w:val="24"/>
              </w:rPr>
              <w:t>Pyrexia</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Pr="00416465" w:rsidRDefault="007378D7" w:rsidP="001E1D15">
            <w:pPr>
              <w:jc w:val="center"/>
              <w:rPr>
                <w:sz w:val="24"/>
                <w:szCs w:val="24"/>
              </w:rPr>
            </w:pPr>
            <w:r>
              <w:rPr>
                <w:sz w:val="24"/>
                <w:szCs w:val="24"/>
              </w:rPr>
              <w:t>57</w:t>
            </w:r>
          </w:p>
          <w:p w:rsidR="007378D7" w:rsidRDefault="007378D7" w:rsidP="001E1D15">
            <w:pPr>
              <w:jc w:val="center"/>
              <w:rPr>
                <w:sz w:val="24"/>
                <w:szCs w:val="24"/>
              </w:rPr>
            </w:pPr>
            <w:r>
              <w:rPr>
                <w:sz w:val="24"/>
                <w:szCs w:val="24"/>
              </w:rPr>
              <w:t>26</w:t>
            </w:r>
          </w:p>
          <w:p w:rsidR="007378D7" w:rsidRDefault="007378D7" w:rsidP="001E1D15">
            <w:pPr>
              <w:jc w:val="center"/>
              <w:rPr>
                <w:sz w:val="24"/>
                <w:szCs w:val="24"/>
              </w:rPr>
            </w:pPr>
            <w:r>
              <w:rPr>
                <w:sz w:val="24"/>
                <w:szCs w:val="24"/>
              </w:rPr>
              <w:t>24</w:t>
            </w:r>
          </w:p>
          <w:p w:rsidR="007378D7" w:rsidRPr="00416465" w:rsidRDefault="002068EF" w:rsidP="001E1D15">
            <w:pPr>
              <w:jc w:val="center"/>
              <w:rPr>
                <w:sz w:val="24"/>
                <w:szCs w:val="24"/>
              </w:rPr>
            </w:pPr>
            <w:r>
              <w:rPr>
                <w:sz w:val="24"/>
                <w:szCs w:val="24"/>
              </w:rPr>
              <w:t>12</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Default="00D624F5" w:rsidP="001E1D15">
            <w:pPr>
              <w:jc w:val="center"/>
              <w:rPr>
                <w:sz w:val="24"/>
                <w:szCs w:val="24"/>
              </w:rPr>
            </w:pPr>
            <w:r>
              <w:rPr>
                <w:sz w:val="24"/>
                <w:szCs w:val="24"/>
              </w:rPr>
              <w:t>3.1</w:t>
            </w:r>
          </w:p>
          <w:p w:rsidR="007378D7" w:rsidRDefault="007378D7" w:rsidP="001E1D15">
            <w:pPr>
              <w:jc w:val="center"/>
              <w:rPr>
                <w:sz w:val="24"/>
                <w:szCs w:val="24"/>
              </w:rPr>
            </w:pPr>
            <w:r>
              <w:rPr>
                <w:sz w:val="24"/>
                <w:szCs w:val="24"/>
              </w:rPr>
              <w:t>0.3</w:t>
            </w:r>
          </w:p>
          <w:p w:rsidR="007378D7" w:rsidRDefault="007378D7" w:rsidP="001E1D15">
            <w:pPr>
              <w:jc w:val="center"/>
              <w:rPr>
                <w:sz w:val="24"/>
                <w:szCs w:val="24"/>
              </w:rPr>
            </w:pPr>
            <w:r>
              <w:rPr>
                <w:sz w:val="24"/>
                <w:szCs w:val="24"/>
              </w:rPr>
              <w:t>4.4</w:t>
            </w:r>
          </w:p>
          <w:p w:rsidR="007378D7" w:rsidRPr="00416465" w:rsidRDefault="007378D7" w:rsidP="001E1D15">
            <w:pPr>
              <w:jc w:val="center"/>
              <w:rPr>
                <w:sz w:val="24"/>
                <w:szCs w:val="24"/>
              </w:rPr>
            </w:pPr>
            <w:r>
              <w:rPr>
                <w:sz w:val="24"/>
                <w:szCs w:val="24"/>
              </w:rPr>
              <w:t>0.7</w:t>
            </w:r>
          </w:p>
        </w:tc>
      </w:tr>
      <w:tr w:rsidR="007378D7" w:rsidRPr="00BA102E" w:rsidTr="00C060CA">
        <w:trPr>
          <w:cantSplit/>
          <w:trHeight w:val="54"/>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Default="007378D7" w:rsidP="001E1D15">
            <w:pPr>
              <w:rPr>
                <w:sz w:val="24"/>
                <w:szCs w:val="24"/>
              </w:rPr>
            </w:pPr>
            <w:r>
              <w:rPr>
                <w:sz w:val="24"/>
                <w:szCs w:val="24"/>
              </w:rPr>
              <w:t>Infections</w:t>
            </w:r>
          </w:p>
          <w:p w:rsidR="007378D7" w:rsidRPr="00416465" w:rsidRDefault="007378D7" w:rsidP="001E1D15">
            <w:pPr>
              <w:ind w:left="180"/>
              <w:rPr>
                <w:sz w:val="24"/>
                <w:szCs w:val="24"/>
              </w:rPr>
            </w:pPr>
            <w:r>
              <w:rPr>
                <w:sz w:val="24"/>
                <w:szCs w:val="24"/>
              </w:rPr>
              <w:t>Upper respiratory tract infection</w:t>
            </w:r>
            <w:r>
              <w:rPr>
                <w:sz w:val="24"/>
                <w:szCs w:val="24"/>
                <w:vertAlign w:val="superscript"/>
              </w:rPr>
              <w:t>j</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Default="007378D7" w:rsidP="001E1D15">
            <w:pPr>
              <w:jc w:val="center"/>
              <w:rPr>
                <w:sz w:val="24"/>
                <w:szCs w:val="24"/>
              </w:rPr>
            </w:pPr>
            <w:r>
              <w:rPr>
                <w:sz w:val="24"/>
                <w:szCs w:val="24"/>
              </w:rPr>
              <w:t>12</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Pr="00416465" w:rsidRDefault="007378D7" w:rsidP="001E1D15">
            <w:pPr>
              <w:jc w:val="center"/>
              <w:rPr>
                <w:sz w:val="24"/>
                <w:szCs w:val="24"/>
              </w:rPr>
            </w:pPr>
            <w:r>
              <w:rPr>
                <w:sz w:val="24"/>
                <w:szCs w:val="24"/>
              </w:rPr>
              <w:t>0</w:t>
            </w:r>
          </w:p>
        </w:tc>
      </w:tr>
      <w:tr w:rsidR="007378D7" w:rsidRPr="00BA102E" w:rsidTr="00C060CA">
        <w:trPr>
          <w:cantSplit/>
          <w:trHeight w:val="54"/>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rsidR="007378D7" w:rsidRDefault="007378D7" w:rsidP="001E1D15">
            <w:pPr>
              <w:rPr>
                <w:sz w:val="24"/>
                <w:szCs w:val="24"/>
              </w:rPr>
            </w:pPr>
            <w:r>
              <w:rPr>
                <w:sz w:val="24"/>
                <w:szCs w:val="24"/>
              </w:rPr>
              <w:t xml:space="preserve">Skin </w:t>
            </w:r>
          </w:p>
          <w:p w:rsidR="007378D7" w:rsidRPr="00416465" w:rsidRDefault="007378D7" w:rsidP="001E1D15">
            <w:pPr>
              <w:ind w:left="180"/>
              <w:rPr>
                <w:sz w:val="24"/>
                <w:szCs w:val="24"/>
              </w:rPr>
            </w:pPr>
            <w:r>
              <w:rPr>
                <w:sz w:val="24"/>
                <w:szCs w:val="24"/>
              </w:rPr>
              <w:t>Rash</w:t>
            </w:r>
            <w:r>
              <w:rPr>
                <w:sz w:val="24"/>
                <w:szCs w:val="24"/>
                <w:vertAlign w:val="superscript"/>
              </w:rPr>
              <w:t>k</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jc w:val="center"/>
              <w:rPr>
                <w:sz w:val="24"/>
                <w:szCs w:val="24"/>
              </w:rPr>
            </w:pPr>
          </w:p>
          <w:p w:rsidR="007378D7" w:rsidRDefault="007378D7" w:rsidP="001E1D15">
            <w:pPr>
              <w:jc w:val="center"/>
              <w:rPr>
                <w:sz w:val="24"/>
                <w:szCs w:val="24"/>
              </w:rPr>
            </w:pPr>
            <w:r>
              <w:rPr>
                <w:sz w:val="24"/>
                <w:szCs w:val="24"/>
              </w:rPr>
              <w:t>14</w:t>
            </w:r>
          </w:p>
        </w:tc>
        <w:tc>
          <w:tcPr>
            <w:tcW w:w="3285" w:type="dxa"/>
            <w:tcBorders>
              <w:top w:val="single" w:sz="4" w:space="0" w:color="auto"/>
              <w:left w:val="single" w:sz="4" w:space="0" w:color="auto"/>
              <w:bottom w:val="single" w:sz="4" w:space="0" w:color="auto"/>
              <w:right w:val="single" w:sz="4" w:space="0" w:color="auto"/>
            </w:tcBorders>
          </w:tcPr>
          <w:p w:rsidR="007378D7" w:rsidRDefault="007378D7" w:rsidP="001E1D15">
            <w:pPr>
              <w:rPr>
                <w:sz w:val="24"/>
                <w:szCs w:val="24"/>
              </w:rPr>
            </w:pPr>
          </w:p>
          <w:p w:rsidR="007378D7" w:rsidRPr="00416465" w:rsidRDefault="007378D7" w:rsidP="001E1D15">
            <w:pPr>
              <w:jc w:val="center"/>
              <w:rPr>
                <w:sz w:val="24"/>
                <w:szCs w:val="24"/>
              </w:rPr>
            </w:pPr>
            <w:r>
              <w:rPr>
                <w:sz w:val="24"/>
                <w:szCs w:val="24"/>
              </w:rPr>
              <w:t>0.3</w:t>
            </w:r>
          </w:p>
        </w:tc>
      </w:tr>
      <w:tr w:rsidR="007378D7" w:rsidRPr="00BA102E" w:rsidTr="006845AE">
        <w:tc>
          <w:tcPr>
            <w:tcW w:w="10768" w:type="dxa"/>
            <w:gridSpan w:val="3"/>
            <w:tcBorders>
              <w:top w:val="single" w:sz="4" w:space="0" w:color="auto"/>
              <w:left w:val="nil"/>
              <w:bottom w:val="nil"/>
              <w:right w:val="nil"/>
            </w:tcBorders>
            <w:tcMar>
              <w:left w:w="58" w:type="dxa"/>
              <w:right w:w="58" w:type="dxa"/>
            </w:tcMar>
            <w:vAlign w:val="bottom"/>
          </w:tcPr>
          <w:p w:rsidR="007378D7" w:rsidRDefault="007378D7" w:rsidP="001E1D15">
            <w:pPr>
              <w:tabs>
                <w:tab w:val="left" w:pos="197"/>
              </w:tabs>
              <w:ind w:left="197" w:hanging="197"/>
              <w:rPr>
                <w:iCs/>
                <w:color w:val="000000"/>
              </w:rPr>
            </w:pPr>
            <w:r w:rsidRPr="00160533">
              <w:rPr>
                <w:iCs/>
                <w:color w:val="000000"/>
              </w:rPr>
              <w:t>*</w:t>
            </w:r>
            <w:r>
              <w:rPr>
                <w:iCs/>
                <w:color w:val="000000"/>
              </w:rPr>
              <w:tab/>
            </w:r>
            <w:r w:rsidRPr="00160533">
              <w:rPr>
                <w:iCs/>
                <w:color w:val="000000"/>
              </w:rPr>
              <w:t>Adverse reactions were graded using NCI CTCAE version 4.0.</w:t>
            </w:r>
          </w:p>
          <w:p w:rsidR="00667008" w:rsidRDefault="00667008" w:rsidP="00667008">
            <w:pPr>
              <w:pStyle w:val="CommentText"/>
              <w:rPr>
                <w:iCs/>
                <w:color w:val="000000"/>
              </w:rPr>
            </w:pPr>
            <w:r>
              <w:rPr>
                <w:iCs/>
                <w:color w:val="000000"/>
              </w:rPr>
              <w:t xml:space="preserve">Abbreviations: </w:t>
            </w:r>
            <w:r>
              <w:t>NCI CTCAE=</w:t>
            </w:r>
            <w:r>
              <w:rPr>
                <w:color w:val="000000"/>
                <w:kern w:val="32"/>
                <w:lang w:val="en-GB"/>
              </w:rPr>
              <w:t>National Cancer Institute Common Terminology Criteria for Adverse Events; SOC=System organ class.</w:t>
            </w:r>
          </w:p>
          <w:p w:rsidR="007378D7" w:rsidRPr="00473286" w:rsidRDefault="007378D7" w:rsidP="001E1D15">
            <w:pPr>
              <w:tabs>
                <w:tab w:val="left" w:pos="197"/>
              </w:tabs>
              <w:ind w:left="197" w:hanging="197"/>
              <w:rPr>
                <w:color w:val="000000"/>
              </w:rPr>
            </w:pPr>
            <w:r w:rsidRPr="00103B33">
              <w:rPr>
                <w:iCs/>
                <w:vertAlign w:val="superscript"/>
              </w:rPr>
              <w:t>a</w:t>
            </w:r>
            <w:r w:rsidRPr="00473286">
              <w:rPr>
                <w:iCs/>
                <w:color w:val="000000"/>
              </w:rPr>
              <w:tab/>
              <w:t xml:space="preserve">Mood </w:t>
            </w:r>
            <w:r>
              <w:rPr>
                <w:iCs/>
                <w:color w:val="000000"/>
              </w:rPr>
              <w:t>effects</w:t>
            </w:r>
            <w:r w:rsidRPr="00473286">
              <w:rPr>
                <w:iCs/>
                <w:color w:val="000000"/>
              </w:rPr>
              <w:t xml:space="preserve"> (including affective disorder, affect lability, aggression, agitation, anxiety, depressed mood, depression, euphoric mood, irritability, mania, mood altered, mood swings, personality change</w:t>
            </w:r>
            <w:r>
              <w:rPr>
                <w:iCs/>
                <w:color w:val="000000"/>
              </w:rPr>
              <w:t xml:space="preserve">, stress, </w:t>
            </w:r>
            <w:r w:rsidR="00154BE5">
              <w:rPr>
                <w:iCs/>
                <w:color w:val="000000"/>
              </w:rPr>
              <w:t>suicidal ideation</w:t>
            </w:r>
            <w:r w:rsidRPr="00473286">
              <w:rPr>
                <w:iCs/>
                <w:color w:val="000000"/>
              </w:rPr>
              <w:t>)</w:t>
            </w:r>
            <w:r w:rsidRPr="00473286">
              <w:rPr>
                <w:color w:val="000000"/>
              </w:rPr>
              <w:t>.</w:t>
            </w:r>
          </w:p>
          <w:p w:rsidR="007378D7" w:rsidRPr="00473286" w:rsidRDefault="007378D7" w:rsidP="001E1D15">
            <w:pPr>
              <w:tabs>
                <w:tab w:val="left" w:pos="197"/>
              </w:tabs>
              <w:ind w:left="197" w:hanging="197"/>
              <w:rPr>
                <w:color w:val="000000"/>
              </w:rPr>
            </w:pPr>
            <w:r w:rsidRPr="00103B33">
              <w:rPr>
                <w:vertAlign w:val="superscript"/>
              </w:rPr>
              <w:t>b</w:t>
            </w:r>
            <w:r w:rsidRPr="00473286">
              <w:rPr>
                <w:color w:val="000000"/>
              </w:rPr>
              <w:tab/>
            </w:r>
            <w:r w:rsidRPr="00473286">
              <w:rPr>
                <w:iCs/>
                <w:color w:val="000000"/>
              </w:rPr>
              <w:t>Peripheral neuropathy (including burning sensation, carpal tunnel syndrome, dys</w:t>
            </w:r>
            <w:r>
              <w:rPr>
                <w:iCs/>
                <w:color w:val="000000"/>
              </w:rPr>
              <w:t>e</w:t>
            </w:r>
            <w:r w:rsidRPr="00473286">
              <w:rPr>
                <w:iCs/>
                <w:color w:val="000000"/>
              </w:rPr>
              <w:t>sthesia, formication, gait disturbance, hypo</w:t>
            </w:r>
            <w:r w:rsidR="006B6AB2">
              <w:rPr>
                <w:iCs/>
                <w:color w:val="000000"/>
              </w:rPr>
              <w:t>e</w:t>
            </w:r>
            <w:r w:rsidRPr="00473286">
              <w:rPr>
                <w:iCs/>
                <w:color w:val="000000"/>
              </w:rPr>
              <w:t>sthesia, muscular weakness, neuralgia, neuropathy peripheral, neurotoxicity, par</w:t>
            </w:r>
            <w:r w:rsidR="004D299B">
              <w:rPr>
                <w:iCs/>
                <w:color w:val="000000"/>
              </w:rPr>
              <w:t>e</w:t>
            </w:r>
            <w:r w:rsidRPr="00473286">
              <w:rPr>
                <w:iCs/>
                <w:color w:val="000000"/>
              </w:rPr>
              <w:t>sthesia, peripheral sensory neuropathy, sensory disturbance).</w:t>
            </w:r>
          </w:p>
          <w:p w:rsidR="007378D7" w:rsidRDefault="007378D7" w:rsidP="001E1D15">
            <w:pPr>
              <w:tabs>
                <w:tab w:val="left" w:pos="197"/>
              </w:tabs>
              <w:ind w:left="197" w:hanging="197"/>
              <w:rPr>
                <w:iCs/>
                <w:color w:val="000000"/>
              </w:rPr>
            </w:pPr>
            <w:r w:rsidRPr="00103B33">
              <w:rPr>
                <w:iCs/>
                <w:vertAlign w:val="superscript"/>
              </w:rPr>
              <w:t>c</w:t>
            </w:r>
            <w:r w:rsidRPr="00473286">
              <w:rPr>
                <w:iCs/>
                <w:color w:val="000000"/>
              </w:rPr>
              <w:tab/>
              <w:t xml:space="preserve">Cognitive </w:t>
            </w:r>
            <w:r>
              <w:rPr>
                <w:iCs/>
                <w:color w:val="000000"/>
              </w:rPr>
              <w:t xml:space="preserve">effects </w:t>
            </w:r>
            <w:r w:rsidRPr="00473286">
              <w:rPr>
                <w:iCs/>
                <w:color w:val="000000"/>
              </w:rPr>
              <w:t xml:space="preserve">(including events from SOC Nervous system disorders: amnesia, cognitive disorder, dementia, disturbance in attention, memory impairment, mental impairment; and also including events from SOC Psychiatric disorders: attention deficit/hyperactivity disorder, confusional state, delirium, </w:t>
            </w:r>
            <w:r w:rsidR="00A2525B">
              <w:rPr>
                <w:iCs/>
                <w:color w:val="000000"/>
              </w:rPr>
              <w:t xml:space="preserve">disorientation, </w:t>
            </w:r>
            <w:r w:rsidRPr="00473286">
              <w:rPr>
                <w:iCs/>
                <w:color w:val="000000"/>
              </w:rPr>
              <w:t xml:space="preserve">reading disorder). </w:t>
            </w:r>
          </w:p>
          <w:p w:rsidR="007378D7" w:rsidRDefault="007378D7" w:rsidP="001E1D15">
            <w:pPr>
              <w:tabs>
                <w:tab w:val="left" w:pos="197"/>
              </w:tabs>
              <w:ind w:left="197" w:hanging="197"/>
              <w:rPr>
                <w:iCs/>
                <w:color w:val="000000"/>
              </w:rPr>
            </w:pPr>
            <w:r w:rsidRPr="00103B33">
              <w:rPr>
                <w:iCs/>
                <w:color w:val="000000"/>
                <w:vertAlign w:val="superscript"/>
              </w:rPr>
              <w:t>d</w:t>
            </w:r>
            <w:r>
              <w:rPr>
                <w:iCs/>
                <w:color w:val="000000"/>
              </w:rPr>
              <w:tab/>
              <w:t>Speech effects (including aphasia, dysarthria, slow speech, speech disorder)</w:t>
            </w:r>
          </w:p>
          <w:p w:rsidR="007378D7" w:rsidRPr="00473286" w:rsidRDefault="007378D7" w:rsidP="001E1D15">
            <w:pPr>
              <w:tabs>
                <w:tab w:val="left" w:pos="197"/>
              </w:tabs>
              <w:ind w:left="197" w:hanging="197"/>
              <w:rPr>
                <w:iCs/>
                <w:color w:val="000000"/>
              </w:rPr>
            </w:pPr>
            <w:r w:rsidRPr="001F45B9">
              <w:rPr>
                <w:iCs/>
                <w:vertAlign w:val="superscript"/>
              </w:rPr>
              <w:t>e</w:t>
            </w:r>
            <w:r w:rsidR="00F424C7">
              <w:rPr>
                <w:iCs/>
              </w:rPr>
              <w:tab/>
            </w:r>
            <w:r>
              <w:rPr>
                <w:iCs/>
              </w:rPr>
              <w:t>Sleep effects (including abnormal dreams, insomnia, nightmare, sleep disorder, sleep talking, somnambulism)</w:t>
            </w:r>
          </w:p>
          <w:p w:rsidR="007378D7" w:rsidRPr="00473286" w:rsidRDefault="007378D7" w:rsidP="001E1D15">
            <w:pPr>
              <w:tabs>
                <w:tab w:val="left" w:pos="197"/>
              </w:tabs>
              <w:ind w:left="197" w:hanging="197"/>
              <w:rPr>
                <w:iCs/>
                <w:color w:val="000000"/>
              </w:rPr>
            </w:pPr>
            <w:r w:rsidRPr="001F45B9">
              <w:rPr>
                <w:iCs/>
                <w:vertAlign w:val="superscript"/>
              </w:rPr>
              <w:t>f</w:t>
            </w:r>
            <w:r w:rsidRPr="00473286">
              <w:rPr>
                <w:iCs/>
                <w:color w:val="000000"/>
                <w:vertAlign w:val="superscript"/>
              </w:rPr>
              <w:tab/>
            </w:r>
            <w:r w:rsidRPr="00473286">
              <w:rPr>
                <w:iCs/>
                <w:color w:val="000000"/>
              </w:rPr>
              <w:t>Vision disorder (including</w:t>
            </w:r>
            <w:r>
              <w:rPr>
                <w:iCs/>
                <w:color w:val="000000"/>
              </w:rPr>
              <w:t xml:space="preserve"> blindness,</w:t>
            </w:r>
            <w:r w:rsidRPr="00473286">
              <w:rPr>
                <w:iCs/>
                <w:color w:val="000000"/>
              </w:rPr>
              <w:t xml:space="preserve"> diplopia, photophobia, photopsia, vision blurred, visual acuity reduced, visual impairment, vitreous floaters).</w:t>
            </w:r>
          </w:p>
          <w:p w:rsidR="007378D7" w:rsidRDefault="007378D7" w:rsidP="001E1D15">
            <w:pPr>
              <w:tabs>
                <w:tab w:val="left" w:pos="197"/>
              </w:tabs>
              <w:ind w:left="202" w:hanging="197"/>
              <w:rPr>
                <w:iCs/>
                <w:color w:val="000000"/>
              </w:rPr>
            </w:pPr>
            <w:r w:rsidRPr="001F45B9">
              <w:rPr>
                <w:iCs/>
                <w:vertAlign w:val="superscript"/>
              </w:rPr>
              <w:t>g</w:t>
            </w:r>
            <w:r>
              <w:rPr>
                <w:iCs/>
                <w:color w:val="000000"/>
              </w:rPr>
              <w:tab/>
              <w:t>Myalgia (including musculoskeletal pain</w:t>
            </w:r>
            <w:r w:rsidR="00667008">
              <w:rPr>
                <w:iCs/>
                <w:color w:val="000000"/>
              </w:rPr>
              <w:t>, myalgia</w:t>
            </w:r>
            <w:r>
              <w:rPr>
                <w:iCs/>
                <w:color w:val="000000"/>
              </w:rPr>
              <w:t>).</w:t>
            </w:r>
          </w:p>
          <w:p w:rsidR="007378D7" w:rsidRPr="00473286" w:rsidRDefault="007378D7" w:rsidP="001E1D15">
            <w:pPr>
              <w:tabs>
                <w:tab w:val="left" w:pos="197"/>
              </w:tabs>
              <w:ind w:left="202" w:hanging="197"/>
              <w:rPr>
                <w:iCs/>
                <w:color w:val="000000"/>
              </w:rPr>
            </w:pPr>
            <w:r w:rsidRPr="001F45B9">
              <w:rPr>
                <w:iCs/>
                <w:vertAlign w:val="superscript"/>
              </w:rPr>
              <w:t>h</w:t>
            </w:r>
            <w:r>
              <w:rPr>
                <w:iCs/>
                <w:color w:val="000000"/>
              </w:rPr>
              <w:tab/>
            </w:r>
            <w:r w:rsidRPr="00473286">
              <w:rPr>
                <w:iCs/>
                <w:color w:val="000000"/>
              </w:rPr>
              <w:t xml:space="preserve">Edema (including </w:t>
            </w:r>
            <w:r w:rsidR="00667008" w:rsidRPr="00473286">
              <w:rPr>
                <w:iCs/>
                <w:color w:val="000000"/>
              </w:rPr>
              <w:t>edema, edema peripheral,</w:t>
            </w:r>
            <w:r w:rsidR="00667008">
              <w:rPr>
                <w:iCs/>
                <w:color w:val="000000"/>
              </w:rPr>
              <w:t xml:space="preserve"> </w:t>
            </w:r>
            <w:r>
              <w:rPr>
                <w:iCs/>
                <w:color w:val="000000"/>
              </w:rPr>
              <w:t xml:space="preserve">eyelid edema, face edema, </w:t>
            </w:r>
            <w:r w:rsidRPr="00473286">
              <w:rPr>
                <w:iCs/>
                <w:color w:val="000000"/>
              </w:rPr>
              <w:t>generali</w:t>
            </w:r>
            <w:r>
              <w:rPr>
                <w:iCs/>
                <w:color w:val="000000"/>
              </w:rPr>
              <w:t>z</w:t>
            </w:r>
            <w:r w:rsidRPr="00473286">
              <w:rPr>
                <w:iCs/>
                <w:color w:val="000000"/>
              </w:rPr>
              <w:t xml:space="preserve">ed edema, </w:t>
            </w:r>
            <w:r w:rsidR="00667008">
              <w:rPr>
                <w:iCs/>
                <w:color w:val="000000"/>
              </w:rPr>
              <w:t>localized edema,</w:t>
            </w:r>
            <w:r w:rsidR="00667008" w:rsidRPr="00473286">
              <w:rPr>
                <w:iCs/>
                <w:color w:val="000000"/>
              </w:rPr>
              <w:t xml:space="preserve"> </w:t>
            </w:r>
            <w:r>
              <w:rPr>
                <w:iCs/>
                <w:color w:val="000000"/>
              </w:rPr>
              <w:t>periorbital edema,</w:t>
            </w:r>
            <w:r w:rsidRPr="00473286">
              <w:rPr>
                <w:iCs/>
                <w:color w:val="000000"/>
              </w:rPr>
              <w:t xml:space="preserve"> peripheral swelling, swelling).</w:t>
            </w:r>
          </w:p>
          <w:p w:rsidR="007378D7" w:rsidRDefault="007378D7" w:rsidP="001E1D15">
            <w:pPr>
              <w:tabs>
                <w:tab w:val="left" w:pos="197"/>
              </w:tabs>
              <w:ind w:left="197" w:hanging="197"/>
              <w:rPr>
                <w:iCs/>
                <w:color w:val="000000"/>
              </w:rPr>
            </w:pPr>
            <w:r w:rsidRPr="001F45B9">
              <w:rPr>
                <w:vertAlign w:val="superscript"/>
              </w:rPr>
              <w:t>i</w:t>
            </w:r>
            <w:r w:rsidRPr="00473286">
              <w:rPr>
                <w:iCs/>
                <w:color w:val="000000"/>
                <w:vertAlign w:val="superscript"/>
              </w:rPr>
              <w:tab/>
            </w:r>
            <w:r w:rsidRPr="00473286">
              <w:rPr>
                <w:iCs/>
                <w:color w:val="000000"/>
              </w:rPr>
              <w:t>Fatigue (including asthenia, fatigue).</w:t>
            </w:r>
          </w:p>
          <w:p w:rsidR="007378D7" w:rsidRDefault="007378D7" w:rsidP="00160C7F">
            <w:pPr>
              <w:tabs>
                <w:tab w:val="left" w:pos="197"/>
              </w:tabs>
              <w:ind w:left="202" w:hanging="197"/>
              <w:rPr>
                <w:iCs/>
                <w:color w:val="000000"/>
              </w:rPr>
            </w:pPr>
            <w:r w:rsidRPr="001F45B9">
              <w:rPr>
                <w:iCs/>
                <w:vertAlign w:val="superscript"/>
              </w:rPr>
              <w:t>j</w:t>
            </w:r>
            <w:r w:rsidRPr="00160C7F">
              <w:rPr>
                <w:iCs/>
                <w:vertAlign w:val="superscript"/>
              </w:rPr>
              <w:tab/>
            </w:r>
            <w:r w:rsidRPr="00160C7F">
              <w:rPr>
                <w:iCs/>
                <w:color w:val="000000"/>
              </w:rPr>
              <w:t xml:space="preserve">Upper respiratory infection (including </w:t>
            </w:r>
            <w:r w:rsidR="00667008" w:rsidRPr="00160C7F">
              <w:rPr>
                <w:iCs/>
                <w:color w:val="000000"/>
              </w:rPr>
              <w:t xml:space="preserve">fungal upper respiratory infection, </w:t>
            </w:r>
            <w:r w:rsidRPr="00160C7F">
              <w:rPr>
                <w:iCs/>
                <w:color w:val="000000"/>
              </w:rPr>
              <w:t>upper respiratory infection, viral upper respiratory infection).</w:t>
            </w:r>
          </w:p>
          <w:p w:rsidR="00F424C7" w:rsidRPr="00BA102E" w:rsidRDefault="00D5276D" w:rsidP="00794C35">
            <w:pPr>
              <w:pStyle w:val="BodyTextIndent2"/>
              <w:tabs>
                <w:tab w:val="left" w:pos="197"/>
              </w:tabs>
              <w:spacing w:after="0" w:line="240" w:lineRule="auto"/>
              <w:ind w:left="270" w:hanging="270"/>
              <w:rPr>
                <w:sz w:val="24"/>
                <w:szCs w:val="24"/>
              </w:rPr>
            </w:pPr>
            <w:r>
              <w:rPr>
                <w:szCs w:val="24"/>
                <w:vertAlign w:val="superscript"/>
                <w:lang w:val="pt-BR"/>
              </w:rPr>
              <w:t>k</w:t>
            </w:r>
            <w:r w:rsidR="00F424C7">
              <w:rPr>
                <w:szCs w:val="24"/>
                <w:lang w:val="pt-BR"/>
              </w:rPr>
              <w:tab/>
            </w:r>
            <w:r w:rsidR="00F424C7" w:rsidRPr="00775EAE">
              <w:rPr>
                <w:szCs w:val="24"/>
                <w:lang w:val="pt-BR"/>
              </w:rPr>
              <w:t>Rash (including</w:t>
            </w:r>
            <w:r w:rsidR="00F424C7">
              <w:rPr>
                <w:szCs w:val="24"/>
                <w:lang w:val="pt-BR"/>
              </w:rPr>
              <w:t xml:space="preserve"> dermatitis acneiform,</w:t>
            </w:r>
            <w:r w:rsidR="00F424C7" w:rsidRPr="00775EAE">
              <w:rPr>
                <w:szCs w:val="24"/>
                <w:lang w:val="pt-BR"/>
              </w:rPr>
              <w:t xml:space="preserve"> maculopapular rash, pruritic rash</w:t>
            </w:r>
            <w:r w:rsidR="00667008">
              <w:rPr>
                <w:szCs w:val="24"/>
                <w:lang w:val="pt-BR"/>
              </w:rPr>
              <w:t>,</w:t>
            </w:r>
            <w:r w:rsidR="00667008" w:rsidRPr="00775EAE">
              <w:rPr>
                <w:szCs w:val="24"/>
                <w:lang w:val="pt-BR"/>
              </w:rPr>
              <w:t xml:space="preserve"> rash</w:t>
            </w:r>
            <w:r w:rsidR="00F424C7" w:rsidRPr="00775EAE">
              <w:rPr>
                <w:szCs w:val="24"/>
                <w:lang w:val="pt-BR"/>
              </w:rPr>
              <w:t>)</w:t>
            </w:r>
            <w:r w:rsidR="00F424C7">
              <w:rPr>
                <w:szCs w:val="24"/>
                <w:lang w:val="pt-BR"/>
              </w:rPr>
              <w:t>.</w:t>
            </w:r>
          </w:p>
        </w:tc>
      </w:tr>
    </w:tbl>
    <w:p w:rsidR="007378D7" w:rsidRDefault="007378D7" w:rsidP="001E1D15">
      <w:pPr>
        <w:pStyle w:val="BodyTextIndent2"/>
        <w:tabs>
          <w:tab w:val="left" w:pos="197"/>
        </w:tabs>
        <w:spacing w:after="0" w:line="240" w:lineRule="auto"/>
        <w:ind w:left="270" w:hanging="270"/>
        <w:rPr>
          <w:sz w:val="24"/>
          <w:szCs w:val="24"/>
          <w:lang w:val="pt-BR"/>
        </w:rPr>
      </w:pPr>
    </w:p>
    <w:p w:rsidR="0037788E" w:rsidRDefault="007378D7" w:rsidP="001E1D15">
      <w:pPr>
        <w:rPr>
          <w:sz w:val="24"/>
          <w:szCs w:val="24"/>
          <w:lang w:val="pt-BR"/>
        </w:rPr>
      </w:pPr>
      <w:r>
        <w:rPr>
          <w:sz w:val="24"/>
          <w:szCs w:val="24"/>
          <w:lang w:val="pt-BR"/>
        </w:rPr>
        <w:t>Additional clinically significant a</w:t>
      </w:r>
      <w:r w:rsidRPr="00416465">
        <w:rPr>
          <w:sz w:val="24"/>
          <w:szCs w:val="24"/>
          <w:lang w:val="pt-BR"/>
        </w:rPr>
        <w:t xml:space="preserve">dverse reactions occurring at an incidence between 1% and 10% </w:t>
      </w:r>
      <w:r>
        <w:rPr>
          <w:sz w:val="24"/>
          <w:szCs w:val="24"/>
          <w:lang w:val="pt-BR"/>
        </w:rPr>
        <w:t>were hallucinations (</w:t>
      </w:r>
      <w:r w:rsidR="008C5E9A">
        <w:rPr>
          <w:sz w:val="24"/>
          <w:szCs w:val="24"/>
          <w:lang w:val="pt-BR"/>
        </w:rPr>
        <w:t>7</w:t>
      </w:r>
      <w:r>
        <w:rPr>
          <w:sz w:val="24"/>
          <w:szCs w:val="24"/>
          <w:lang w:val="pt-BR"/>
        </w:rPr>
        <w:t>%)</w:t>
      </w:r>
      <w:r w:rsidRPr="00473286">
        <w:rPr>
          <w:sz w:val="24"/>
          <w:szCs w:val="24"/>
          <w:lang w:val="pt-BR"/>
        </w:rPr>
        <w:t>.</w:t>
      </w:r>
    </w:p>
    <w:p w:rsidR="001E1D15" w:rsidRPr="00416465" w:rsidRDefault="001E1D15" w:rsidP="001E1D15">
      <w:pPr>
        <w:rPr>
          <w:sz w:val="24"/>
          <w:szCs w:val="24"/>
          <w:lang w:val="pt-BR"/>
        </w:rPr>
      </w:pPr>
    </w:p>
    <w:tbl>
      <w:tblPr>
        <w:tblW w:w="1080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0"/>
        <w:gridCol w:w="3590"/>
        <w:gridCol w:w="3590"/>
      </w:tblGrid>
      <w:tr w:rsidR="002B467D" w:rsidRPr="00BA102E" w:rsidTr="00FB2F11">
        <w:trPr>
          <w:cantSplit/>
        </w:trPr>
        <w:tc>
          <w:tcPr>
            <w:tcW w:w="10800" w:type="dxa"/>
            <w:gridSpan w:val="3"/>
            <w:tcBorders>
              <w:top w:val="nil"/>
              <w:left w:val="nil"/>
              <w:bottom w:val="single" w:sz="4" w:space="0" w:color="auto"/>
              <w:right w:val="nil"/>
            </w:tcBorders>
            <w:tcMar>
              <w:left w:w="58" w:type="dxa"/>
              <w:right w:w="58" w:type="dxa"/>
            </w:tcMar>
            <w:vAlign w:val="center"/>
          </w:tcPr>
          <w:p w:rsidR="002B467D" w:rsidRPr="002B467D" w:rsidRDefault="002B467D" w:rsidP="001E1D15">
            <w:pPr>
              <w:keepNext/>
              <w:ind w:left="1112" w:hanging="1080"/>
              <w:rPr>
                <w:b/>
                <w:bCs/>
                <w:sz w:val="24"/>
                <w:szCs w:val="24"/>
              </w:rPr>
            </w:pPr>
            <w:r w:rsidRPr="002B467D">
              <w:rPr>
                <w:b/>
                <w:sz w:val="24"/>
                <w:szCs w:val="24"/>
              </w:rPr>
              <w:lastRenderedPageBreak/>
              <w:t xml:space="preserve">Table </w:t>
            </w:r>
            <w:r w:rsidR="00CE7098">
              <w:rPr>
                <w:b/>
                <w:sz w:val="24"/>
                <w:szCs w:val="24"/>
              </w:rPr>
              <w:t>3</w:t>
            </w:r>
            <w:r w:rsidRPr="002B467D">
              <w:rPr>
                <w:b/>
                <w:sz w:val="24"/>
                <w:szCs w:val="24"/>
              </w:rPr>
              <w:tab/>
            </w:r>
            <w:r w:rsidR="001D066C">
              <w:rPr>
                <w:b/>
                <w:sz w:val="24"/>
                <w:szCs w:val="24"/>
              </w:rPr>
              <w:t>Worsening</w:t>
            </w:r>
            <w:r w:rsidR="00F52347">
              <w:rPr>
                <w:b/>
                <w:sz w:val="24"/>
                <w:szCs w:val="24"/>
              </w:rPr>
              <w:t xml:space="preserve"> </w:t>
            </w:r>
            <w:r w:rsidR="001D066C">
              <w:rPr>
                <w:b/>
                <w:sz w:val="24"/>
                <w:szCs w:val="24"/>
              </w:rPr>
              <w:t xml:space="preserve">Laboratory Values Occurring in </w:t>
            </w:r>
            <w:r w:rsidR="00775EAE">
              <w:rPr>
                <w:b/>
                <w:sz w:val="24"/>
                <w:szCs w:val="24"/>
              </w:rPr>
              <w:t>≥</w:t>
            </w:r>
            <w:r w:rsidR="001D066C">
              <w:rPr>
                <w:b/>
                <w:sz w:val="24"/>
                <w:szCs w:val="24"/>
              </w:rPr>
              <w:t xml:space="preserve">20% of </w:t>
            </w:r>
            <w:r w:rsidRPr="002B467D">
              <w:rPr>
                <w:b/>
                <w:sz w:val="24"/>
                <w:szCs w:val="24"/>
              </w:rPr>
              <w:t xml:space="preserve">Patients in </w:t>
            </w:r>
            <w:r w:rsidR="007378D7">
              <w:rPr>
                <w:b/>
                <w:sz w:val="24"/>
                <w:szCs w:val="24"/>
              </w:rPr>
              <w:t xml:space="preserve">Study </w:t>
            </w:r>
            <w:r w:rsidR="007378D7" w:rsidRPr="00BA5143">
              <w:rPr>
                <w:b/>
                <w:sz w:val="24"/>
                <w:szCs w:val="24"/>
              </w:rPr>
              <w:t>B7461001</w:t>
            </w:r>
            <w:r w:rsidR="007F1D34">
              <w:rPr>
                <w:b/>
                <w:sz w:val="24"/>
                <w:szCs w:val="24"/>
              </w:rPr>
              <w:t>*</w:t>
            </w:r>
            <w:r w:rsidR="00C23823">
              <w:rPr>
                <w:b/>
                <w:sz w:val="24"/>
                <w:szCs w:val="24"/>
              </w:rPr>
              <w:t xml:space="preserve"> </w:t>
            </w:r>
          </w:p>
        </w:tc>
      </w:tr>
      <w:tr w:rsidR="002B4F73" w:rsidRPr="00BA102E" w:rsidTr="00FB2F11">
        <w:trPr>
          <w:cantSplit/>
        </w:trPr>
        <w:tc>
          <w:tcPr>
            <w:tcW w:w="3620" w:type="dxa"/>
            <w:vMerge w:val="restart"/>
            <w:tcBorders>
              <w:top w:val="single" w:sz="4" w:space="0" w:color="auto"/>
              <w:left w:val="single" w:sz="4" w:space="0" w:color="auto"/>
              <w:bottom w:val="single" w:sz="4" w:space="0" w:color="auto"/>
              <w:right w:val="single" w:sz="4" w:space="0" w:color="auto"/>
            </w:tcBorders>
            <w:tcMar>
              <w:left w:w="58" w:type="dxa"/>
              <w:right w:w="58" w:type="dxa"/>
            </w:tcMar>
            <w:vAlign w:val="center"/>
          </w:tcPr>
          <w:p w:rsidR="002B4F73" w:rsidRPr="00F947D1" w:rsidRDefault="002B4F73" w:rsidP="001E1D15">
            <w:pPr>
              <w:pStyle w:val="NDATableHeading9Left"/>
              <w:keepNext/>
              <w:spacing w:before="0" w:after="0"/>
              <w:jc w:val="center"/>
              <w:rPr>
                <w:rFonts w:ascii="Times New Roman" w:hAnsi="Times New Roman" w:cs="Times New Roman"/>
                <w:b/>
                <w:sz w:val="24"/>
              </w:rPr>
            </w:pPr>
            <w:bookmarkStart w:id="8" w:name="_Toc128065015"/>
            <w:r w:rsidRPr="00F947D1">
              <w:rPr>
                <w:rFonts w:ascii="Times New Roman" w:hAnsi="Times New Roman" w:cs="Times New Roman"/>
                <w:b/>
                <w:sz w:val="24"/>
              </w:rPr>
              <w:t>Laboratory Abnormality</w:t>
            </w:r>
          </w:p>
        </w:tc>
        <w:tc>
          <w:tcPr>
            <w:tcW w:w="7180" w:type="dxa"/>
            <w:gridSpan w:val="2"/>
            <w:tcBorders>
              <w:top w:val="single" w:sz="4" w:space="0" w:color="auto"/>
              <w:left w:val="single" w:sz="4" w:space="0" w:color="auto"/>
              <w:bottom w:val="single" w:sz="4" w:space="0" w:color="auto"/>
              <w:right w:val="single" w:sz="4" w:space="0" w:color="auto"/>
            </w:tcBorders>
            <w:tcMar>
              <w:left w:w="58" w:type="dxa"/>
              <w:right w:w="58" w:type="dxa"/>
            </w:tcMar>
            <w:vAlign w:val="center"/>
          </w:tcPr>
          <w:p w:rsidR="001D066C" w:rsidRPr="00BA102E" w:rsidRDefault="001A2032" w:rsidP="001E1D15">
            <w:pPr>
              <w:keepNext/>
              <w:tabs>
                <w:tab w:val="decimal" w:pos="482"/>
              </w:tabs>
              <w:jc w:val="center"/>
              <w:rPr>
                <w:b/>
                <w:bCs/>
                <w:sz w:val="24"/>
                <w:szCs w:val="24"/>
              </w:rPr>
            </w:pPr>
            <w:r>
              <w:rPr>
                <w:b/>
                <w:bCs/>
                <w:sz w:val="24"/>
                <w:szCs w:val="24"/>
              </w:rPr>
              <w:t>LORBRENA</w:t>
            </w:r>
          </w:p>
        </w:tc>
      </w:tr>
      <w:tr w:rsidR="002B4F73" w:rsidRPr="00BA102E" w:rsidTr="00FB2F11">
        <w:trPr>
          <w:cantSplit/>
        </w:trPr>
        <w:tc>
          <w:tcPr>
            <w:tcW w:w="3620" w:type="dxa"/>
            <w:vMerge/>
            <w:tcBorders>
              <w:top w:val="single" w:sz="4" w:space="0" w:color="auto"/>
              <w:left w:val="single" w:sz="4" w:space="0" w:color="auto"/>
              <w:bottom w:val="single" w:sz="4" w:space="0" w:color="auto"/>
              <w:right w:val="single" w:sz="4" w:space="0" w:color="auto"/>
            </w:tcBorders>
            <w:tcMar>
              <w:left w:w="58" w:type="dxa"/>
              <w:right w:w="58" w:type="dxa"/>
            </w:tcMar>
            <w:vAlign w:val="center"/>
          </w:tcPr>
          <w:p w:rsidR="002B4F73" w:rsidRDefault="002B4F73" w:rsidP="001E1D15">
            <w:pPr>
              <w:pStyle w:val="NDATableHeading9Left"/>
              <w:keepNext/>
              <w:spacing w:before="0" w:after="0"/>
              <w:jc w:val="center"/>
              <w:rPr>
                <w:rFonts w:ascii="Times New Roman" w:hAnsi="Times New Roman" w:cs="Times New Roman"/>
                <w:sz w:val="24"/>
              </w:rPr>
            </w:pPr>
          </w:p>
        </w:tc>
        <w:tc>
          <w:tcPr>
            <w:tcW w:w="3590"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rsidR="002B4F73" w:rsidRDefault="002B4F73" w:rsidP="001E1D15">
            <w:pPr>
              <w:keepNext/>
              <w:tabs>
                <w:tab w:val="decimal" w:pos="482"/>
              </w:tabs>
              <w:jc w:val="center"/>
              <w:rPr>
                <w:b/>
                <w:bCs/>
                <w:sz w:val="24"/>
                <w:szCs w:val="24"/>
              </w:rPr>
            </w:pPr>
            <w:r>
              <w:rPr>
                <w:b/>
                <w:bCs/>
                <w:sz w:val="24"/>
                <w:szCs w:val="24"/>
              </w:rPr>
              <w:t>A</w:t>
            </w:r>
            <w:r w:rsidR="00E12B83">
              <w:rPr>
                <w:b/>
                <w:bCs/>
                <w:sz w:val="24"/>
                <w:szCs w:val="24"/>
              </w:rPr>
              <w:t>ll</w:t>
            </w:r>
            <w:r>
              <w:rPr>
                <w:b/>
                <w:bCs/>
                <w:sz w:val="24"/>
                <w:szCs w:val="24"/>
              </w:rPr>
              <w:t xml:space="preserve"> Grade</w:t>
            </w:r>
            <w:r w:rsidR="00E12B83">
              <w:rPr>
                <w:b/>
                <w:bCs/>
                <w:sz w:val="24"/>
                <w:szCs w:val="24"/>
              </w:rPr>
              <w:t>s</w:t>
            </w:r>
          </w:p>
          <w:p w:rsidR="002B4F73" w:rsidRPr="00BA102E" w:rsidRDefault="002B4F73" w:rsidP="001E1D15">
            <w:pPr>
              <w:keepNext/>
              <w:tabs>
                <w:tab w:val="decimal" w:pos="-34"/>
              </w:tabs>
              <w:jc w:val="center"/>
              <w:rPr>
                <w:b/>
                <w:bCs/>
                <w:sz w:val="24"/>
                <w:szCs w:val="24"/>
              </w:rPr>
            </w:pPr>
            <w:r>
              <w:rPr>
                <w:b/>
                <w:bCs/>
                <w:sz w:val="24"/>
                <w:szCs w:val="24"/>
              </w:rPr>
              <w:t>(%)</w:t>
            </w:r>
          </w:p>
        </w:tc>
        <w:tc>
          <w:tcPr>
            <w:tcW w:w="3590"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rsidR="002B4F73" w:rsidRDefault="002B4F73" w:rsidP="001E1D15">
            <w:pPr>
              <w:keepNext/>
              <w:jc w:val="center"/>
              <w:rPr>
                <w:b/>
                <w:bCs/>
                <w:sz w:val="24"/>
                <w:szCs w:val="24"/>
              </w:rPr>
            </w:pPr>
            <w:r>
              <w:rPr>
                <w:b/>
                <w:bCs/>
                <w:sz w:val="24"/>
                <w:szCs w:val="24"/>
              </w:rPr>
              <w:t>Grade 3</w:t>
            </w:r>
            <w:r w:rsidR="006C0D43">
              <w:rPr>
                <w:b/>
                <w:bCs/>
                <w:sz w:val="24"/>
                <w:szCs w:val="24"/>
              </w:rPr>
              <w:t xml:space="preserve"> or </w:t>
            </w:r>
            <w:r>
              <w:rPr>
                <w:b/>
                <w:bCs/>
                <w:sz w:val="24"/>
                <w:szCs w:val="24"/>
              </w:rPr>
              <w:t>4</w:t>
            </w:r>
          </w:p>
          <w:p w:rsidR="002B4F73" w:rsidRPr="00BA102E" w:rsidRDefault="002B4F73" w:rsidP="001E1D15">
            <w:pPr>
              <w:keepNext/>
              <w:jc w:val="center"/>
              <w:rPr>
                <w:b/>
                <w:bCs/>
                <w:sz w:val="24"/>
                <w:szCs w:val="24"/>
              </w:rPr>
            </w:pPr>
            <w:r>
              <w:rPr>
                <w:b/>
                <w:bCs/>
                <w:sz w:val="24"/>
                <w:szCs w:val="24"/>
              </w:rPr>
              <w:t>(%)</w:t>
            </w:r>
          </w:p>
        </w:tc>
      </w:tr>
      <w:tr w:rsidR="00A32ABB" w:rsidRPr="00BA102E" w:rsidTr="00FB2F11">
        <w:trPr>
          <w:cantSplit/>
        </w:trPr>
        <w:tc>
          <w:tcPr>
            <w:tcW w:w="3620" w:type="dxa"/>
            <w:tcBorders>
              <w:top w:val="single" w:sz="4" w:space="0" w:color="auto"/>
              <w:left w:val="single" w:sz="4" w:space="0" w:color="auto"/>
              <w:bottom w:val="single" w:sz="4" w:space="0" w:color="auto"/>
              <w:right w:val="single" w:sz="4" w:space="0" w:color="auto"/>
            </w:tcBorders>
            <w:tcMar>
              <w:left w:w="58" w:type="dxa"/>
              <w:right w:w="58" w:type="dxa"/>
            </w:tcMar>
          </w:tcPr>
          <w:p w:rsidR="00A32ABB" w:rsidRPr="00EA526B" w:rsidRDefault="00A32ABB" w:rsidP="001E1D15">
            <w:pPr>
              <w:keepNext/>
              <w:rPr>
                <w:sz w:val="24"/>
              </w:rPr>
            </w:pPr>
            <w:r w:rsidRPr="00EA526B">
              <w:rPr>
                <w:sz w:val="24"/>
              </w:rPr>
              <w:t>Chemistry</w:t>
            </w:r>
          </w:p>
          <w:p w:rsidR="00A32ABB" w:rsidRDefault="00A32ABB" w:rsidP="001E1D15">
            <w:pPr>
              <w:keepNext/>
              <w:ind w:left="360"/>
              <w:rPr>
                <w:sz w:val="24"/>
              </w:rPr>
            </w:pPr>
            <w:r>
              <w:rPr>
                <w:sz w:val="24"/>
              </w:rPr>
              <w:t>Hypercholesterolemia</w:t>
            </w:r>
            <w:r w:rsidRPr="002B4F73">
              <w:rPr>
                <w:sz w:val="24"/>
                <w:vertAlign w:val="superscript"/>
              </w:rPr>
              <w:t>a</w:t>
            </w:r>
            <w:r w:rsidRPr="00416465">
              <w:rPr>
                <w:sz w:val="24"/>
              </w:rPr>
              <w:t xml:space="preserve"> </w:t>
            </w:r>
          </w:p>
          <w:p w:rsidR="00A32ABB" w:rsidRDefault="00A32ABB" w:rsidP="001E1D15">
            <w:pPr>
              <w:keepNext/>
              <w:ind w:left="360"/>
              <w:rPr>
                <w:sz w:val="24"/>
                <w:vertAlign w:val="superscript"/>
              </w:rPr>
            </w:pPr>
            <w:r>
              <w:rPr>
                <w:sz w:val="24"/>
              </w:rPr>
              <w:t>Hypertriglyceridemia</w:t>
            </w:r>
            <w:r w:rsidRPr="002B4F73">
              <w:rPr>
                <w:sz w:val="24"/>
                <w:vertAlign w:val="superscript"/>
              </w:rPr>
              <w:t>a</w:t>
            </w:r>
          </w:p>
          <w:p w:rsidR="00A32ABB" w:rsidRDefault="00A32ABB" w:rsidP="001E1D15">
            <w:pPr>
              <w:keepNext/>
              <w:ind w:left="360"/>
              <w:rPr>
                <w:szCs w:val="22"/>
                <w:vertAlign w:val="superscript"/>
              </w:rPr>
            </w:pPr>
            <w:r>
              <w:rPr>
                <w:sz w:val="24"/>
              </w:rPr>
              <w:t>Hyperglycemia</w:t>
            </w:r>
            <w:r>
              <w:rPr>
                <w:szCs w:val="22"/>
                <w:vertAlign w:val="superscript"/>
              </w:rPr>
              <w:t>b</w:t>
            </w:r>
          </w:p>
          <w:p w:rsidR="00A32ABB" w:rsidRDefault="00A32ABB" w:rsidP="001E1D15">
            <w:pPr>
              <w:keepNext/>
              <w:ind w:left="360"/>
              <w:rPr>
                <w:sz w:val="24"/>
                <w:szCs w:val="24"/>
              </w:rPr>
            </w:pPr>
            <w:r w:rsidRPr="00B73F58">
              <w:rPr>
                <w:sz w:val="24"/>
                <w:szCs w:val="24"/>
              </w:rPr>
              <w:t>Increased AST</w:t>
            </w:r>
            <w:r w:rsidRPr="002B4F73">
              <w:rPr>
                <w:sz w:val="24"/>
                <w:vertAlign w:val="superscript"/>
              </w:rPr>
              <w:t>a</w:t>
            </w:r>
          </w:p>
          <w:p w:rsidR="00A32ABB" w:rsidRDefault="00A32ABB" w:rsidP="001E1D15">
            <w:pPr>
              <w:keepNext/>
              <w:ind w:left="360"/>
              <w:rPr>
                <w:sz w:val="24"/>
                <w:szCs w:val="24"/>
              </w:rPr>
            </w:pPr>
            <w:r>
              <w:rPr>
                <w:sz w:val="24"/>
                <w:szCs w:val="24"/>
              </w:rPr>
              <w:t>Hypoalbuminemia</w:t>
            </w:r>
            <w:r>
              <w:rPr>
                <w:sz w:val="24"/>
                <w:szCs w:val="24"/>
                <w:vertAlign w:val="superscript"/>
              </w:rPr>
              <w:t>c</w:t>
            </w:r>
          </w:p>
          <w:p w:rsidR="00A32ABB" w:rsidRPr="001D066C" w:rsidRDefault="00A32ABB" w:rsidP="001E1D15">
            <w:pPr>
              <w:keepNext/>
              <w:ind w:left="360"/>
              <w:rPr>
                <w:sz w:val="24"/>
                <w:szCs w:val="24"/>
              </w:rPr>
            </w:pPr>
            <w:r>
              <w:rPr>
                <w:sz w:val="24"/>
                <w:szCs w:val="24"/>
              </w:rPr>
              <w:t>Increased ALT</w:t>
            </w:r>
            <w:r w:rsidRPr="002B4F73">
              <w:rPr>
                <w:sz w:val="24"/>
                <w:vertAlign w:val="superscript"/>
              </w:rPr>
              <w:t>a</w:t>
            </w:r>
          </w:p>
          <w:p w:rsidR="00A32ABB" w:rsidRDefault="00A32ABB" w:rsidP="001E1D15">
            <w:pPr>
              <w:keepNext/>
              <w:ind w:left="360"/>
              <w:rPr>
                <w:szCs w:val="22"/>
                <w:vertAlign w:val="superscript"/>
              </w:rPr>
            </w:pPr>
            <w:r>
              <w:rPr>
                <w:sz w:val="24"/>
              </w:rPr>
              <w:t>Increased lipase</w:t>
            </w:r>
            <w:r>
              <w:rPr>
                <w:szCs w:val="22"/>
                <w:vertAlign w:val="superscript"/>
              </w:rPr>
              <w:t>d</w:t>
            </w:r>
          </w:p>
          <w:p w:rsidR="00A32ABB" w:rsidRDefault="00A32ABB" w:rsidP="001E1D15">
            <w:pPr>
              <w:keepNext/>
              <w:ind w:left="360"/>
              <w:rPr>
                <w:sz w:val="24"/>
                <w:szCs w:val="24"/>
              </w:rPr>
            </w:pPr>
            <w:r>
              <w:rPr>
                <w:sz w:val="24"/>
                <w:szCs w:val="24"/>
              </w:rPr>
              <w:t>Increased alkaline phosphatase</w:t>
            </w:r>
            <w:r w:rsidRPr="002B4F73">
              <w:rPr>
                <w:sz w:val="24"/>
                <w:vertAlign w:val="superscript"/>
              </w:rPr>
              <w:t>a</w:t>
            </w:r>
          </w:p>
          <w:p w:rsidR="00A32ABB" w:rsidRDefault="00A32ABB" w:rsidP="001E1D15">
            <w:pPr>
              <w:keepNext/>
              <w:ind w:left="360"/>
              <w:rPr>
                <w:szCs w:val="22"/>
                <w:vertAlign w:val="superscript"/>
              </w:rPr>
            </w:pPr>
            <w:r>
              <w:rPr>
                <w:sz w:val="24"/>
                <w:szCs w:val="24"/>
              </w:rPr>
              <w:t>Increased amylase</w:t>
            </w:r>
            <w:r>
              <w:rPr>
                <w:szCs w:val="22"/>
                <w:vertAlign w:val="superscript"/>
              </w:rPr>
              <w:t>e</w:t>
            </w:r>
          </w:p>
          <w:p w:rsidR="00A32ABB" w:rsidRDefault="00A32ABB" w:rsidP="001E1D15">
            <w:pPr>
              <w:keepNext/>
              <w:ind w:left="360"/>
              <w:rPr>
                <w:sz w:val="24"/>
                <w:vertAlign w:val="superscript"/>
              </w:rPr>
            </w:pPr>
            <w:r w:rsidRPr="00F23F03">
              <w:rPr>
                <w:sz w:val="24"/>
              </w:rPr>
              <w:t>Hypophosphatemia</w:t>
            </w:r>
            <w:r w:rsidRPr="002B4F73">
              <w:rPr>
                <w:sz w:val="24"/>
                <w:vertAlign w:val="superscript"/>
              </w:rPr>
              <w:t>a</w:t>
            </w:r>
          </w:p>
          <w:p w:rsidR="00A32ABB" w:rsidRDefault="00A32ABB" w:rsidP="001E1D15">
            <w:pPr>
              <w:keepNext/>
              <w:ind w:left="360"/>
              <w:rPr>
                <w:sz w:val="24"/>
              </w:rPr>
            </w:pPr>
            <w:r>
              <w:rPr>
                <w:sz w:val="24"/>
              </w:rPr>
              <w:t>Hyperkalemia</w:t>
            </w:r>
            <w:r>
              <w:rPr>
                <w:szCs w:val="22"/>
                <w:vertAlign w:val="superscript"/>
              </w:rPr>
              <w:t>b</w:t>
            </w:r>
          </w:p>
          <w:p w:rsidR="00A32ABB" w:rsidRPr="00F23F03" w:rsidRDefault="00A32ABB" w:rsidP="001E1D15">
            <w:pPr>
              <w:keepNext/>
              <w:ind w:left="360"/>
              <w:rPr>
                <w:sz w:val="24"/>
              </w:rPr>
            </w:pPr>
            <w:r>
              <w:rPr>
                <w:sz w:val="24"/>
              </w:rPr>
              <w:t>Hypomagnesemia</w:t>
            </w:r>
            <w:r w:rsidRPr="002B4F73">
              <w:rPr>
                <w:sz w:val="24"/>
                <w:vertAlign w:val="superscript"/>
              </w:rPr>
              <w:t>a</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rsidR="00A32ABB" w:rsidRDefault="00A32ABB" w:rsidP="00B81EAE">
            <w:pPr>
              <w:keepNext/>
              <w:jc w:val="center"/>
              <w:rPr>
                <w:sz w:val="24"/>
                <w:szCs w:val="24"/>
              </w:rPr>
            </w:pPr>
          </w:p>
          <w:p w:rsidR="00A32ABB" w:rsidRPr="00416465" w:rsidRDefault="00A32ABB" w:rsidP="00B81EAE">
            <w:pPr>
              <w:keepNext/>
              <w:jc w:val="center"/>
              <w:rPr>
                <w:sz w:val="24"/>
                <w:szCs w:val="24"/>
              </w:rPr>
            </w:pPr>
            <w:r>
              <w:rPr>
                <w:sz w:val="24"/>
                <w:szCs w:val="24"/>
              </w:rPr>
              <w:t>96</w:t>
            </w:r>
          </w:p>
          <w:p w:rsidR="00A32ABB" w:rsidRPr="00416465" w:rsidRDefault="00A32ABB" w:rsidP="00B81EAE">
            <w:pPr>
              <w:keepNext/>
              <w:jc w:val="center"/>
              <w:rPr>
                <w:sz w:val="24"/>
                <w:szCs w:val="24"/>
              </w:rPr>
            </w:pPr>
            <w:r>
              <w:rPr>
                <w:sz w:val="24"/>
                <w:szCs w:val="24"/>
              </w:rPr>
              <w:t>90</w:t>
            </w:r>
          </w:p>
          <w:p w:rsidR="00A32ABB" w:rsidRDefault="00A32ABB" w:rsidP="00B81EAE">
            <w:pPr>
              <w:keepNext/>
              <w:jc w:val="center"/>
              <w:rPr>
                <w:sz w:val="24"/>
                <w:szCs w:val="24"/>
              </w:rPr>
            </w:pPr>
            <w:r>
              <w:rPr>
                <w:sz w:val="24"/>
                <w:szCs w:val="24"/>
              </w:rPr>
              <w:t>5</w:t>
            </w:r>
            <w:r w:rsidR="00794C35">
              <w:rPr>
                <w:sz w:val="24"/>
                <w:szCs w:val="24"/>
              </w:rPr>
              <w:t>2</w:t>
            </w:r>
          </w:p>
          <w:p w:rsidR="00A32ABB" w:rsidRDefault="00A32ABB" w:rsidP="00B81EAE">
            <w:pPr>
              <w:keepNext/>
              <w:jc w:val="center"/>
              <w:rPr>
                <w:sz w:val="24"/>
                <w:szCs w:val="24"/>
              </w:rPr>
            </w:pPr>
            <w:r>
              <w:rPr>
                <w:sz w:val="24"/>
                <w:szCs w:val="24"/>
              </w:rPr>
              <w:t>37</w:t>
            </w:r>
          </w:p>
          <w:p w:rsidR="00A32ABB" w:rsidRDefault="00A32ABB" w:rsidP="00B81EAE">
            <w:pPr>
              <w:keepNext/>
              <w:jc w:val="center"/>
              <w:rPr>
                <w:sz w:val="24"/>
                <w:szCs w:val="24"/>
              </w:rPr>
            </w:pPr>
            <w:r>
              <w:rPr>
                <w:sz w:val="24"/>
                <w:szCs w:val="24"/>
              </w:rPr>
              <w:t>33</w:t>
            </w:r>
          </w:p>
          <w:p w:rsidR="00A32ABB" w:rsidRDefault="00A32ABB" w:rsidP="00B81EAE">
            <w:pPr>
              <w:keepNext/>
              <w:jc w:val="center"/>
              <w:rPr>
                <w:sz w:val="24"/>
                <w:szCs w:val="24"/>
              </w:rPr>
            </w:pPr>
            <w:r>
              <w:rPr>
                <w:sz w:val="24"/>
                <w:szCs w:val="24"/>
              </w:rPr>
              <w:t>28</w:t>
            </w:r>
          </w:p>
          <w:p w:rsidR="00A32ABB" w:rsidRDefault="00A32ABB" w:rsidP="00B81EAE">
            <w:pPr>
              <w:keepNext/>
              <w:jc w:val="center"/>
              <w:rPr>
                <w:sz w:val="24"/>
                <w:szCs w:val="24"/>
              </w:rPr>
            </w:pPr>
            <w:r>
              <w:rPr>
                <w:sz w:val="24"/>
                <w:szCs w:val="24"/>
              </w:rPr>
              <w:t>24</w:t>
            </w:r>
          </w:p>
          <w:p w:rsidR="00A32ABB" w:rsidRDefault="00A32ABB" w:rsidP="00B81EAE">
            <w:pPr>
              <w:keepNext/>
              <w:jc w:val="center"/>
              <w:rPr>
                <w:sz w:val="24"/>
                <w:szCs w:val="24"/>
              </w:rPr>
            </w:pPr>
            <w:r>
              <w:rPr>
                <w:sz w:val="24"/>
                <w:szCs w:val="24"/>
              </w:rPr>
              <w:t>24</w:t>
            </w:r>
          </w:p>
          <w:p w:rsidR="00A32ABB" w:rsidRDefault="00F2611A" w:rsidP="00B81EAE">
            <w:pPr>
              <w:keepNext/>
              <w:jc w:val="center"/>
              <w:rPr>
                <w:sz w:val="24"/>
                <w:szCs w:val="24"/>
              </w:rPr>
            </w:pPr>
            <w:r>
              <w:rPr>
                <w:sz w:val="24"/>
                <w:szCs w:val="24"/>
              </w:rPr>
              <w:t>22</w:t>
            </w:r>
          </w:p>
          <w:p w:rsidR="00A32ABB" w:rsidRDefault="00A32ABB" w:rsidP="00B81EAE">
            <w:pPr>
              <w:keepNext/>
              <w:jc w:val="center"/>
              <w:rPr>
                <w:sz w:val="24"/>
                <w:szCs w:val="24"/>
              </w:rPr>
            </w:pPr>
            <w:r>
              <w:rPr>
                <w:sz w:val="24"/>
                <w:szCs w:val="24"/>
              </w:rPr>
              <w:t>21</w:t>
            </w:r>
          </w:p>
          <w:p w:rsidR="00A32ABB" w:rsidRDefault="00A32ABB" w:rsidP="00B81EAE">
            <w:pPr>
              <w:keepNext/>
              <w:jc w:val="center"/>
              <w:rPr>
                <w:sz w:val="24"/>
                <w:szCs w:val="24"/>
              </w:rPr>
            </w:pPr>
            <w:r>
              <w:rPr>
                <w:sz w:val="24"/>
                <w:szCs w:val="24"/>
              </w:rPr>
              <w:t>21</w:t>
            </w:r>
          </w:p>
          <w:p w:rsidR="00A32ABB" w:rsidRPr="00416465" w:rsidRDefault="00A32ABB" w:rsidP="00B81EAE">
            <w:pPr>
              <w:keepNext/>
              <w:jc w:val="center"/>
              <w:rPr>
                <w:sz w:val="24"/>
                <w:szCs w:val="24"/>
              </w:rPr>
            </w:pPr>
            <w:r>
              <w:rPr>
                <w:sz w:val="24"/>
                <w:szCs w:val="24"/>
              </w:rPr>
              <w:t>21</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rsidR="00A32ABB" w:rsidRDefault="00A32ABB" w:rsidP="00B81EAE">
            <w:pPr>
              <w:keepNext/>
              <w:jc w:val="center"/>
              <w:rPr>
                <w:sz w:val="24"/>
                <w:szCs w:val="24"/>
              </w:rPr>
            </w:pPr>
          </w:p>
          <w:p w:rsidR="00A32ABB" w:rsidRPr="00416465" w:rsidRDefault="00A32ABB" w:rsidP="00B81EAE">
            <w:pPr>
              <w:keepNext/>
              <w:jc w:val="center"/>
              <w:rPr>
                <w:sz w:val="24"/>
                <w:szCs w:val="24"/>
              </w:rPr>
            </w:pPr>
            <w:r>
              <w:rPr>
                <w:sz w:val="24"/>
                <w:szCs w:val="24"/>
              </w:rPr>
              <w:t>18</w:t>
            </w:r>
          </w:p>
          <w:p w:rsidR="00A32ABB" w:rsidRPr="00416465" w:rsidRDefault="00A32ABB" w:rsidP="00B81EAE">
            <w:pPr>
              <w:keepNext/>
              <w:jc w:val="center"/>
              <w:rPr>
                <w:sz w:val="24"/>
                <w:szCs w:val="24"/>
              </w:rPr>
            </w:pPr>
            <w:r>
              <w:rPr>
                <w:sz w:val="24"/>
                <w:szCs w:val="24"/>
              </w:rPr>
              <w:t>18</w:t>
            </w:r>
          </w:p>
          <w:p w:rsidR="00A32ABB" w:rsidRDefault="00A32ABB" w:rsidP="00B81EAE">
            <w:pPr>
              <w:keepNext/>
              <w:jc w:val="center"/>
              <w:rPr>
                <w:sz w:val="24"/>
                <w:szCs w:val="24"/>
              </w:rPr>
            </w:pPr>
            <w:r>
              <w:rPr>
                <w:sz w:val="24"/>
                <w:szCs w:val="24"/>
              </w:rPr>
              <w:t>5</w:t>
            </w:r>
          </w:p>
          <w:p w:rsidR="00A32ABB" w:rsidRDefault="00A32ABB" w:rsidP="00B81EAE">
            <w:pPr>
              <w:keepNext/>
              <w:jc w:val="center"/>
              <w:rPr>
                <w:sz w:val="24"/>
                <w:szCs w:val="24"/>
              </w:rPr>
            </w:pPr>
            <w:r>
              <w:rPr>
                <w:sz w:val="24"/>
                <w:szCs w:val="24"/>
              </w:rPr>
              <w:t>2.1</w:t>
            </w:r>
          </w:p>
          <w:p w:rsidR="00A32ABB" w:rsidRDefault="00A32ABB" w:rsidP="00B81EAE">
            <w:pPr>
              <w:keepNext/>
              <w:jc w:val="center"/>
              <w:rPr>
                <w:sz w:val="24"/>
                <w:szCs w:val="24"/>
              </w:rPr>
            </w:pPr>
            <w:r>
              <w:rPr>
                <w:sz w:val="24"/>
                <w:szCs w:val="24"/>
              </w:rPr>
              <w:t>1.0</w:t>
            </w:r>
          </w:p>
          <w:p w:rsidR="00A32ABB" w:rsidRDefault="00A32ABB" w:rsidP="00B81EAE">
            <w:pPr>
              <w:keepNext/>
              <w:jc w:val="center"/>
              <w:rPr>
                <w:sz w:val="24"/>
                <w:szCs w:val="24"/>
              </w:rPr>
            </w:pPr>
            <w:r>
              <w:rPr>
                <w:sz w:val="24"/>
                <w:szCs w:val="24"/>
              </w:rPr>
              <w:t>2.1</w:t>
            </w:r>
          </w:p>
          <w:p w:rsidR="00A32ABB" w:rsidRDefault="00A32ABB" w:rsidP="00B81EAE">
            <w:pPr>
              <w:keepNext/>
              <w:jc w:val="center"/>
              <w:rPr>
                <w:sz w:val="24"/>
                <w:szCs w:val="24"/>
              </w:rPr>
            </w:pPr>
            <w:r>
              <w:rPr>
                <w:sz w:val="24"/>
                <w:szCs w:val="24"/>
              </w:rPr>
              <w:t>10</w:t>
            </w:r>
          </w:p>
          <w:p w:rsidR="00A32ABB" w:rsidRDefault="00A32ABB" w:rsidP="00B81EAE">
            <w:pPr>
              <w:keepNext/>
              <w:jc w:val="center"/>
              <w:rPr>
                <w:sz w:val="24"/>
                <w:szCs w:val="24"/>
              </w:rPr>
            </w:pPr>
            <w:r>
              <w:rPr>
                <w:sz w:val="24"/>
                <w:szCs w:val="24"/>
              </w:rPr>
              <w:t>1.0</w:t>
            </w:r>
          </w:p>
          <w:p w:rsidR="00A32ABB" w:rsidRDefault="00A32ABB" w:rsidP="00B81EAE">
            <w:pPr>
              <w:keepNext/>
              <w:jc w:val="center"/>
              <w:rPr>
                <w:sz w:val="24"/>
                <w:szCs w:val="24"/>
              </w:rPr>
            </w:pPr>
            <w:r>
              <w:rPr>
                <w:sz w:val="24"/>
                <w:szCs w:val="24"/>
              </w:rPr>
              <w:t>3.</w:t>
            </w:r>
            <w:r w:rsidR="00FF36B5">
              <w:rPr>
                <w:sz w:val="24"/>
                <w:szCs w:val="24"/>
              </w:rPr>
              <w:t>9</w:t>
            </w:r>
          </w:p>
          <w:p w:rsidR="00A32ABB" w:rsidRDefault="00A32ABB" w:rsidP="00B81EAE">
            <w:pPr>
              <w:keepNext/>
              <w:jc w:val="center"/>
              <w:rPr>
                <w:sz w:val="24"/>
                <w:szCs w:val="24"/>
              </w:rPr>
            </w:pPr>
            <w:r>
              <w:rPr>
                <w:sz w:val="24"/>
                <w:szCs w:val="24"/>
              </w:rPr>
              <w:t>4.8</w:t>
            </w:r>
          </w:p>
          <w:p w:rsidR="00A32ABB" w:rsidRDefault="00A32ABB" w:rsidP="00B81EAE">
            <w:pPr>
              <w:keepNext/>
              <w:jc w:val="center"/>
              <w:rPr>
                <w:sz w:val="24"/>
                <w:szCs w:val="24"/>
              </w:rPr>
            </w:pPr>
            <w:r>
              <w:rPr>
                <w:sz w:val="24"/>
                <w:szCs w:val="24"/>
              </w:rPr>
              <w:t>1.0</w:t>
            </w:r>
          </w:p>
          <w:p w:rsidR="00A32ABB" w:rsidRPr="00416465" w:rsidRDefault="00A32ABB" w:rsidP="00B81EAE">
            <w:pPr>
              <w:keepNext/>
              <w:jc w:val="center"/>
              <w:rPr>
                <w:sz w:val="24"/>
                <w:szCs w:val="24"/>
              </w:rPr>
            </w:pPr>
            <w:r>
              <w:rPr>
                <w:sz w:val="24"/>
                <w:szCs w:val="24"/>
              </w:rPr>
              <w:t>0</w:t>
            </w:r>
          </w:p>
        </w:tc>
      </w:tr>
      <w:tr w:rsidR="00A32ABB" w:rsidRPr="00BA102E" w:rsidTr="00FB2F11">
        <w:trPr>
          <w:cantSplit/>
        </w:trPr>
        <w:tc>
          <w:tcPr>
            <w:tcW w:w="3620" w:type="dxa"/>
            <w:tcBorders>
              <w:top w:val="single" w:sz="4" w:space="0" w:color="auto"/>
              <w:left w:val="single" w:sz="4" w:space="0" w:color="auto"/>
              <w:bottom w:val="single" w:sz="4" w:space="0" w:color="auto"/>
              <w:right w:val="single" w:sz="4" w:space="0" w:color="auto"/>
            </w:tcBorders>
            <w:tcMar>
              <w:left w:w="58" w:type="dxa"/>
              <w:right w:w="58" w:type="dxa"/>
            </w:tcMar>
          </w:tcPr>
          <w:p w:rsidR="00A32ABB" w:rsidRPr="00EA526B" w:rsidRDefault="00A32ABB" w:rsidP="001E1D15">
            <w:pPr>
              <w:rPr>
                <w:sz w:val="24"/>
              </w:rPr>
            </w:pPr>
            <w:r w:rsidRPr="00EA526B">
              <w:rPr>
                <w:sz w:val="24"/>
              </w:rPr>
              <w:t xml:space="preserve">Hematology </w:t>
            </w:r>
          </w:p>
          <w:p w:rsidR="00A32ABB" w:rsidRDefault="00A32ABB" w:rsidP="001E1D15">
            <w:pPr>
              <w:ind w:firstLine="392"/>
              <w:rPr>
                <w:szCs w:val="22"/>
                <w:vertAlign w:val="superscript"/>
              </w:rPr>
            </w:pPr>
            <w:r>
              <w:rPr>
                <w:sz w:val="24"/>
              </w:rPr>
              <w:t>Anemia</w:t>
            </w:r>
            <w:r>
              <w:rPr>
                <w:szCs w:val="22"/>
                <w:vertAlign w:val="superscript"/>
              </w:rPr>
              <w:t>b</w:t>
            </w:r>
          </w:p>
          <w:p w:rsidR="00A32ABB" w:rsidRPr="00F23F03" w:rsidRDefault="00A32ABB" w:rsidP="001E1D15">
            <w:pPr>
              <w:ind w:firstLine="392"/>
              <w:rPr>
                <w:sz w:val="24"/>
              </w:rPr>
            </w:pPr>
            <w:r>
              <w:rPr>
                <w:sz w:val="24"/>
              </w:rPr>
              <w:t>Thrombocytopenia</w:t>
            </w:r>
            <w:r w:rsidRPr="00F23F03">
              <w:rPr>
                <w:sz w:val="24"/>
                <w:vertAlign w:val="superscript"/>
              </w:rPr>
              <w:t>b</w:t>
            </w:r>
          </w:p>
          <w:p w:rsidR="00A32ABB" w:rsidRPr="0037788E" w:rsidRDefault="00A32ABB" w:rsidP="001E1D15">
            <w:pPr>
              <w:ind w:firstLine="392"/>
              <w:rPr>
                <w:sz w:val="24"/>
              </w:rPr>
            </w:pPr>
            <w:r w:rsidRPr="00F23F03">
              <w:rPr>
                <w:sz w:val="24"/>
              </w:rPr>
              <w:t>Lympho</w:t>
            </w:r>
            <w:r>
              <w:rPr>
                <w:sz w:val="24"/>
              </w:rPr>
              <w:t>penia</w:t>
            </w:r>
            <w:r w:rsidRPr="00F23F03">
              <w:rPr>
                <w:sz w:val="24"/>
                <w:vertAlign w:val="superscript"/>
              </w:rPr>
              <w:t>a</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rsidR="00A32ABB" w:rsidRDefault="00A32ABB" w:rsidP="00B81EAE">
            <w:pPr>
              <w:tabs>
                <w:tab w:val="center" w:pos="882"/>
                <w:tab w:val="right" w:pos="1764"/>
              </w:tabs>
              <w:jc w:val="center"/>
              <w:rPr>
                <w:sz w:val="24"/>
                <w:szCs w:val="24"/>
              </w:rPr>
            </w:pPr>
          </w:p>
          <w:p w:rsidR="00A32ABB" w:rsidRDefault="00A32ABB" w:rsidP="00B81EAE">
            <w:pPr>
              <w:tabs>
                <w:tab w:val="center" w:pos="882"/>
                <w:tab w:val="right" w:pos="1764"/>
              </w:tabs>
              <w:jc w:val="center"/>
              <w:rPr>
                <w:sz w:val="24"/>
                <w:szCs w:val="24"/>
              </w:rPr>
            </w:pPr>
            <w:r>
              <w:rPr>
                <w:sz w:val="24"/>
                <w:szCs w:val="24"/>
              </w:rPr>
              <w:t>52</w:t>
            </w:r>
          </w:p>
          <w:p w:rsidR="00A32ABB" w:rsidRPr="00711B89" w:rsidRDefault="00A32ABB" w:rsidP="00B81EAE">
            <w:pPr>
              <w:tabs>
                <w:tab w:val="center" w:pos="882"/>
                <w:tab w:val="right" w:pos="1764"/>
              </w:tabs>
              <w:jc w:val="center"/>
              <w:rPr>
                <w:sz w:val="24"/>
                <w:szCs w:val="24"/>
              </w:rPr>
            </w:pPr>
            <w:r>
              <w:rPr>
                <w:sz w:val="24"/>
                <w:szCs w:val="24"/>
              </w:rPr>
              <w:t>23</w:t>
            </w:r>
          </w:p>
          <w:p w:rsidR="00A32ABB" w:rsidRPr="00416465" w:rsidRDefault="00A32ABB" w:rsidP="00B81EAE">
            <w:pPr>
              <w:tabs>
                <w:tab w:val="center" w:pos="882"/>
                <w:tab w:val="right" w:pos="1764"/>
              </w:tabs>
              <w:jc w:val="center"/>
              <w:rPr>
                <w:sz w:val="24"/>
                <w:szCs w:val="24"/>
              </w:rPr>
            </w:pPr>
            <w:r>
              <w:rPr>
                <w:sz w:val="24"/>
                <w:szCs w:val="24"/>
              </w:rPr>
              <w:t>22</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rsidR="00A32ABB" w:rsidRDefault="00A32ABB" w:rsidP="00B81EAE">
            <w:pPr>
              <w:jc w:val="center"/>
              <w:rPr>
                <w:sz w:val="24"/>
                <w:szCs w:val="24"/>
              </w:rPr>
            </w:pPr>
          </w:p>
          <w:p w:rsidR="00A32ABB" w:rsidRDefault="00A32ABB" w:rsidP="00B81EAE">
            <w:pPr>
              <w:jc w:val="center"/>
              <w:rPr>
                <w:sz w:val="24"/>
                <w:szCs w:val="24"/>
              </w:rPr>
            </w:pPr>
            <w:r>
              <w:rPr>
                <w:sz w:val="24"/>
                <w:szCs w:val="24"/>
              </w:rPr>
              <w:t>4.8</w:t>
            </w:r>
          </w:p>
          <w:p w:rsidR="00A32ABB" w:rsidRPr="00711B89" w:rsidRDefault="00A32ABB" w:rsidP="00B81EAE">
            <w:pPr>
              <w:jc w:val="center"/>
              <w:rPr>
                <w:sz w:val="24"/>
                <w:szCs w:val="24"/>
              </w:rPr>
            </w:pPr>
            <w:r w:rsidRPr="00711B89">
              <w:rPr>
                <w:sz w:val="24"/>
                <w:szCs w:val="24"/>
              </w:rPr>
              <w:t>0.3</w:t>
            </w:r>
          </w:p>
          <w:p w:rsidR="00A32ABB" w:rsidRPr="00416465" w:rsidRDefault="0031279D" w:rsidP="00B81EAE">
            <w:pPr>
              <w:jc w:val="center"/>
              <w:rPr>
                <w:sz w:val="24"/>
                <w:szCs w:val="24"/>
              </w:rPr>
            </w:pPr>
            <w:r>
              <w:rPr>
                <w:sz w:val="24"/>
                <w:szCs w:val="24"/>
              </w:rPr>
              <w:t>3.4</w:t>
            </w:r>
          </w:p>
        </w:tc>
      </w:tr>
      <w:tr w:rsidR="00DC5A48" w:rsidRPr="00BA102E" w:rsidTr="00FB2F11">
        <w:trPr>
          <w:cantSplit/>
        </w:trPr>
        <w:tc>
          <w:tcPr>
            <w:tcW w:w="10800" w:type="dxa"/>
            <w:gridSpan w:val="3"/>
            <w:tcBorders>
              <w:top w:val="single" w:sz="4" w:space="0" w:color="auto"/>
              <w:left w:val="nil"/>
              <w:bottom w:val="nil"/>
              <w:right w:val="nil"/>
            </w:tcBorders>
            <w:tcMar>
              <w:left w:w="58" w:type="dxa"/>
              <w:right w:w="58" w:type="dxa"/>
            </w:tcMar>
          </w:tcPr>
          <w:p w:rsidR="007F1D34" w:rsidRDefault="007F1D34" w:rsidP="00C060CA">
            <w:pPr>
              <w:tabs>
                <w:tab w:val="left" w:pos="228"/>
              </w:tabs>
              <w:rPr>
                <w:szCs w:val="22"/>
              </w:rPr>
            </w:pPr>
            <w:r>
              <w:rPr>
                <w:szCs w:val="22"/>
              </w:rPr>
              <w:t>*</w:t>
            </w:r>
            <w:r w:rsidR="00C060CA">
              <w:rPr>
                <w:szCs w:val="22"/>
              </w:rPr>
              <w:tab/>
            </w:r>
            <w:r>
              <w:rPr>
                <w:szCs w:val="22"/>
              </w:rPr>
              <w:t xml:space="preserve">Grades </w:t>
            </w:r>
            <w:r w:rsidR="006845AE">
              <w:rPr>
                <w:szCs w:val="22"/>
              </w:rPr>
              <w:t>using</w:t>
            </w:r>
            <w:r>
              <w:rPr>
                <w:szCs w:val="22"/>
              </w:rPr>
              <w:t xml:space="preserve"> NCI CTCAE version 4.0.</w:t>
            </w:r>
          </w:p>
          <w:p w:rsidR="007F1D34" w:rsidRDefault="007F1D34" w:rsidP="001E1D15">
            <w:pPr>
              <w:rPr>
                <w:szCs w:val="22"/>
              </w:rPr>
            </w:pPr>
            <w:r>
              <w:t>Abbreviations: ALT=alanine aminotransferase; AST=aspartate aminotransferase</w:t>
            </w:r>
            <w:r>
              <w:rPr>
                <w:szCs w:val="22"/>
              </w:rPr>
              <w:t>;</w:t>
            </w:r>
            <w:r w:rsidRPr="00A83F81">
              <w:rPr>
                <w:szCs w:val="22"/>
              </w:rPr>
              <w:t xml:space="preserve"> </w:t>
            </w:r>
            <w:r>
              <w:t>NCI CTCAE=</w:t>
            </w:r>
            <w:r>
              <w:rPr>
                <w:color w:val="000000"/>
                <w:kern w:val="32"/>
                <w:lang w:val="en-GB"/>
              </w:rPr>
              <w:t>National Cancer Institute Common Terminology Criteria for Adverse Events</w:t>
            </w:r>
            <w:r w:rsidR="009C3647">
              <w:rPr>
                <w:color w:val="000000"/>
                <w:kern w:val="32"/>
                <w:lang w:val="en-GB"/>
              </w:rPr>
              <w:t>.</w:t>
            </w:r>
          </w:p>
          <w:p w:rsidR="009C3647" w:rsidRDefault="004D299B" w:rsidP="00C060CA">
            <w:pPr>
              <w:tabs>
                <w:tab w:val="left" w:pos="202"/>
              </w:tabs>
              <w:rPr>
                <w:szCs w:val="22"/>
              </w:rPr>
            </w:pPr>
            <w:r w:rsidRPr="00C060CA">
              <w:rPr>
                <w:szCs w:val="22"/>
              </w:rPr>
              <w:t>N=number of patients who had at least one on</w:t>
            </w:r>
            <w:r w:rsidRPr="00C060CA">
              <w:rPr>
                <w:szCs w:val="22"/>
              </w:rPr>
              <w:noBreakHyphen/>
              <w:t xml:space="preserve">study assessment for the parameter of interest. </w:t>
            </w:r>
          </w:p>
          <w:p w:rsidR="00DC5A48" w:rsidRDefault="00DC5A48" w:rsidP="00C060CA">
            <w:pPr>
              <w:tabs>
                <w:tab w:val="left" w:pos="202"/>
              </w:tabs>
              <w:rPr>
                <w:szCs w:val="22"/>
              </w:rPr>
            </w:pPr>
            <w:r w:rsidRPr="002B4F73">
              <w:rPr>
                <w:szCs w:val="22"/>
                <w:vertAlign w:val="superscript"/>
              </w:rPr>
              <w:t>a</w:t>
            </w:r>
            <w:r w:rsidRPr="00C060CA">
              <w:rPr>
                <w:szCs w:val="22"/>
                <w:vertAlign w:val="superscript"/>
              </w:rPr>
              <w:tab/>
            </w:r>
            <w:r w:rsidRPr="006845AE">
              <w:rPr>
                <w:szCs w:val="22"/>
              </w:rPr>
              <w:t>N=292.</w:t>
            </w:r>
          </w:p>
          <w:p w:rsidR="00DC5A48" w:rsidRDefault="00DC5A48" w:rsidP="001E1D15">
            <w:pPr>
              <w:tabs>
                <w:tab w:val="left" w:pos="202"/>
              </w:tabs>
              <w:rPr>
                <w:szCs w:val="22"/>
              </w:rPr>
            </w:pPr>
            <w:r>
              <w:rPr>
                <w:szCs w:val="22"/>
                <w:vertAlign w:val="superscript"/>
              </w:rPr>
              <w:t>b</w:t>
            </w:r>
            <w:r w:rsidRPr="002323AF">
              <w:rPr>
                <w:iCs/>
                <w:color w:val="000000"/>
              </w:rPr>
              <w:tab/>
            </w:r>
            <w:r>
              <w:rPr>
                <w:szCs w:val="22"/>
              </w:rPr>
              <w:t>N=293.</w:t>
            </w:r>
          </w:p>
          <w:p w:rsidR="00DC5A48" w:rsidRDefault="00DC5A48" w:rsidP="001E1D15">
            <w:pPr>
              <w:tabs>
                <w:tab w:val="left" w:pos="202"/>
              </w:tabs>
              <w:rPr>
                <w:szCs w:val="22"/>
              </w:rPr>
            </w:pPr>
            <w:r>
              <w:rPr>
                <w:szCs w:val="22"/>
                <w:vertAlign w:val="superscript"/>
              </w:rPr>
              <w:t>c</w:t>
            </w:r>
            <w:r w:rsidRPr="002323AF">
              <w:rPr>
                <w:iCs/>
                <w:color w:val="000000"/>
              </w:rPr>
              <w:tab/>
            </w:r>
            <w:r>
              <w:rPr>
                <w:szCs w:val="22"/>
              </w:rPr>
              <w:t>N=</w:t>
            </w:r>
            <w:r w:rsidR="000C323E">
              <w:rPr>
                <w:szCs w:val="22"/>
              </w:rPr>
              <w:t>291</w:t>
            </w:r>
            <w:r>
              <w:rPr>
                <w:szCs w:val="22"/>
              </w:rPr>
              <w:t>.</w:t>
            </w:r>
          </w:p>
          <w:p w:rsidR="00DC5A48" w:rsidRDefault="00DC5A48" w:rsidP="001E1D15">
            <w:pPr>
              <w:tabs>
                <w:tab w:val="left" w:pos="212"/>
              </w:tabs>
              <w:rPr>
                <w:szCs w:val="22"/>
              </w:rPr>
            </w:pPr>
            <w:r>
              <w:rPr>
                <w:szCs w:val="22"/>
                <w:vertAlign w:val="superscript"/>
              </w:rPr>
              <w:t>d</w:t>
            </w:r>
            <w:r w:rsidRPr="002323AF">
              <w:rPr>
                <w:iCs/>
                <w:color w:val="000000"/>
              </w:rPr>
              <w:tab/>
            </w:r>
            <w:r>
              <w:rPr>
                <w:szCs w:val="22"/>
              </w:rPr>
              <w:t>N=</w:t>
            </w:r>
            <w:r w:rsidR="000C323E">
              <w:rPr>
                <w:szCs w:val="22"/>
              </w:rPr>
              <w:t>290</w:t>
            </w:r>
            <w:r>
              <w:rPr>
                <w:szCs w:val="22"/>
              </w:rPr>
              <w:t>.</w:t>
            </w:r>
          </w:p>
          <w:p w:rsidR="000C323E" w:rsidRDefault="000C323E" w:rsidP="00A32ABB">
            <w:pPr>
              <w:tabs>
                <w:tab w:val="left" w:pos="212"/>
              </w:tabs>
              <w:rPr>
                <w:sz w:val="24"/>
                <w:szCs w:val="24"/>
              </w:rPr>
            </w:pPr>
            <w:r>
              <w:rPr>
                <w:szCs w:val="22"/>
                <w:vertAlign w:val="superscript"/>
              </w:rPr>
              <w:t>e</w:t>
            </w:r>
            <w:r w:rsidRPr="002323AF">
              <w:rPr>
                <w:iCs/>
                <w:color w:val="000000"/>
              </w:rPr>
              <w:tab/>
            </w:r>
            <w:r>
              <w:rPr>
                <w:szCs w:val="22"/>
              </w:rPr>
              <w:t>N=</w:t>
            </w:r>
            <w:r w:rsidR="00A32ABB">
              <w:rPr>
                <w:szCs w:val="22"/>
              </w:rPr>
              <w:t>284.</w:t>
            </w:r>
          </w:p>
        </w:tc>
      </w:tr>
    </w:tbl>
    <w:p w:rsidR="001E1D15" w:rsidRDefault="001E1D15" w:rsidP="001E1D15">
      <w:pPr>
        <w:pStyle w:val="Heading1"/>
        <w:tabs>
          <w:tab w:val="left" w:pos="540"/>
        </w:tabs>
        <w:jc w:val="left"/>
        <w:rPr>
          <w:sz w:val="24"/>
          <w:szCs w:val="24"/>
        </w:rPr>
      </w:pPr>
      <w:bookmarkStart w:id="9" w:name="_Toc128065016"/>
      <w:bookmarkEnd w:id="8"/>
    </w:p>
    <w:p w:rsidR="00DD0D9A" w:rsidRDefault="002A7E70" w:rsidP="001E1D15">
      <w:pPr>
        <w:pStyle w:val="Heading1"/>
        <w:tabs>
          <w:tab w:val="left" w:pos="540"/>
        </w:tabs>
        <w:jc w:val="left"/>
        <w:rPr>
          <w:sz w:val="24"/>
          <w:szCs w:val="24"/>
        </w:rPr>
      </w:pPr>
      <w:r w:rsidRPr="009C329E">
        <w:rPr>
          <w:sz w:val="24"/>
          <w:szCs w:val="24"/>
        </w:rPr>
        <w:t>7</w:t>
      </w:r>
      <w:r w:rsidR="00DF5E8D" w:rsidRPr="00BA102E">
        <w:rPr>
          <w:sz w:val="24"/>
          <w:szCs w:val="24"/>
        </w:rPr>
        <w:tab/>
      </w:r>
      <w:r w:rsidR="00DD0D9A" w:rsidRPr="009C329E">
        <w:rPr>
          <w:sz w:val="24"/>
          <w:szCs w:val="24"/>
        </w:rPr>
        <w:t>DRUG INTERACTIONS</w:t>
      </w:r>
      <w:bookmarkEnd w:id="9"/>
    </w:p>
    <w:p w:rsidR="001E1D15" w:rsidRDefault="001E1D15" w:rsidP="001E1D15">
      <w:pPr>
        <w:pStyle w:val="Heading2"/>
        <w:rPr>
          <w:sz w:val="24"/>
          <w:szCs w:val="24"/>
        </w:rPr>
      </w:pPr>
    </w:p>
    <w:p w:rsidR="00DD0D9A" w:rsidRPr="00C0057E" w:rsidRDefault="00DC0632" w:rsidP="00C0057E">
      <w:pPr>
        <w:tabs>
          <w:tab w:val="left" w:pos="540"/>
        </w:tabs>
        <w:rPr>
          <w:b/>
          <w:sz w:val="24"/>
          <w:szCs w:val="24"/>
        </w:rPr>
      </w:pPr>
      <w:r w:rsidRPr="00C0057E">
        <w:rPr>
          <w:b/>
          <w:sz w:val="24"/>
          <w:szCs w:val="24"/>
        </w:rPr>
        <w:t>7.</w:t>
      </w:r>
      <w:r w:rsidR="004A6FD5" w:rsidRPr="00C0057E">
        <w:rPr>
          <w:b/>
          <w:sz w:val="24"/>
          <w:szCs w:val="24"/>
        </w:rPr>
        <w:t>1</w:t>
      </w:r>
      <w:r w:rsidRPr="00C0057E">
        <w:rPr>
          <w:b/>
          <w:sz w:val="24"/>
          <w:szCs w:val="24"/>
        </w:rPr>
        <w:tab/>
      </w:r>
      <w:r w:rsidR="00021FE2" w:rsidRPr="00C0057E">
        <w:rPr>
          <w:b/>
          <w:sz w:val="24"/>
          <w:szCs w:val="24"/>
        </w:rPr>
        <w:t xml:space="preserve">Effect of Other Drugs on </w:t>
      </w:r>
      <w:r w:rsidR="001A2032" w:rsidRPr="00C0057E">
        <w:rPr>
          <w:b/>
          <w:sz w:val="24"/>
          <w:szCs w:val="24"/>
        </w:rPr>
        <w:t>LORBRENA</w:t>
      </w:r>
    </w:p>
    <w:p w:rsidR="001E1D15" w:rsidRDefault="001E1D15" w:rsidP="001E1D15">
      <w:pPr>
        <w:keepNext/>
        <w:tabs>
          <w:tab w:val="left" w:pos="360"/>
        </w:tabs>
        <w:rPr>
          <w:sz w:val="24"/>
          <w:szCs w:val="24"/>
          <w:u w:val="single"/>
        </w:rPr>
      </w:pPr>
    </w:p>
    <w:p w:rsidR="009C5F99" w:rsidRDefault="00246A14" w:rsidP="001E1D15">
      <w:pPr>
        <w:keepNext/>
        <w:tabs>
          <w:tab w:val="left" w:pos="360"/>
        </w:tabs>
        <w:rPr>
          <w:sz w:val="24"/>
          <w:szCs w:val="24"/>
        </w:rPr>
      </w:pPr>
      <w:r>
        <w:rPr>
          <w:sz w:val="24"/>
          <w:szCs w:val="24"/>
          <w:u w:val="single"/>
        </w:rPr>
        <w:t>Effect of</w:t>
      </w:r>
      <w:r w:rsidR="00B0076C" w:rsidRPr="0099754B">
        <w:rPr>
          <w:sz w:val="24"/>
          <w:szCs w:val="24"/>
          <w:u w:val="single"/>
        </w:rPr>
        <w:t xml:space="preserve"> </w:t>
      </w:r>
      <w:r w:rsidR="007300A9" w:rsidRPr="00704B1B">
        <w:rPr>
          <w:sz w:val="24"/>
          <w:szCs w:val="24"/>
          <w:u w:val="single"/>
        </w:rPr>
        <w:t xml:space="preserve">CYP3A </w:t>
      </w:r>
      <w:r w:rsidR="009C5F99">
        <w:rPr>
          <w:sz w:val="24"/>
          <w:szCs w:val="24"/>
          <w:u w:val="single"/>
        </w:rPr>
        <w:t>I</w:t>
      </w:r>
      <w:r w:rsidR="009C5F99" w:rsidRPr="00704B1B">
        <w:rPr>
          <w:sz w:val="24"/>
          <w:szCs w:val="24"/>
          <w:u w:val="single"/>
        </w:rPr>
        <w:t>n</w:t>
      </w:r>
      <w:r w:rsidR="009C5F99">
        <w:rPr>
          <w:sz w:val="24"/>
          <w:szCs w:val="24"/>
          <w:u w:val="single"/>
        </w:rPr>
        <w:t>ducer</w:t>
      </w:r>
      <w:r w:rsidR="009C5F99" w:rsidRPr="00704B1B">
        <w:rPr>
          <w:sz w:val="24"/>
          <w:szCs w:val="24"/>
          <w:u w:val="single"/>
        </w:rPr>
        <w:t>s</w:t>
      </w:r>
      <w:r>
        <w:rPr>
          <w:sz w:val="24"/>
          <w:szCs w:val="24"/>
          <w:u w:val="single"/>
        </w:rPr>
        <w:t xml:space="preserve"> </w:t>
      </w:r>
    </w:p>
    <w:p w:rsidR="00123FD7" w:rsidRDefault="00BE0072" w:rsidP="001E1D15">
      <w:pPr>
        <w:keepNext/>
        <w:tabs>
          <w:tab w:val="left" w:pos="360"/>
        </w:tabs>
        <w:rPr>
          <w:sz w:val="24"/>
          <w:szCs w:val="24"/>
        </w:rPr>
      </w:pPr>
      <w:bookmarkStart w:id="10" w:name="_Hlk521338762"/>
      <w:r>
        <w:rPr>
          <w:sz w:val="24"/>
          <w:szCs w:val="24"/>
        </w:rPr>
        <w:t>Concomitant use</w:t>
      </w:r>
      <w:r w:rsidRPr="00704B1B">
        <w:rPr>
          <w:sz w:val="24"/>
          <w:szCs w:val="24"/>
        </w:rPr>
        <w:t xml:space="preserve"> </w:t>
      </w:r>
      <w:r w:rsidR="00704B1B" w:rsidRPr="00704B1B">
        <w:rPr>
          <w:sz w:val="24"/>
          <w:szCs w:val="24"/>
        </w:rPr>
        <w:t xml:space="preserve">of </w:t>
      </w:r>
      <w:r w:rsidR="001A2032">
        <w:rPr>
          <w:sz w:val="24"/>
          <w:szCs w:val="24"/>
        </w:rPr>
        <w:t>LORBRENA</w:t>
      </w:r>
      <w:r w:rsidR="00704B1B" w:rsidRPr="00704B1B">
        <w:rPr>
          <w:sz w:val="24"/>
          <w:szCs w:val="24"/>
        </w:rPr>
        <w:t xml:space="preserve"> with </w:t>
      </w:r>
      <w:r w:rsidR="00B0076C">
        <w:rPr>
          <w:sz w:val="24"/>
          <w:szCs w:val="24"/>
        </w:rPr>
        <w:t xml:space="preserve">a </w:t>
      </w:r>
      <w:r w:rsidR="00BD2453" w:rsidRPr="00704B1B">
        <w:rPr>
          <w:sz w:val="24"/>
          <w:szCs w:val="24"/>
        </w:rPr>
        <w:t>strong</w:t>
      </w:r>
      <w:r w:rsidR="00704B1B" w:rsidRPr="00704B1B">
        <w:rPr>
          <w:sz w:val="24"/>
          <w:szCs w:val="24"/>
        </w:rPr>
        <w:t xml:space="preserve"> CYP3A inducer decrease</w:t>
      </w:r>
      <w:r w:rsidR="00540E15">
        <w:rPr>
          <w:sz w:val="24"/>
          <w:szCs w:val="24"/>
        </w:rPr>
        <w:t>d</w:t>
      </w:r>
      <w:r w:rsidR="00704B1B" w:rsidRPr="00704B1B">
        <w:rPr>
          <w:sz w:val="24"/>
          <w:szCs w:val="24"/>
        </w:rPr>
        <w:t xml:space="preserve"> lorlatinib plasma concentrations</w:t>
      </w:r>
      <w:r w:rsidR="003F3AB0">
        <w:rPr>
          <w:sz w:val="24"/>
          <w:szCs w:val="24"/>
        </w:rPr>
        <w:t xml:space="preserve">, which may decrease the efficacy of </w:t>
      </w:r>
      <w:r w:rsidR="001A2032">
        <w:rPr>
          <w:sz w:val="24"/>
          <w:szCs w:val="24"/>
        </w:rPr>
        <w:t>LORBRENA</w:t>
      </w:r>
      <w:bookmarkEnd w:id="10"/>
      <w:r w:rsidR="00704B1B" w:rsidRPr="00704B1B">
        <w:rPr>
          <w:sz w:val="24"/>
          <w:szCs w:val="24"/>
        </w:rPr>
        <w:t>.</w:t>
      </w:r>
      <w:r w:rsidR="00123FD7" w:rsidRPr="00123FD7">
        <w:rPr>
          <w:sz w:val="24"/>
          <w:szCs w:val="24"/>
        </w:rPr>
        <w:t xml:space="preserve"> </w:t>
      </w:r>
      <w:r w:rsidR="00123FD7">
        <w:rPr>
          <w:sz w:val="24"/>
          <w:szCs w:val="24"/>
        </w:rPr>
        <w:t>The effect of c</w:t>
      </w:r>
      <w:r w:rsidR="00123FD7" w:rsidRPr="004256DA">
        <w:rPr>
          <w:sz w:val="24"/>
          <w:szCs w:val="24"/>
        </w:rPr>
        <w:t xml:space="preserve">oncomitant use </w:t>
      </w:r>
      <w:r w:rsidR="00123FD7">
        <w:rPr>
          <w:sz w:val="24"/>
          <w:szCs w:val="24"/>
        </w:rPr>
        <w:t xml:space="preserve">of </w:t>
      </w:r>
      <w:r w:rsidR="001A2032">
        <w:rPr>
          <w:sz w:val="24"/>
          <w:szCs w:val="24"/>
        </w:rPr>
        <w:t>LORBRENA</w:t>
      </w:r>
      <w:r w:rsidR="00123FD7">
        <w:rPr>
          <w:sz w:val="24"/>
          <w:szCs w:val="24"/>
        </w:rPr>
        <w:t xml:space="preserve"> </w:t>
      </w:r>
      <w:r w:rsidR="00123FD7" w:rsidRPr="004256DA">
        <w:rPr>
          <w:sz w:val="24"/>
          <w:szCs w:val="24"/>
        </w:rPr>
        <w:t>with a moderate CYP3A inducer</w:t>
      </w:r>
      <w:r w:rsidR="00123FD7">
        <w:rPr>
          <w:sz w:val="24"/>
          <w:szCs w:val="24"/>
        </w:rPr>
        <w:t xml:space="preserve"> on</w:t>
      </w:r>
      <w:r w:rsidR="00123FD7" w:rsidRPr="004256DA">
        <w:rPr>
          <w:sz w:val="24"/>
          <w:szCs w:val="24"/>
        </w:rPr>
        <w:t xml:space="preserve"> lorlatinib plasma concentrations</w:t>
      </w:r>
      <w:r w:rsidR="00123FD7">
        <w:rPr>
          <w:sz w:val="24"/>
          <w:szCs w:val="24"/>
        </w:rPr>
        <w:t xml:space="preserve"> has not been studied.</w:t>
      </w:r>
      <w:r w:rsidR="00E3707F">
        <w:rPr>
          <w:sz w:val="24"/>
          <w:szCs w:val="24"/>
        </w:rPr>
        <w:t xml:space="preserve"> </w:t>
      </w:r>
    </w:p>
    <w:p w:rsidR="001E1D15" w:rsidRDefault="001E1D15" w:rsidP="001E1D15">
      <w:pPr>
        <w:tabs>
          <w:tab w:val="left" w:pos="360"/>
        </w:tabs>
        <w:rPr>
          <w:sz w:val="24"/>
          <w:szCs w:val="24"/>
        </w:rPr>
      </w:pPr>
    </w:p>
    <w:p w:rsidR="002C3903" w:rsidRDefault="007B48D0" w:rsidP="001E1D15">
      <w:pPr>
        <w:tabs>
          <w:tab w:val="left" w:pos="360"/>
        </w:tabs>
        <w:rPr>
          <w:sz w:val="24"/>
          <w:szCs w:val="24"/>
        </w:rPr>
      </w:pPr>
      <w:r>
        <w:rPr>
          <w:sz w:val="24"/>
          <w:szCs w:val="24"/>
        </w:rPr>
        <w:t>Severe h</w:t>
      </w:r>
      <w:r w:rsidR="000E5CBB">
        <w:rPr>
          <w:sz w:val="24"/>
          <w:szCs w:val="24"/>
        </w:rPr>
        <w:t>e</w:t>
      </w:r>
      <w:r w:rsidR="00123FD7">
        <w:rPr>
          <w:sz w:val="24"/>
          <w:szCs w:val="24"/>
        </w:rPr>
        <w:t xml:space="preserve">patotoxicity occurred in </w:t>
      </w:r>
      <w:r w:rsidR="003C4888">
        <w:rPr>
          <w:sz w:val="24"/>
          <w:szCs w:val="24"/>
        </w:rPr>
        <w:t xml:space="preserve">healthy </w:t>
      </w:r>
      <w:r w:rsidR="00123FD7">
        <w:rPr>
          <w:sz w:val="24"/>
          <w:szCs w:val="24"/>
        </w:rPr>
        <w:t xml:space="preserve">subjects receiving LORBRENA with </w:t>
      </w:r>
      <w:r w:rsidR="003C4888">
        <w:rPr>
          <w:sz w:val="24"/>
          <w:szCs w:val="24"/>
        </w:rPr>
        <w:t>rifampin,</w:t>
      </w:r>
      <w:r w:rsidR="005D350F">
        <w:rPr>
          <w:sz w:val="24"/>
          <w:szCs w:val="24"/>
        </w:rPr>
        <w:t xml:space="preserve"> </w:t>
      </w:r>
      <w:r w:rsidR="00123FD7">
        <w:rPr>
          <w:sz w:val="24"/>
          <w:szCs w:val="24"/>
        </w:rPr>
        <w:t xml:space="preserve">a strong CYP3A inducer. In </w:t>
      </w:r>
      <w:r w:rsidR="00996E91">
        <w:rPr>
          <w:sz w:val="24"/>
          <w:szCs w:val="24"/>
        </w:rPr>
        <w:t xml:space="preserve">12 </w:t>
      </w:r>
      <w:r w:rsidR="00123FD7">
        <w:rPr>
          <w:sz w:val="24"/>
          <w:szCs w:val="24"/>
        </w:rPr>
        <w:t>healthy</w:t>
      </w:r>
      <w:r w:rsidR="00996E91">
        <w:rPr>
          <w:sz w:val="24"/>
          <w:szCs w:val="24"/>
        </w:rPr>
        <w:t xml:space="preserve"> subjects receiving a single 100 mg dose of LORBRENA with </w:t>
      </w:r>
      <w:r w:rsidR="009E48F3">
        <w:rPr>
          <w:sz w:val="24"/>
          <w:szCs w:val="24"/>
        </w:rPr>
        <w:t xml:space="preserve">multiple daily doses of </w:t>
      </w:r>
      <w:r w:rsidR="00996E91">
        <w:rPr>
          <w:sz w:val="24"/>
          <w:szCs w:val="24"/>
        </w:rPr>
        <w:t>rifampin,</w:t>
      </w:r>
      <w:r w:rsidR="00123FD7">
        <w:rPr>
          <w:sz w:val="24"/>
          <w:szCs w:val="24"/>
        </w:rPr>
        <w:t xml:space="preserve"> </w:t>
      </w:r>
      <w:r w:rsidR="002C3903">
        <w:rPr>
          <w:sz w:val="24"/>
          <w:szCs w:val="24"/>
        </w:rPr>
        <w:t>Grade 3</w:t>
      </w:r>
      <w:r w:rsidR="00171FEE">
        <w:rPr>
          <w:sz w:val="24"/>
          <w:szCs w:val="24"/>
        </w:rPr>
        <w:t xml:space="preserve"> or </w:t>
      </w:r>
      <w:r w:rsidR="002C3903">
        <w:rPr>
          <w:sz w:val="24"/>
          <w:szCs w:val="24"/>
        </w:rPr>
        <w:t xml:space="preserve">4 increases in ALT </w:t>
      </w:r>
      <w:r w:rsidR="00334E6E">
        <w:rPr>
          <w:sz w:val="24"/>
          <w:szCs w:val="24"/>
        </w:rPr>
        <w:t>or</w:t>
      </w:r>
      <w:r w:rsidR="002C3903">
        <w:rPr>
          <w:sz w:val="24"/>
          <w:szCs w:val="24"/>
        </w:rPr>
        <w:t xml:space="preserve"> AST occurred in </w:t>
      </w:r>
      <w:r>
        <w:rPr>
          <w:sz w:val="24"/>
          <w:szCs w:val="24"/>
        </w:rPr>
        <w:t xml:space="preserve">83% of subjects </w:t>
      </w:r>
      <w:r w:rsidR="00181647">
        <w:rPr>
          <w:sz w:val="24"/>
          <w:szCs w:val="24"/>
        </w:rPr>
        <w:t xml:space="preserve">and Grade 2 increases in </w:t>
      </w:r>
      <w:r w:rsidR="00181647" w:rsidRPr="00246A14">
        <w:rPr>
          <w:sz w:val="24"/>
          <w:szCs w:val="24"/>
        </w:rPr>
        <w:t xml:space="preserve">ALT </w:t>
      </w:r>
      <w:r w:rsidR="00334E6E">
        <w:rPr>
          <w:sz w:val="24"/>
          <w:szCs w:val="24"/>
        </w:rPr>
        <w:t>or</w:t>
      </w:r>
      <w:r w:rsidR="00181647" w:rsidRPr="00246A14">
        <w:rPr>
          <w:sz w:val="24"/>
          <w:szCs w:val="24"/>
        </w:rPr>
        <w:t xml:space="preserve"> AST </w:t>
      </w:r>
      <w:r w:rsidR="00181647">
        <w:rPr>
          <w:sz w:val="24"/>
          <w:szCs w:val="24"/>
        </w:rPr>
        <w:t xml:space="preserve">occurred in </w:t>
      </w:r>
      <w:r>
        <w:rPr>
          <w:sz w:val="24"/>
          <w:szCs w:val="24"/>
        </w:rPr>
        <w:t>8%</w:t>
      </w:r>
      <w:r w:rsidRPr="00246A14">
        <w:rPr>
          <w:sz w:val="24"/>
          <w:szCs w:val="24"/>
        </w:rPr>
        <w:t xml:space="preserve">. </w:t>
      </w:r>
      <w:r>
        <w:rPr>
          <w:sz w:val="24"/>
          <w:szCs w:val="24"/>
        </w:rPr>
        <w:t xml:space="preserve">A possible </w:t>
      </w:r>
      <w:r w:rsidRPr="00246A14">
        <w:rPr>
          <w:sz w:val="24"/>
          <w:szCs w:val="24"/>
        </w:rPr>
        <w:t>mechanism</w:t>
      </w:r>
      <w:r w:rsidRPr="004256DA">
        <w:rPr>
          <w:sz w:val="24"/>
          <w:szCs w:val="24"/>
        </w:rPr>
        <w:t xml:space="preserve"> </w:t>
      </w:r>
      <w:r>
        <w:rPr>
          <w:sz w:val="24"/>
          <w:szCs w:val="24"/>
        </w:rPr>
        <w:t xml:space="preserve">for hepatotoxicity </w:t>
      </w:r>
      <w:r w:rsidRPr="004256DA">
        <w:rPr>
          <w:sz w:val="24"/>
          <w:szCs w:val="24"/>
        </w:rPr>
        <w:t xml:space="preserve">is </w:t>
      </w:r>
      <w:r>
        <w:rPr>
          <w:sz w:val="24"/>
          <w:szCs w:val="24"/>
        </w:rPr>
        <w:t xml:space="preserve">through </w:t>
      </w:r>
      <w:r w:rsidRPr="004256DA">
        <w:rPr>
          <w:sz w:val="24"/>
          <w:szCs w:val="24"/>
        </w:rPr>
        <w:t xml:space="preserve">activation of the </w:t>
      </w:r>
      <w:r w:rsidR="001E0DEB">
        <w:rPr>
          <w:sz w:val="24"/>
          <w:szCs w:val="24"/>
        </w:rPr>
        <w:t>p</w:t>
      </w:r>
      <w:r w:rsidRPr="004256DA">
        <w:rPr>
          <w:sz w:val="24"/>
          <w:szCs w:val="24"/>
        </w:rPr>
        <w:t xml:space="preserve">regnane X </w:t>
      </w:r>
      <w:r w:rsidR="001E0DEB">
        <w:rPr>
          <w:sz w:val="24"/>
          <w:szCs w:val="24"/>
        </w:rPr>
        <w:t>r</w:t>
      </w:r>
      <w:r w:rsidRPr="004256DA">
        <w:rPr>
          <w:sz w:val="24"/>
          <w:szCs w:val="24"/>
        </w:rPr>
        <w:t>eceptor (PXR)</w:t>
      </w:r>
      <w:r>
        <w:rPr>
          <w:sz w:val="24"/>
          <w:szCs w:val="24"/>
        </w:rPr>
        <w:t xml:space="preserve"> by LORBRENA</w:t>
      </w:r>
      <w:r w:rsidRPr="00704B1B">
        <w:rPr>
          <w:sz w:val="24"/>
          <w:szCs w:val="24"/>
        </w:rPr>
        <w:t xml:space="preserve"> </w:t>
      </w:r>
      <w:r>
        <w:rPr>
          <w:sz w:val="24"/>
          <w:szCs w:val="24"/>
        </w:rPr>
        <w:t>and</w:t>
      </w:r>
      <w:r w:rsidRPr="00704B1B">
        <w:rPr>
          <w:sz w:val="24"/>
          <w:szCs w:val="24"/>
        </w:rPr>
        <w:t xml:space="preserve"> </w:t>
      </w:r>
      <w:r>
        <w:rPr>
          <w:sz w:val="24"/>
          <w:szCs w:val="24"/>
        </w:rPr>
        <w:t>rifampin, which are both PXR agonists. The risk of hepatotoxicity with c</w:t>
      </w:r>
      <w:r w:rsidRPr="004256DA">
        <w:rPr>
          <w:sz w:val="24"/>
          <w:szCs w:val="24"/>
        </w:rPr>
        <w:t xml:space="preserve">oncomitant use </w:t>
      </w:r>
      <w:r>
        <w:rPr>
          <w:sz w:val="24"/>
          <w:szCs w:val="24"/>
        </w:rPr>
        <w:t>of LORBRENA and</w:t>
      </w:r>
      <w:r w:rsidRPr="004256DA">
        <w:rPr>
          <w:sz w:val="24"/>
          <w:szCs w:val="24"/>
        </w:rPr>
        <w:t xml:space="preserve"> moderate CYP3A inducer</w:t>
      </w:r>
      <w:r>
        <w:rPr>
          <w:sz w:val="24"/>
          <w:szCs w:val="24"/>
        </w:rPr>
        <w:t xml:space="preserve">s that are also PXR agonists </w:t>
      </w:r>
      <w:r w:rsidR="00123FD7">
        <w:rPr>
          <w:sz w:val="24"/>
          <w:szCs w:val="24"/>
        </w:rPr>
        <w:t xml:space="preserve">is </w:t>
      </w:r>
      <w:r w:rsidR="00996E91">
        <w:rPr>
          <w:sz w:val="24"/>
          <w:szCs w:val="24"/>
        </w:rPr>
        <w:t>un</w:t>
      </w:r>
      <w:r w:rsidR="00123FD7">
        <w:rPr>
          <w:sz w:val="24"/>
          <w:szCs w:val="24"/>
        </w:rPr>
        <w:t>known</w:t>
      </w:r>
      <w:r w:rsidR="0046569B">
        <w:rPr>
          <w:sz w:val="24"/>
          <w:szCs w:val="24"/>
        </w:rPr>
        <w:t>.</w:t>
      </w:r>
    </w:p>
    <w:p w:rsidR="001E1D15" w:rsidRPr="004256DA" w:rsidRDefault="001E1D15" w:rsidP="001E1D15">
      <w:pPr>
        <w:tabs>
          <w:tab w:val="left" w:pos="360"/>
        </w:tabs>
        <w:rPr>
          <w:sz w:val="24"/>
          <w:szCs w:val="24"/>
        </w:rPr>
      </w:pPr>
    </w:p>
    <w:p w:rsidR="00A2336C" w:rsidRDefault="001A2032" w:rsidP="001E1D15">
      <w:pPr>
        <w:tabs>
          <w:tab w:val="left" w:pos="360"/>
        </w:tabs>
        <w:rPr>
          <w:sz w:val="24"/>
          <w:szCs w:val="24"/>
        </w:rPr>
      </w:pPr>
      <w:r>
        <w:rPr>
          <w:sz w:val="24"/>
          <w:szCs w:val="24"/>
        </w:rPr>
        <w:t>LORBRENA</w:t>
      </w:r>
      <w:r w:rsidR="005051A9">
        <w:rPr>
          <w:sz w:val="24"/>
          <w:szCs w:val="24"/>
        </w:rPr>
        <w:t xml:space="preserve"> </w:t>
      </w:r>
      <w:r w:rsidR="009D11F0" w:rsidRPr="00704B1B">
        <w:rPr>
          <w:sz w:val="24"/>
          <w:szCs w:val="24"/>
        </w:rPr>
        <w:t xml:space="preserve">is contraindicated </w:t>
      </w:r>
      <w:r w:rsidR="00A2336C">
        <w:rPr>
          <w:sz w:val="24"/>
          <w:szCs w:val="24"/>
        </w:rPr>
        <w:t>in patients taking</w:t>
      </w:r>
      <w:r w:rsidR="002C3903">
        <w:rPr>
          <w:sz w:val="24"/>
          <w:szCs w:val="24"/>
        </w:rPr>
        <w:t xml:space="preserve"> </w:t>
      </w:r>
      <w:r w:rsidR="00704B1B" w:rsidRPr="00704B1B">
        <w:rPr>
          <w:sz w:val="24"/>
          <w:szCs w:val="24"/>
        </w:rPr>
        <w:t>strong CYP3A inducer</w:t>
      </w:r>
      <w:r w:rsidR="00E3707F">
        <w:rPr>
          <w:sz w:val="24"/>
          <w:szCs w:val="24"/>
        </w:rPr>
        <w:t>s</w:t>
      </w:r>
      <w:r w:rsidR="00704B1B" w:rsidRPr="00704B1B">
        <w:rPr>
          <w:sz w:val="24"/>
          <w:szCs w:val="24"/>
        </w:rPr>
        <w:t xml:space="preserve">. </w:t>
      </w:r>
      <w:r w:rsidR="007B48D0">
        <w:rPr>
          <w:sz w:val="24"/>
          <w:szCs w:val="24"/>
        </w:rPr>
        <w:t xml:space="preserve">Discontinue strong CYP3A inducers for </w:t>
      </w:r>
      <w:r w:rsidR="007B48D0" w:rsidRPr="009A3B2C">
        <w:rPr>
          <w:sz w:val="24"/>
          <w:szCs w:val="24"/>
        </w:rPr>
        <w:t>3 plasma half</w:t>
      </w:r>
      <w:r w:rsidR="007B48D0">
        <w:rPr>
          <w:sz w:val="24"/>
          <w:szCs w:val="24"/>
        </w:rPr>
        <w:t>-</w:t>
      </w:r>
      <w:r w:rsidR="007B48D0" w:rsidRPr="009A3B2C">
        <w:rPr>
          <w:sz w:val="24"/>
          <w:szCs w:val="24"/>
        </w:rPr>
        <w:t xml:space="preserve">lives of the strong CYP3A inducer </w:t>
      </w:r>
      <w:r w:rsidR="007B48D0">
        <w:rPr>
          <w:sz w:val="24"/>
          <w:szCs w:val="24"/>
        </w:rPr>
        <w:t>prior to initiating LORBRENA.</w:t>
      </w:r>
      <w:r w:rsidR="00A83DE8">
        <w:rPr>
          <w:sz w:val="24"/>
          <w:szCs w:val="24"/>
        </w:rPr>
        <w:t xml:space="preserve"> </w:t>
      </w:r>
    </w:p>
    <w:p w:rsidR="001E1D15" w:rsidRDefault="001E1D15" w:rsidP="001E1D15">
      <w:pPr>
        <w:tabs>
          <w:tab w:val="left" w:pos="360"/>
        </w:tabs>
        <w:rPr>
          <w:sz w:val="24"/>
          <w:szCs w:val="24"/>
        </w:rPr>
      </w:pPr>
    </w:p>
    <w:p w:rsidR="006F51F0" w:rsidRDefault="00093371" w:rsidP="001E1D15">
      <w:pPr>
        <w:tabs>
          <w:tab w:val="left" w:pos="360"/>
        </w:tabs>
        <w:rPr>
          <w:sz w:val="24"/>
          <w:szCs w:val="24"/>
        </w:rPr>
      </w:pPr>
      <w:r>
        <w:rPr>
          <w:sz w:val="24"/>
          <w:szCs w:val="24"/>
        </w:rPr>
        <w:t xml:space="preserve">Avoid </w:t>
      </w:r>
      <w:r w:rsidR="004B1382">
        <w:rPr>
          <w:sz w:val="24"/>
          <w:szCs w:val="24"/>
        </w:rPr>
        <w:t xml:space="preserve">concomitant </w:t>
      </w:r>
      <w:r>
        <w:rPr>
          <w:sz w:val="24"/>
          <w:szCs w:val="24"/>
        </w:rPr>
        <w:t xml:space="preserve">use of </w:t>
      </w:r>
      <w:r w:rsidR="001A2032">
        <w:rPr>
          <w:sz w:val="24"/>
          <w:szCs w:val="24"/>
        </w:rPr>
        <w:t>LORBRENA</w:t>
      </w:r>
      <w:r>
        <w:rPr>
          <w:sz w:val="24"/>
          <w:szCs w:val="24"/>
        </w:rPr>
        <w:t xml:space="preserve"> with </w:t>
      </w:r>
      <w:r w:rsidR="004B1382">
        <w:rPr>
          <w:sz w:val="24"/>
          <w:szCs w:val="24"/>
        </w:rPr>
        <w:t xml:space="preserve">moderate </w:t>
      </w:r>
      <w:r>
        <w:rPr>
          <w:sz w:val="24"/>
          <w:szCs w:val="24"/>
        </w:rPr>
        <w:t>CYP3A inducers</w:t>
      </w:r>
      <w:r w:rsidR="009D11F0">
        <w:rPr>
          <w:sz w:val="24"/>
          <w:szCs w:val="24"/>
        </w:rPr>
        <w:t xml:space="preserve">. </w:t>
      </w:r>
      <w:r w:rsidR="00A12A3A" w:rsidRPr="008B7C4F">
        <w:rPr>
          <w:sz w:val="24"/>
          <w:szCs w:val="24"/>
        </w:rPr>
        <w:t xml:space="preserve">If concomitant use of moderate CYP3A inducers cannot be avoided, monitor </w:t>
      </w:r>
      <w:r w:rsidR="00996E91">
        <w:rPr>
          <w:sz w:val="24"/>
          <w:szCs w:val="24"/>
        </w:rPr>
        <w:t>ALT, AST</w:t>
      </w:r>
      <w:r w:rsidR="007A086F">
        <w:rPr>
          <w:sz w:val="24"/>
          <w:szCs w:val="24"/>
        </w:rPr>
        <w:t>,</w:t>
      </w:r>
      <w:r w:rsidR="00996E91">
        <w:rPr>
          <w:sz w:val="24"/>
          <w:szCs w:val="24"/>
        </w:rPr>
        <w:t xml:space="preserve"> and bilirubin as recommended </w:t>
      </w:r>
      <w:r w:rsidR="002C3903" w:rsidRPr="00ED4A1D">
        <w:rPr>
          <w:i/>
          <w:sz w:val="24"/>
          <w:szCs w:val="24"/>
        </w:rPr>
        <w:t>[see</w:t>
      </w:r>
      <w:r w:rsidR="002C3903">
        <w:rPr>
          <w:i/>
          <w:sz w:val="24"/>
          <w:szCs w:val="24"/>
        </w:rPr>
        <w:t xml:space="preserve"> Dosage and Administration (2.3), </w:t>
      </w:r>
      <w:r w:rsidR="009D11F0" w:rsidRPr="00246A14">
        <w:rPr>
          <w:i/>
          <w:sz w:val="24"/>
          <w:szCs w:val="24"/>
        </w:rPr>
        <w:t>Warnings and Precautions (5.</w:t>
      </w:r>
      <w:r w:rsidR="002C3903">
        <w:rPr>
          <w:i/>
          <w:sz w:val="24"/>
          <w:szCs w:val="24"/>
        </w:rPr>
        <w:t>1</w:t>
      </w:r>
      <w:r w:rsidR="009D11F0" w:rsidRPr="00246A14">
        <w:rPr>
          <w:i/>
          <w:sz w:val="24"/>
          <w:szCs w:val="24"/>
        </w:rPr>
        <w:t xml:space="preserve">), </w:t>
      </w:r>
      <w:r w:rsidR="009D11F0" w:rsidRPr="00C74C1D">
        <w:rPr>
          <w:i/>
          <w:sz w:val="24"/>
          <w:szCs w:val="24"/>
        </w:rPr>
        <w:t>Clinical Pharmacology (12.</w:t>
      </w:r>
      <w:r w:rsidR="009D11F0">
        <w:rPr>
          <w:i/>
          <w:sz w:val="24"/>
          <w:szCs w:val="24"/>
        </w:rPr>
        <w:t>3</w:t>
      </w:r>
      <w:r w:rsidR="009D11F0" w:rsidRPr="00C74C1D">
        <w:rPr>
          <w:i/>
          <w:sz w:val="24"/>
          <w:szCs w:val="24"/>
        </w:rPr>
        <w:t>)</w:t>
      </w:r>
      <w:r w:rsidR="009D11F0" w:rsidRPr="00ED4A1D">
        <w:rPr>
          <w:i/>
          <w:sz w:val="24"/>
          <w:szCs w:val="24"/>
        </w:rPr>
        <w:t>]</w:t>
      </w:r>
      <w:r>
        <w:rPr>
          <w:sz w:val="24"/>
          <w:szCs w:val="24"/>
        </w:rPr>
        <w:t>.</w:t>
      </w:r>
    </w:p>
    <w:p w:rsidR="001E1D15" w:rsidRDefault="001E1D15" w:rsidP="001E1D15">
      <w:pPr>
        <w:tabs>
          <w:tab w:val="left" w:pos="360"/>
        </w:tabs>
        <w:rPr>
          <w:sz w:val="24"/>
          <w:szCs w:val="24"/>
        </w:rPr>
      </w:pPr>
    </w:p>
    <w:p w:rsidR="006F51F0" w:rsidRPr="00704B1B" w:rsidRDefault="00246A14" w:rsidP="001E1D15">
      <w:pPr>
        <w:tabs>
          <w:tab w:val="left" w:pos="360"/>
        </w:tabs>
        <w:rPr>
          <w:sz w:val="24"/>
          <w:szCs w:val="24"/>
          <w:u w:val="single"/>
        </w:rPr>
      </w:pPr>
      <w:r>
        <w:rPr>
          <w:sz w:val="24"/>
          <w:szCs w:val="24"/>
          <w:u w:val="single"/>
        </w:rPr>
        <w:t xml:space="preserve">Effect of </w:t>
      </w:r>
      <w:r w:rsidR="006F51F0" w:rsidRPr="00D967C2">
        <w:rPr>
          <w:sz w:val="24"/>
          <w:szCs w:val="24"/>
          <w:u w:val="single"/>
        </w:rPr>
        <w:t xml:space="preserve">Strong </w:t>
      </w:r>
      <w:r w:rsidR="006F51F0" w:rsidRPr="00704B1B">
        <w:rPr>
          <w:sz w:val="24"/>
          <w:szCs w:val="24"/>
          <w:u w:val="single"/>
        </w:rPr>
        <w:t xml:space="preserve">CYP3A </w:t>
      </w:r>
      <w:r w:rsidR="006F51F0">
        <w:rPr>
          <w:sz w:val="24"/>
          <w:szCs w:val="24"/>
          <w:u w:val="single"/>
        </w:rPr>
        <w:t>I</w:t>
      </w:r>
      <w:r w:rsidR="006F51F0" w:rsidRPr="00704B1B">
        <w:rPr>
          <w:sz w:val="24"/>
          <w:szCs w:val="24"/>
          <w:u w:val="single"/>
        </w:rPr>
        <w:t>nhibitors</w:t>
      </w:r>
    </w:p>
    <w:p w:rsidR="006F51F0" w:rsidRDefault="006F51F0" w:rsidP="001E1D15">
      <w:pPr>
        <w:tabs>
          <w:tab w:val="left" w:pos="360"/>
        </w:tabs>
        <w:rPr>
          <w:sz w:val="24"/>
          <w:szCs w:val="24"/>
        </w:rPr>
      </w:pPr>
      <w:bookmarkStart w:id="11" w:name="_Hlk521338791"/>
      <w:r>
        <w:rPr>
          <w:sz w:val="24"/>
          <w:szCs w:val="24"/>
        </w:rPr>
        <w:t xml:space="preserve">Concomitant use </w:t>
      </w:r>
      <w:r w:rsidRPr="00704B1B">
        <w:rPr>
          <w:sz w:val="24"/>
          <w:szCs w:val="24"/>
        </w:rPr>
        <w:t xml:space="preserve">with </w:t>
      </w:r>
      <w:r>
        <w:rPr>
          <w:sz w:val="24"/>
          <w:szCs w:val="24"/>
        </w:rPr>
        <w:t xml:space="preserve">a </w:t>
      </w:r>
      <w:r w:rsidRPr="00704B1B">
        <w:rPr>
          <w:sz w:val="24"/>
          <w:szCs w:val="24"/>
        </w:rPr>
        <w:t>strong CYP3A inhibitor increase</w:t>
      </w:r>
      <w:r w:rsidR="00540E15">
        <w:rPr>
          <w:sz w:val="24"/>
          <w:szCs w:val="24"/>
        </w:rPr>
        <w:t>d</w:t>
      </w:r>
      <w:r w:rsidRPr="00704B1B">
        <w:rPr>
          <w:sz w:val="24"/>
          <w:szCs w:val="24"/>
        </w:rPr>
        <w:t xml:space="preserve"> lorlatinib plasma concentrations</w:t>
      </w:r>
      <w:r>
        <w:rPr>
          <w:i/>
          <w:sz w:val="24"/>
          <w:szCs w:val="24"/>
        </w:rPr>
        <w:t xml:space="preserve">, </w:t>
      </w:r>
      <w:r>
        <w:rPr>
          <w:sz w:val="24"/>
          <w:szCs w:val="24"/>
        </w:rPr>
        <w:t xml:space="preserve">which may increase </w:t>
      </w:r>
      <w:r w:rsidR="000E38FA">
        <w:rPr>
          <w:sz w:val="24"/>
          <w:szCs w:val="24"/>
        </w:rPr>
        <w:t>the incidence and severity of</w:t>
      </w:r>
      <w:r w:rsidR="00FE4063">
        <w:rPr>
          <w:sz w:val="24"/>
          <w:szCs w:val="24"/>
        </w:rPr>
        <w:t xml:space="preserve"> adverse reactions</w:t>
      </w:r>
      <w:r w:rsidR="000E38FA">
        <w:rPr>
          <w:sz w:val="24"/>
          <w:szCs w:val="24"/>
        </w:rPr>
        <w:t xml:space="preserve"> of </w:t>
      </w:r>
      <w:r w:rsidR="001A2032">
        <w:rPr>
          <w:sz w:val="24"/>
          <w:szCs w:val="24"/>
        </w:rPr>
        <w:t>LORBRENA</w:t>
      </w:r>
      <w:bookmarkEnd w:id="11"/>
      <w:r w:rsidRPr="00704B1B">
        <w:rPr>
          <w:sz w:val="24"/>
          <w:szCs w:val="24"/>
        </w:rPr>
        <w:t>.</w:t>
      </w:r>
      <w:r w:rsidR="00DE2E97">
        <w:rPr>
          <w:sz w:val="24"/>
          <w:szCs w:val="24"/>
        </w:rPr>
        <w:t xml:space="preserve"> </w:t>
      </w:r>
      <w:r>
        <w:rPr>
          <w:sz w:val="24"/>
          <w:szCs w:val="24"/>
        </w:rPr>
        <w:t xml:space="preserve">Avoid </w:t>
      </w:r>
      <w:r w:rsidR="00304A0F">
        <w:rPr>
          <w:sz w:val="24"/>
          <w:szCs w:val="24"/>
        </w:rPr>
        <w:t xml:space="preserve">the </w:t>
      </w:r>
      <w:r>
        <w:rPr>
          <w:sz w:val="24"/>
          <w:szCs w:val="24"/>
        </w:rPr>
        <w:t xml:space="preserve">concomitant use </w:t>
      </w:r>
      <w:r w:rsidR="00304A0F">
        <w:rPr>
          <w:sz w:val="24"/>
          <w:szCs w:val="24"/>
        </w:rPr>
        <w:t xml:space="preserve">of </w:t>
      </w:r>
      <w:r w:rsidR="001A2032">
        <w:rPr>
          <w:sz w:val="24"/>
          <w:szCs w:val="24"/>
        </w:rPr>
        <w:t>LORBRENA</w:t>
      </w:r>
      <w:r w:rsidR="00540E15">
        <w:rPr>
          <w:sz w:val="24"/>
          <w:szCs w:val="24"/>
        </w:rPr>
        <w:t xml:space="preserve"> with a</w:t>
      </w:r>
      <w:r>
        <w:rPr>
          <w:sz w:val="24"/>
          <w:szCs w:val="24"/>
        </w:rPr>
        <w:t xml:space="preserve"> strong CYP3A inhibitor. </w:t>
      </w:r>
      <w:r w:rsidRPr="00704B1B">
        <w:rPr>
          <w:sz w:val="24"/>
          <w:szCs w:val="24"/>
        </w:rPr>
        <w:t xml:space="preserve">If </w:t>
      </w:r>
      <w:r w:rsidR="00304A0F">
        <w:rPr>
          <w:sz w:val="24"/>
          <w:szCs w:val="24"/>
        </w:rPr>
        <w:t xml:space="preserve">concomitant </w:t>
      </w:r>
      <w:r>
        <w:rPr>
          <w:sz w:val="24"/>
          <w:szCs w:val="24"/>
        </w:rPr>
        <w:t xml:space="preserve">use cannot be avoided, reduce </w:t>
      </w:r>
      <w:r w:rsidR="001A2032">
        <w:rPr>
          <w:sz w:val="24"/>
          <w:szCs w:val="24"/>
        </w:rPr>
        <w:t>LORBRENA</w:t>
      </w:r>
      <w:r>
        <w:rPr>
          <w:sz w:val="24"/>
          <w:szCs w:val="24"/>
        </w:rPr>
        <w:t xml:space="preserve"> dose </w:t>
      </w:r>
      <w:r w:rsidR="00540E15">
        <w:rPr>
          <w:sz w:val="24"/>
          <w:szCs w:val="24"/>
        </w:rPr>
        <w:t>as recommended</w:t>
      </w:r>
      <w:r>
        <w:rPr>
          <w:sz w:val="24"/>
          <w:szCs w:val="24"/>
        </w:rPr>
        <w:t xml:space="preserve"> </w:t>
      </w:r>
      <w:r w:rsidRPr="00ED4A1D">
        <w:rPr>
          <w:i/>
          <w:sz w:val="24"/>
          <w:szCs w:val="24"/>
        </w:rPr>
        <w:t>[see Dosage and Administration (2.</w:t>
      </w:r>
      <w:r w:rsidR="00A2336C">
        <w:rPr>
          <w:i/>
          <w:sz w:val="24"/>
          <w:szCs w:val="24"/>
        </w:rPr>
        <w:t>4</w:t>
      </w:r>
      <w:r w:rsidR="00C37F9F">
        <w:rPr>
          <w:i/>
          <w:sz w:val="24"/>
          <w:szCs w:val="24"/>
        </w:rPr>
        <w:t>),</w:t>
      </w:r>
      <w:r w:rsidR="009D11F0" w:rsidRPr="009D11F0">
        <w:rPr>
          <w:i/>
          <w:sz w:val="24"/>
          <w:szCs w:val="24"/>
        </w:rPr>
        <w:t xml:space="preserve"> </w:t>
      </w:r>
      <w:r w:rsidR="009D11F0" w:rsidRPr="00C74C1D">
        <w:rPr>
          <w:i/>
          <w:sz w:val="24"/>
          <w:szCs w:val="24"/>
        </w:rPr>
        <w:t>Clinical Pharmacology (12.</w:t>
      </w:r>
      <w:r w:rsidR="009D11F0">
        <w:rPr>
          <w:i/>
          <w:sz w:val="24"/>
          <w:szCs w:val="24"/>
        </w:rPr>
        <w:t>3</w:t>
      </w:r>
      <w:r w:rsidRPr="00ED4A1D">
        <w:rPr>
          <w:i/>
          <w:sz w:val="24"/>
          <w:szCs w:val="24"/>
        </w:rPr>
        <w:t>)]</w:t>
      </w:r>
      <w:r w:rsidRPr="00704B1B">
        <w:rPr>
          <w:sz w:val="24"/>
          <w:szCs w:val="24"/>
        </w:rPr>
        <w:t>.</w:t>
      </w:r>
    </w:p>
    <w:p w:rsidR="001E1D15" w:rsidRPr="00BA102E" w:rsidRDefault="001E1D15" w:rsidP="001E1D15">
      <w:pPr>
        <w:tabs>
          <w:tab w:val="left" w:pos="360"/>
        </w:tabs>
        <w:rPr>
          <w:sz w:val="24"/>
          <w:szCs w:val="24"/>
        </w:rPr>
      </w:pPr>
    </w:p>
    <w:p w:rsidR="00F14285" w:rsidRPr="00C0057E" w:rsidRDefault="00704B1B" w:rsidP="00C0057E">
      <w:pPr>
        <w:tabs>
          <w:tab w:val="left" w:pos="540"/>
        </w:tabs>
        <w:rPr>
          <w:b/>
          <w:sz w:val="24"/>
          <w:szCs w:val="24"/>
        </w:rPr>
      </w:pPr>
      <w:r w:rsidRPr="00C0057E">
        <w:rPr>
          <w:b/>
          <w:sz w:val="24"/>
          <w:szCs w:val="24"/>
        </w:rPr>
        <w:t>7.</w:t>
      </w:r>
      <w:r w:rsidR="00CB11BE" w:rsidRPr="00C0057E">
        <w:rPr>
          <w:b/>
          <w:sz w:val="24"/>
          <w:szCs w:val="24"/>
        </w:rPr>
        <w:t>2</w:t>
      </w:r>
      <w:r w:rsidRPr="00C0057E">
        <w:rPr>
          <w:b/>
          <w:sz w:val="24"/>
          <w:szCs w:val="24"/>
        </w:rPr>
        <w:tab/>
      </w:r>
      <w:r w:rsidR="00CB11BE" w:rsidRPr="00C0057E">
        <w:rPr>
          <w:b/>
          <w:sz w:val="24"/>
          <w:szCs w:val="24"/>
        </w:rPr>
        <w:t xml:space="preserve">Effect of </w:t>
      </w:r>
      <w:r w:rsidR="001A2032" w:rsidRPr="00C0057E">
        <w:rPr>
          <w:b/>
          <w:sz w:val="24"/>
          <w:szCs w:val="24"/>
        </w:rPr>
        <w:t>LORBRENA</w:t>
      </w:r>
      <w:r w:rsidR="00CB11BE" w:rsidRPr="00C0057E">
        <w:rPr>
          <w:b/>
          <w:sz w:val="24"/>
          <w:szCs w:val="24"/>
        </w:rPr>
        <w:t xml:space="preserve"> on Other </w:t>
      </w:r>
      <w:r w:rsidRPr="00C0057E">
        <w:rPr>
          <w:b/>
          <w:sz w:val="24"/>
          <w:szCs w:val="24"/>
        </w:rPr>
        <w:t xml:space="preserve">Drugs </w:t>
      </w:r>
    </w:p>
    <w:p w:rsidR="001E1D15" w:rsidRDefault="001E1D15" w:rsidP="001E1D15">
      <w:pPr>
        <w:keepNext/>
        <w:tabs>
          <w:tab w:val="left" w:pos="360"/>
        </w:tabs>
        <w:rPr>
          <w:sz w:val="24"/>
          <w:szCs w:val="24"/>
          <w:u w:val="single"/>
        </w:rPr>
      </w:pPr>
    </w:p>
    <w:p w:rsidR="009C5F99" w:rsidRPr="008010BB" w:rsidRDefault="008010BB" w:rsidP="001E1D15">
      <w:pPr>
        <w:keepNext/>
        <w:tabs>
          <w:tab w:val="left" w:pos="360"/>
        </w:tabs>
        <w:rPr>
          <w:sz w:val="24"/>
          <w:szCs w:val="24"/>
          <w:u w:val="single"/>
        </w:rPr>
      </w:pPr>
      <w:r w:rsidRPr="008010BB">
        <w:rPr>
          <w:sz w:val="24"/>
          <w:szCs w:val="24"/>
          <w:u w:val="single"/>
        </w:rPr>
        <w:t xml:space="preserve">CYP3A </w:t>
      </w:r>
      <w:r w:rsidR="009C5F99">
        <w:rPr>
          <w:sz w:val="24"/>
          <w:szCs w:val="24"/>
          <w:u w:val="single"/>
        </w:rPr>
        <w:t>S</w:t>
      </w:r>
      <w:r w:rsidR="009C5F99" w:rsidRPr="008010BB">
        <w:rPr>
          <w:sz w:val="24"/>
          <w:szCs w:val="24"/>
          <w:u w:val="single"/>
        </w:rPr>
        <w:t>ubstrates</w:t>
      </w:r>
    </w:p>
    <w:p w:rsidR="00F61FFF" w:rsidRDefault="00F61FFF" w:rsidP="00F61FFF">
      <w:pPr>
        <w:tabs>
          <w:tab w:val="left" w:pos="360"/>
        </w:tabs>
        <w:rPr>
          <w:sz w:val="24"/>
          <w:szCs w:val="24"/>
        </w:rPr>
      </w:pPr>
      <w:bookmarkStart w:id="12" w:name="_Hlk521052403"/>
      <w:r>
        <w:rPr>
          <w:sz w:val="24"/>
          <w:szCs w:val="24"/>
        </w:rPr>
        <w:t>Concomitant use</w:t>
      </w:r>
      <w:r w:rsidRPr="008010BB">
        <w:rPr>
          <w:sz w:val="24"/>
          <w:szCs w:val="24"/>
        </w:rPr>
        <w:t xml:space="preserve"> </w:t>
      </w:r>
      <w:r w:rsidRPr="008010BB" w:rsidDel="00195F41">
        <w:rPr>
          <w:sz w:val="24"/>
          <w:szCs w:val="24"/>
        </w:rPr>
        <w:t>of</w:t>
      </w:r>
      <w:r w:rsidRPr="008010BB">
        <w:rPr>
          <w:sz w:val="24"/>
          <w:szCs w:val="24"/>
        </w:rPr>
        <w:t xml:space="preserve"> </w:t>
      </w:r>
      <w:r>
        <w:rPr>
          <w:sz w:val="24"/>
          <w:szCs w:val="24"/>
        </w:rPr>
        <w:t>LORBRENA</w:t>
      </w:r>
      <w:r w:rsidRPr="008010BB">
        <w:rPr>
          <w:sz w:val="24"/>
          <w:szCs w:val="24"/>
        </w:rPr>
        <w:t xml:space="preserve"> </w:t>
      </w:r>
      <w:r>
        <w:rPr>
          <w:sz w:val="24"/>
          <w:szCs w:val="24"/>
        </w:rPr>
        <w:t xml:space="preserve">decreases the concentration of </w:t>
      </w:r>
      <w:r w:rsidRPr="008010BB">
        <w:rPr>
          <w:sz w:val="24"/>
          <w:szCs w:val="24"/>
        </w:rPr>
        <w:t>CYP3A substrates</w:t>
      </w:r>
      <w:r>
        <w:rPr>
          <w:sz w:val="24"/>
          <w:szCs w:val="24"/>
        </w:rPr>
        <w:t xml:space="preserve"> </w:t>
      </w:r>
      <w:r w:rsidRPr="00A65294">
        <w:rPr>
          <w:i/>
          <w:sz w:val="24"/>
          <w:szCs w:val="24"/>
        </w:rPr>
        <w:t>[see</w:t>
      </w:r>
      <w:r>
        <w:rPr>
          <w:sz w:val="24"/>
          <w:szCs w:val="24"/>
        </w:rPr>
        <w:t xml:space="preserve"> </w:t>
      </w:r>
      <w:r w:rsidRPr="00C74C1D">
        <w:rPr>
          <w:i/>
          <w:sz w:val="24"/>
          <w:szCs w:val="24"/>
        </w:rPr>
        <w:t>Clinical Pharmacology (12.</w:t>
      </w:r>
      <w:r>
        <w:rPr>
          <w:i/>
          <w:sz w:val="24"/>
          <w:szCs w:val="24"/>
        </w:rPr>
        <w:t>3</w:t>
      </w:r>
      <w:r w:rsidRPr="00C74C1D">
        <w:rPr>
          <w:i/>
          <w:sz w:val="24"/>
          <w:szCs w:val="24"/>
        </w:rPr>
        <w:t>)</w:t>
      </w:r>
      <w:r w:rsidRPr="00ED4A1D">
        <w:rPr>
          <w:i/>
          <w:sz w:val="24"/>
          <w:szCs w:val="24"/>
        </w:rPr>
        <w:t>]</w:t>
      </w:r>
      <w:r>
        <w:rPr>
          <w:sz w:val="24"/>
          <w:szCs w:val="24"/>
        </w:rPr>
        <w:t>, which may reduce the efficacy of these substrates. Avoid concomitant use</w:t>
      </w:r>
      <w:r w:rsidRPr="008010BB">
        <w:rPr>
          <w:sz w:val="24"/>
          <w:szCs w:val="24"/>
        </w:rPr>
        <w:t xml:space="preserve"> </w:t>
      </w:r>
      <w:r w:rsidRPr="008010BB" w:rsidDel="00195F41">
        <w:rPr>
          <w:sz w:val="24"/>
          <w:szCs w:val="24"/>
        </w:rPr>
        <w:t>of</w:t>
      </w:r>
      <w:r w:rsidRPr="008010BB">
        <w:rPr>
          <w:sz w:val="24"/>
          <w:szCs w:val="24"/>
        </w:rPr>
        <w:t xml:space="preserve"> </w:t>
      </w:r>
      <w:r>
        <w:rPr>
          <w:sz w:val="24"/>
          <w:szCs w:val="24"/>
        </w:rPr>
        <w:t>LORBRENA</w:t>
      </w:r>
      <w:r w:rsidRPr="008010BB">
        <w:rPr>
          <w:sz w:val="24"/>
          <w:szCs w:val="24"/>
        </w:rPr>
        <w:t xml:space="preserve"> </w:t>
      </w:r>
      <w:r>
        <w:rPr>
          <w:sz w:val="24"/>
          <w:szCs w:val="24"/>
        </w:rPr>
        <w:t xml:space="preserve">with CYP3A </w:t>
      </w:r>
      <w:r w:rsidR="003F3FB0">
        <w:rPr>
          <w:sz w:val="24"/>
          <w:szCs w:val="24"/>
        </w:rPr>
        <w:t xml:space="preserve">substrates, </w:t>
      </w:r>
      <w:r>
        <w:rPr>
          <w:sz w:val="24"/>
          <w:szCs w:val="24"/>
        </w:rPr>
        <w:t>where minimal concentration changes may lead to serious therapeutic failures</w:t>
      </w:r>
      <w:r w:rsidRPr="008010BB">
        <w:rPr>
          <w:sz w:val="24"/>
          <w:szCs w:val="24"/>
        </w:rPr>
        <w:t>.</w:t>
      </w:r>
      <w:r>
        <w:rPr>
          <w:sz w:val="24"/>
          <w:szCs w:val="24"/>
        </w:rPr>
        <w:t xml:space="preserve"> </w:t>
      </w:r>
      <w:r w:rsidRPr="00ED5546">
        <w:rPr>
          <w:sz w:val="24"/>
          <w:szCs w:val="24"/>
        </w:rPr>
        <w:t>If concomitant use is unavoidable, increase the CYP3A substrate dosage</w:t>
      </w:r>
      <w:r w:rsidR="00A204EE">
        <w:rPr>
          <w:sz w:val="24"/>
          <w:szCs w:val="24"/>
        </w:rPr>
        <w:t xml:space="preserve"> in accordance with approved product labeling.</w:t>
      </w:r>
    </w:p>
    <w:p w:rsidR="001E1D15" w:rsidRDefault="001E1D15" w:rsidP="001E1D15">
      <w:pPr>
        <w:tabs>
          <w:tab w:val="left" w:pos="360"/>
        </w:tabs>
        <w:rPr>
          <w:sz w:val="24"/>
          <w:szCs w:val="24"/>
        </w:rPr>
      </w:pPr>
    </w:p>
    <w:p w:rsidR="00DD0D9A" w:rsidRDefault="002A7E70" w:rsidP="001E1D15">
      <w:pPr>
        <w:pStyle w:val="Heading1"/>
        <w:jc w:val="left"/>
        <w:rPr>
          <w:sz w:val="24"/>
          <w:szCs w:val="24"/>
        </w:rPr>
      </w:pPr>
      <w:bookmarkStart w:id="13" w:name="_Toc128065023"/>
      <w:bookmarkEnd w:id="12"/>
      <w:r>
        <w:rPr>
          <w:sz w:val="24"/>
          <w:szCs w:val="24"/>
        </w:rPr>
        <w:t>8</w:t>
      </w:r>
      <w:r w:rsidR="00EA5D47">
        <w:rPr>
          <w:sz w:val="24"/>
          <w:szCs w:val="24"/>
        </w:rPr>
        <w:tab/>
      </w:r>
      <w:r w:rsidR="00EA5D47">
        <w:rPr>
          <w:sz w:val="24"/>
          <w:szCs w:val="24"/>
        </w:rPr>
        <w:tab/>
      </w:r>
      <w:r w:rsidR="00DD0D9A" w:rsidRPr="00BA102E">
        <w:rPr>
          <w:sz w:val="24"/>
          <w:szCs w:val="24"/>
        </w:rPr>
        <w:t>USE IN SPECIFIC POPULATIONS</w:t>
      </w:r>
      <w:bookmarkEnd w:id="13"/>
    </w:p>
    <w:p w:rsidR="001E1D15" w:rsidRPr="001E1D15" w:rsidRDefault="001E1D15" w:rsidP="001E1D15">
      <w:pPr>
        <w:keepNext/>
      </w:pPr>
    </w:p>
    <w:p w:rsidR="00DD0D9A" w:rsidRPr="00C0057E" w:rsidRDefault="00DC0632" w:rsidP="00C0057E">
      <w:pPr>
        <w:tabs>
          <w:tab w:val="left" w:pos="540"/>
        </w:tabs>
        <w:rPr>
          <w:b/>
          <w:sz w:val="24"/>
          <w:szCs w:val="24"/>
        </w:rPr>
      </w:pPr>
      <w:bookmarkStart w:id="14" w:name="_Toc128065024"/>
      <w:r w:rsidRPr="00C0057E">
        <w:rPr>
          <w:b/>
          <w:sz w:val="24"/>
          <w:szCs w:val="24"/>
        </w:rPr>
        <w:t>8.1</w:t>
      </w:r>
      <w:r w:rsidRPr="00C0057E">
        <w:rPr>
          <w:b/>
          <w:sz w:val="24"/>
          <w:szCs w:val="24"/>
        </w:rPr>
        <w:tab/>
      </w:r>
      <w:r w:rsidR="00DD0D9A" w:rsidRPr="00C0057E">
        <w:rPr>
          <w:b/>
          <w:sz w:val="24"/>
          <w:szCs w:val="24"/>
        </w:rPr>
        <w:t>Pregnancy</w:t>
      </w:r>
      <w:bookmarkEnd w:id="14"/>
    </w:p>
    <w:p w:rsidR="001E1D15" w:rsidRPr="001E1D15" w:rsidRDefault="001E1D15" w:rsidP="001E1D15">
      <w:pPr>
        <w:keepNext/>
      </w:pPr>
    </w:p>
    <w:p w:rsidR="002E42A7" w:rsidRPr="00CA58EC" w:rsidRDefault="00C74C1D" w:rsidP="001E1D15">
      <w:pPr>
        <w:keepNext/>
        <w:tabs>
          <w:tab w:val="left" w:pos="360"/>
        </w:tabs>
        <w:rPr>
          <w:color w:val="000000"/>
          <w:sz w:val="24"/>
          <w:szCs w:val="24"/>
          <w:u w:val="single"/>
        </w:rPr>
      </w:pPr>
      <w:r w:rsidRPr="00CA58EC">
        <w:rPr>
          <w:color w:val="000000"/>
          <w:sz w:val="24"/>
          <w:szCs w:val="24"/>
          <w:u w:val="single"/>
        </w:rPr>
        <w:t>Risk Summary</w:t>
      </w:r>
    </w:p>
    <w:p w:rsidR="00C74C1D" w:rsidRDefault="00B0382C" w:rsidP="001E1D15">
      <w:pPr>
        <w:keepNext/>
        <w:tabs>
          <w:tab w:val="left" w:pos="360"/>
        </w:tabs>
        <w:rPr>
          <w:sz w:val="24"/>
          <w:szCs w:val="24"/>
        </w:rPr>
      </w:pPr>
      <w:r>
        <w:rPr>
          <w:sz w:val="24"/>
          <w:szCs w:val="24"/>
        </w:rPr>
        <w:t>Based on findings from animal studies</w:t>
      </w:r>
      <w:r w:rsidR="008F54FA">
        <w:rPr>
          <w:sz w:val="24"/>
          <w:szCs w:val="24"/>
        </w:rPr>
        <w:t xml:space="preserve"> and its mechanism of action</w:t>
      </w:r>
      <w:r w:rsidR="00B4117E">
        <w:rPr>
          <w:sz w:val="24"/>
          <w:szCs w:val="24"/>
        </w:rPr>
        <w:t xml:space="preserve"> </w:t>
      </w:r>
      <w:r w:rsidR="00B4117E">
        <w:rPr>
          <w:i/>
          <w:sz w:val="24"/>
          <w:szCs w:val="24"/>
        </w:rPr>
        <w:t>[see Clinical Pharmacology (12.1)]</w:t>
      </w:r>
      <w:r>
        <w:rPr>
          <w:sz w:val="24"/>
          <w:szCs w:val="24"/>
        </w:rPr>
        <w:t xml:space="preserve">, </w:t>
      </w:r>
      <w:r w:rsidR="001A2032">
        <w:rPr>
          <w:sz w:val="24"/>
          <w:szCs w:val="24"/>
        </w:rPr>
        <w:t>LORBRENA</w:t>
      </w:r>
      <w:r>
        <w:rPr>
          <w:sz w:val="24"/>
          <w:szCs w:val="24"/>
        </w:rPr>
        <w:t xml:space="preserve"> can cause embryo</w:t>
      </w:r>
      <w:r>
        <w:rPr>
          <w:sz w:val="24"/>
          <w:szCs w:val="24"/>
        </w:rPr>
        <w:noBreakHyphen/>
        <w:t xml:space="preserve">fetal harm when administered to a pregnant woman. </w:t>
      </w:r>
      <w:r w:rsidR="008F54FA" w:rsidRPr="00CA58EC">
        <w:rPr>
          <w:sz w:val="24"/>
          <w:szCs w:val="24"/>
        </w:rPr>
        <w:t xml:space="preserve">There are no available data on </w:t>
      </w:r>
      <w:r w:rsidR="001A2032">
        <w:rPr>
          <w:sz w:val="24"/>
          <w:szCs w:val="24"/>
        </w:rPr>
        <w:t>LORBRENA</w:t>
      </w:r>
      <w:r w:rsidR="008F54FA" w:rsidRPr="00CA58EC">
        <w:rPr>
          <w:sz w:val="24"/>
          <w:szCs w:val="24"/>
        </w:rPr>
        <w:t xml:space="preserve"> use in pregnant</w:t>
      </w:r>
      <w:r w:rsidR="00412F36" w:rsidRPr="00412F36">
        <w:rPr>
          <w:sz w:val="24"/>
          <w:szCs w:val="24"/>
        </w:rPr>
        <w:t xml:space="preserve"> </w:t>
      </w:r>
      <w:r w:rsidR="00412F36" w:rsidRPr="000657BC">
        <w:rPr>
          <w:sz w:val="24"/>
          <w:szCs w:val="24"/>
        </w:rPr>
        <w:t>women</w:t>
      </w:r>
      <w:r w:rsidR="008F54FA" w:rsidRPr="00CA58EC">
        <w:rPr>
          <w:sz w:val="24"/>
          <w:szCs w:val="24"/>
        </w:rPr>
        <w:t>.</w:t>
      </w:r>
      <w:r w:rsidR="009869D2">
        <w:rPr>
          <w:sz w:val="24"/>
          <w:szCs w:val="24"/>
        </w:rPr>
        <w:t xml:space="preserve"> </w:t>
      </w:r>
      <w:r w:rsidR="00B4117E">
        <w:rPr>
          <w:sz w:val="24"/>
          <w:szCs w:val="24"/>
        </w:rPr>
        <w:t>Administration</w:t>
      </w:r>
      <w:r w:rsidR="008F54FA">
        <w:rPr>
          <w:sz w:val="24"/>
          <w:szCs w:val="24"/>
        </w:rPr>
        <w:t xml:space="preserve"> of lorlatinib to pregnant rats and rabbits by oral gavage during the period of organogenesis resulted in</w:t>
      </w:r>
      <w:r w:rsidR="00457F7D" w:rsidRPr="00CA58EC">
        <w:rPr>
          <w:sz w:val="24"/>
          <w:szCs w:val="24"/>
        </w:rPr>
        <w:t xml:space="preserve"> </w:t>
      </w:r>
      <w:r w:rsidR="005752A1">
        <w:rPr>
          <w:sz w:val="24"/>
          <w:szCs w:val="24"/>
        </w:rPr>
        <w:t>malformations, increased post-implantation loss, and abortion</w:t>
      </w:r>
      <w:r w:rsidR="00412F36">
        <w:rPr>
          <w:sz w:val="24"/>
          <w:szCs w:val="24"/>
        </w:rPr>
        <w:t xml:space="preserve"> at</w:t>
      </w:r>
      <w:r w:rsidR="005752A1">
        <w:rPr>
          <w:sz w:val="24"/>
          <w:szCs w:val="24"/>
        </w:rPr>
        <w:t xml:space="preserve"> </w:t>
      </w:r>
      <w:r w:rsidR="00457F7D" w:rsidRPr="00CA58EC">
        <w:rPr>
          <w:sz w:val="24"/>
          <w:szCs w:val="24"/>
        </w:rPr>
        <w:t xml:space="preserve">maternal exposures that were </w:t>
      </w:r>
      <w:r w:rsidR="005752A1">
        <w:rPr>
          <w:sz w:val="24"/>
          <w:szCs w:val="24"/>
        </w:rPr>
        <w:t>equal to or less than</w:t>
      </w:r>
      <w:r w:rsidR="00B56A43" w:rsidRPr="00CA58EC">
        <w:rPr>
          <w:sz w:val="24"/>
          <w:szCs w:val="24"/>
        </w:rPr>
        <w:t xml:space="preserve"> </w:t>
      </w:r>
      <w:r w:rsidR="00457F7D" w:rsidRPr="00CA58EC">
        <w:rPr>
          <w:sz w:val="24"/>
          <w:szCs w:val="24"/>
        </w:rPr>
        <w:t xml:space="preserve">the </w:t>
      </w:r>
      <w:r w:rsidR="004B1CCA">
        <w:rPr>
          <w:sz w:val="24"/>
          <w:szCs w:val="24"/>
        </w:rPr>
        <w:t xml:space="preserve">human </w:t>
      </w:r>
      <w:r w:rsidR="00457F7D" w:rsidRPr="00CA58EC">
        <w:rPr>
          <w:sz w:val="24"/>
          <w:szCs w:val="24"/>
        </w:rPr>
        <w:t xml:space="preserve">exposure at the </w:t>
      </w:r>
      <w:r w:rsidR="00457F7D" w:rsidRPr="00CA58EC" w:rsidDel="008F54FA">
        <w:rPr>
          <w:sz w:val="24"/>
          <w:szCs w:val="24"/>
        </w:rPr>
        <w:t>recommended dose</w:t>
      </w:r>
      <w:r w:rsidR="008F54FA">
        <w:rPr>
          <w:sz w:val="24"/>
          <w:szCs w:val="24"/>
        </w:rPr>
        <w:t xml:space="preserve"> of 100 mg once daily</w:t>
      </w:r>
      <w:r w:rsidR="00457F7D" w:rsidRPr="00CA58EC">
        <w:rPr>
          <w:sz w:val="24"/>
          <w:szCs w:val="24"/>
        </w:rPr>
        <w:t xml:space="preserve"> based on AUC</w:t>
      </w:r>
      <w:r w:rsidR="00B10BD5" w:rsidRPr="009D7A16">
        <w:rPr>
          <w:i/>
          <w:sz w:val="24"/>
          <w:szCs w:val="24"/>
        </w:rPr>
        <w:t xml:space="preserve"> </w:t>
      </w:r>
      <w:r w:rsidR="00412F36">
        <w:rPr>
          <w:i/>
          <w:sz w:val="24"/>
          <w:szCs w:val="24"/>
        </w:rPr>
        <w:t>(</w:t>
      </w:r>
      <w:r w:rsidR="00B10BD5" w:rsidRPr="009D7A16">
        <w:rPr>
          <w:i/>
          <w:sz w:val="24"/>
          <w:szCs w:val="24"/>
        </w:rPr>
        <w:t>see Data</w:t>
      </w:r>
      <w:r w:rsidR="00412F36">
        <w:rPr>
          <w:i/>
          <w:sz w:val="24"/>
          <w:szCs w:val="24"/>
        </w:rPr>
        <w:t>)</w:t>
      </w:r>
      <w:r w:rsidR="0044641D" w:rsidRPr="00CA58EC">
        <w:rPr>
          <w:sz w:val="24"/>
          <w:szCs w:val="24"/>
        </w:rPr>
        <w:t>.</w:t>
      </w:r>
      <w:r w:rsidR="00457F7D" w:rsidRPr="00CA58EC">
        <w:rPr>
          <w:sz w:val="24"/>
          <w:szCs w:val="24"/>
        </w:rPr>
        <w:t xml:space="preserve"> </w:t>
      </w:r>
      <w:r w:rsidR="005752A1">
        <w:rPr>
          <w:sz w:val="24"/>
          <w:szCs w:val="24"/>
        </w:rPr>
        <w:t>A</w:t>
      </w:r>
      <w:r w:rsidR="00457F7D" w:rsidRPr="00CA58EC">
        <w:rPr>
          <w:sz w:val="24"/>
          <w:szCs w:val="24"/>
        </w:rPr>
        <w:t xml:space="preserve">dvise </w:t>
      </w:r>
      <w:r w:rsidR="00412F36">
        <w:rPr>
          <w:sz w:val="24"/>
          <w:szCs w:val="24"/>
        </w:rPr>
        <w:t>a pregnant woman</w:t>
      </w:r>
      <w:r w:rsidR="00457F7D" w:rsidRPr="00CA58EC">
        <w:rPr>
          <w:sz w:val="24"/>
          <w:szCs w:val="24"/>
        </w:rPr>
        <w:t xml:space="preserve"> of the potential risk to</w:t>
      </w:r>
      <w:r w:rsidR="005752A1">
        <w:rPr>
          <w:sz w:val="24"/>
          <w:szCs w:val="24"/>
        </w:rPr>
        <w:t xml:space="preserve"> a</w:t>
      </w:r>
      <w:r w:rsidR="00457F7D" w:rsidRPr="00CA58EC">
        <w:rPr>
          <w:sz w:val="24"/>
          <w:szCs w:val="24"/>
        </w:rPr>
        <w:t xml:space="preserve"> fetus.</w:t>
      </w:r>
    </w:p>
    <w:p w:rsidR="001E1D15" w:rsidRPr="00CA58EC" w:rsidRDefault="001E1D15" w:rsidP="001E1D15">
      <w:pPr>
        <w:keepNext/>
        <w:tabs>
          <w:tab w:val="left" w:pos="360"/>
        </w:tabs>
        <w:rPr>
          <w:sz w:val="24"/>
          <w:szCs w:val="24"/>
        </w:rPr>
      </w:pPr>
    </w:p>
    <w:p w:rsidR="00457F7D" w:rsidRDefault="00457F7D" w:rsidP="001E1D15">
      <w:pPr>
        <w:pStyle w:val="paragraph0"/>
        <w:spacing w:before="0" w:after="0"/>
        <w:rPr>
          <w:lang w:val="en-US"/>
        </w:rPr>
      </w:pPr>
      <w:r>
        <w:t xml:space="preserve">In the </w:t>
      </w:r>
      <w:r w:rsidR="00214CD9">
        <w:rPr>
          <w:lang w:val="en-US"/>
        </w:rPr>
        <w:t>U</w:t>
      </w:r>
      <w:r w:rsidR="00605A6F">
        <w:rPr>
          <w:lang w:val="en-US"/>
        </w:rPr>
        <w:t>.</w:t>
      </w:r>
      <w:r w:rsidR="00214CD9">
        <w:rPr>
          <w:lang w:val="en-US"/>
        </w:rPr>
        <w:t>S</w:t>
      </w:r>
      <w:r w:rsidR="00605A6F">
        <w:rPr>
          <w:lang w:val="en-US"/>
        </w:rPr>
        <w:t>.</w:t>
      </w:r>
      <w:r>
        <w:t xml:space="preserve"> general population, the estimated background risk of major birth defects and miscarriage in clinically recognized pregnancies </w:t>
      </w:r>
      <w:r>
        <w:rPr>
          <w:lang w:val="en-US"/>
        </w:rPr>
        <w:t>are</w:t>
      </w:r>
      <w:r>
        <w:t xml:space="preserve"> 2</w:t>
      </w:r>
      <w:r w:rsidR="003A712B">
        <w:rPr>
          <w:lang w:val="en-US"/>
        </w:rPr>
        <w:t xml:space="preserve"> to </w:t>
      </w:r>
      <w:r>
        <w:t>4% and 15</w:t>
      </w:r>
      <w:r w:rsidR="003A712B">
        <w:rPr>
          <w:lang w:val="en-US"/>
        </w:rPr>
        <w:t xml:space="preserve"> to </w:t>
      </w:r>
      <w:r>
        <w:t>20%, respectively</w:t>
      </w:r>
      <w:r>
        <w:rPr>
          <w:lang w:val="en-US"/>
        </w:rPr>
        <w:t>.</w:t>
      </w:r>
    </w:p>
    <w:p w:rsidR="001E1D15" w:rsidRPr="00596888" w:rsidRDefault="001E1D15" w:rsidP="001E1D15">
      <w:pPr>
        <w:pStyle w:val="paragraph0"/>
        <w:spacing w:before="0" w:after="0"/>
        <w:rPr>
          <w:lang w:val="en-US"/>
        </w:rPr>
      </w:pPr>
    </w:p>
    <w:p w:rsidR="004E7E8D" w:rsidRDefault="004E7E8D" w:rsidP="001F4B2A">
      <w:pPr>
        <w:keepNext/>
        <w:tabs>
          <w:tab w:val="left" w:pos="360"/>
        </w:tabs>
        <w:rPr>
          <w:sz w:val="24"/>
          <w:szCs w:val="24"/>
          <w:u w:val="single"/>
        </w:rPr>
      </w:pPr>
      <w:r w:rsidRPr="00C74C1D">
        <w:rPr>
          <w:sz w:val="24"/>
          <w:szCs w:val="24"/>
          <w:u w:val="single"/>
        </w:rPr>
        <w:t>Data</w:t>
      </w:r>
    </w:p>
    <w:p w:rsidR="004E7E8D" w:rsidRPr="00C74C1D" w:rsidRDefault="004E7E8D" w:rsidP="001F4B2A">
      <w:pPr>
        <w:keepNext/>
        <w:tabs>
          <w:tab w:val="left" w:pos="360"/>
        </w:tabs>
        <w:rPr>
          <w:sz w:val="24"/>
          <w:szCs w:val="24"/>
          <w:u w:val="single"/>
        </w:rPr>
      </w:pPr>
    </w:p>
    <w:p w:rsidR="00C74C1D" w:rsidRPr="00C74C1D" w:rsidRDefault="00C74C1D" w:rsidP="00FB2F11">
      <w:pPr>
        <w:tabs>
          <w:tab w:val="left" w:pos="360"/>
        </w:tabs>
        <w:rPr>
          <w:i/>
          <w:sz w:val="24"/>
          <w:szCs w:val="24"/>
        </w:rPr>
      </w:pPr>
      <w:r w:rsidRPr="00C74C1D">
        <w:rPr>
          <w:i/>
          <w:sz w:val="24"/>
          <w:szCs w:val="24"/>
        </w:rPr>
        <w:t>Animal Data</w:t>
      </w:r>
    </w:p>
    <w:p w:rsidR="00326735" w:rsidRDefault="00B06B17" w:rsidP="00FB2F11">
      <w:pPr>
        <w:pStyle w:val="Paragraph"/>
        <w:spacing w:after="0"/>
      </w:pPr>
      <w:r>
        <w:t xml:space="preserve">Preliminary embryo-fetal development studies investigating the administration of lorlatinib during the period of organogenesis were conducted in rats and rabbits. </w:t>
      </w:r>
      <w:r w:rsidR="006C7761">
        <w:t xml:space="preserve">In </w:t>
      </w:r>
      <w:r>
        <w:t>rabbits</w:t>
      </w:r>
      <w:r w:rsidR="006C7761">
        <w:t xml:space="preserve">, lorlatinib </w:t>
      </w:r>
      <w:r>
        <w:t xml:space="preserve">administration </w:t>
      </w:r>
      <w:r w:rsidR="006C7761">
        <w:t>resulted in abortion</w:t>
      </w:r>
      <w:r>
        <w:t xml:space="preserve"> and total loss of pregnancy</w:t>
      </w:r>
      <w:r w:rsidR="006C7761">
        <w:t xml:space="preserve"> at doses of 15 mg/kg (approximately </w:t>
      </w:r>
      <w:r w:rsidR="00B61C7B">
        <w:t>3</w:t>
      </w:r>
      <w:r w:rsidR="006C7761">
        <w:t xml:space="preserve"> times the </w:t>
      </w:r>
      <w:r w:rsidR="00112D78">
        <w:t xml:space="preserve">human </w:t>
      </w:r>
      <w:r w:rsidR="006C7761">
        <w:t xml:space="preserve">exposure at the </w:t>
      </w:r>
      <w:r w:rsidR="00112D78">
        <w:t>recommended</w:t>
      </w:r>
      <w:r w:rsidR="006C7761">
        <w:t xml:space="preserve"> dose</w:t>
      </w:r>
      <w:r w:rsidR="00B4117E">
        <w:t xml:space="preserve"> of 100 mg</w:t>
      </w:r>
      <w:r w:rsidR="006C7761">
        <w:t>) or greater. At a dose of 4 mg/kg (</w:t>
      </w:r>
      <w:r w:rsidR="00B4117E">
        <w:t>approximately</w:t>
      </w:r>
      <w:r w:rsidR="006C7761">
        <w:t xml:space="preserve"> 0.6 times the </w:t>
      </w:r>
      <w:r w:rsidR="00112D78">
        <w:t>human</w:t>
      </w:r>
      <w:r w:rsidR="006C7761">
        <w:t xml:space="preserve"> exposure at the </w:t>
      </w:r>
      <w:r w:rsidR="00112D78">
        <w:t>recommended</w:t>
      </w:r>
      <w:r w:rsidR="006C7761">
        <w:t xml:space="preserve"> dose </w:t>
      </w:r>
      <w:r w:rsidR="00B4117E">
        <w:t xml:space="preserve">of </w:t>
      </w:r>
      <w:r w:rsidR="006C7761">
        <w:t xml:space="preserve">100 mg) </w:t>
      </w:r>
      <w:r w:rsidR="00457F7D">
        <w:t xml:space="preserve">toxicities included </w:t>
      </w:r>
      <w:r w:rsidR="006C7761">
        <w:t>increased post-implantation loss</w:t>
      </w:r>
      <w:r w:rsidR="00457F7D">
        <w:t xml:space="preserve"> and malformations </w:t>
      </w:r>
      <w:r>
        <w:t xml:space="preserve">including </w:t>
      </w:r>
      <w:r w:rsidR="00457F7D" w:rsidRPr="00D275EA">
        <w:t xml:space="preserve">rotated limbs, malformed kidneys, domed head, high arched palate, and dilation of </w:t>
      </w:r>
      <w:r w:rsidR="00BD2453">
        <w:t xml:space="preserve">the cerebral </w:t>
      </w:r>
      <w:r w:rsidR="00BD2453" w:rsidRPr="00D275EA">
        <w:t>ventricles</w:t>
      </w:r>
      <w:r w:rsidR="006C7761">
        <w:t>.</w:t>
      </w:r>
      <w:r w:rsidR="00457F7D">
        <w:t xml:space="preserve"> </w:t>
      </w:r>
      <w:r w:rsidR="006C7761">
        <w:t xml:space="preserve">In </w:t>
      </w:r>
      <w:r>
        <w:t>rats</w:t>
      </w:r>
      <w:r w:rsidR="006C7761">
        <w:t>, administration of lorlatinib resulted in total loss of pregnancy at doses of 4 mg/kg (</w:t>
      </w:r>
      <w:r w:rsidR="00085A1E">
        <w:t xml:space="preserve">approximately 5 times the human exposure at the recommended dose of 100 mg) or greater. At a dose of 1 mg/kg (approximately equal to </w:t>
      </w:r>
      <w:r w:rsidR="006C7761">
        <w:t xml:space="preserve">the </w:t>
      </w:r>
      <w:r w:rsidR="00112D78">
        <w:t xml:space="preserve">human </w:t>
      </w:r>
      <w:r w:rsidR="006C7761">
        <w:t xml:space="preserve">exposure at the </w:t>
      </w:r>
      <w:r w:rsidR="00112D78">
        <w:t>recommended</w:t>
      </w:r>
      <w:r w:rsidR="006C7761">
        <w:t xml:space="preserve"> dose</w:t>
      </w:r>
      <w:r w:rsidR="00B4117E">
        <w:t xml:space="preserve"> of 100 mg</w:t>
      </w:r>
      <w:r>
        <w:t>)</w:t>
      </w:r>
      <w:r w:rsidR="006C7761">
        <w:t xml:space="preserve"> there was increased post-implantation loss, decreased fetal body weight, and malformations including gastroschisis, </w:t>
      </w:r>
      <w:r w:rsidR="006C7761" w:rsidRPr="00D275EA">
        <w:t>rotated limbs, supernum</w:t>
      </w:r>
      <w:r w:rsidR="006C7761">
        <w:t>er</w:t>
      </w:r>
      <w:r w:rsidR="006C7761" w:rsidRPr="00D275EA">
        <w:t>ary digits</w:t>
      </w:r>
      <w:r w:rsidR="006C7761">
        <w:t>, and vessel abnormalities.</w:t>
      </w:r>
    </w:p>
    <w:p w:rsidR="001E1D15" w:rsidRPr="00D275EA" w:rsidRDefault="001E1D15" w:rsidP="00FB2F11">
      <w:pPr>
        <w:pStyle w:val="Paragraph"/>
        <w:spacing w:after="0"/>
      </w:pPr>
    </w:p>
    <w:p w:rsidR="00DD0D9A" w:rsidRPr="0043755E" w:rsidRDefault="00DC0632" w:rsidP="00C0057E">
      <w:pPr>
        <w:tabs>
          <w:tab w:val="left" w:pos="540"/>
        </w:tabs>
        <w:rPr>
          <w:b/>
          <w:sz w:val="24"/>
          <w:szCs w:val="24"/>
        </w:rPr>
      </w:pPr>
      <w:r w:rsidRPr="0043755E">
        <w:rPr>
          <w:b/>
          <w:sz w:val="24"/>
          <w:szCs w:val="24"/>
        </w:rPr>
        <w:t>8.2</w:t>
      </w:r>
      <w:r w:rsidRPr="0043755E">
        <w:rPr>
          <w:b/>
          <w:sz w:val="24"/>
          <w:szCs w:val="24"/>
        </w:rPr>
        <w:tab/>
      </w:r>
      <w:r w:rsidR="00A13A33" w:rsidRPr="0043755E">
        <w:rPr>
          <w:b/>
          <w:sz w:val="24"/>
          <w:szCs w:val="24"/>
        </w:rPr>
        <w:t>Lactation</w:t>
      </w:r>
    </w:p>
    <w:p w:rsidR="001E1D15" w:rsidRPr="00085A1E" w:rsidRDefault="001E1D15" w:rsidP="00FB2F11">
      <w:pPr>
        <w:pStyle w:val="BodyTextIndent2"/>
        <w:spacing w:after="0" w:line="240" w:lineRule="auto"/>
        <w:ind w:left="0"/>
        <w:rPr>
          <w:bCs/>
          <w:sz w:val="24"/>
          <w:szCs w:val="24"/>
        </w:rPr>
      </w:pPr>
    </w:p>
    <w:p w:rsidR="00C74C1D" w:rsidRDefault="00C74C1D" w:rsidP="00FB2F11">
      <w:pPr>
        <w:pStyle w:val="BodyTextIndent2"/>
        <w:spacing w:after="0" w:line="240" w:lineRule="auto"/>
        <w:ind w:left="0"/>
        <w:rPr>
          <w:sz w:val="24"/>
          <w:szCs w:val="24"/>
        </w:rPr>
      </w:pPr>
      <w:r w:rsidRPr="00C74C1D">
        <w:rPr>
          <w:sz w:val="24"/>
          <w:szCs w:val="24"/>
          <w:u w:val="single"/>
        </w:rPr>
        <w:t>Risk Summary</w:t>
      </w:r>
      <w:r w:rsidRPr="00C74C1D">
        <w:rPr>
          <w:sz w:val="24"/>
          <w:szCs w:val="24"/>
        </w:rPr>
        <w:t xml:space="preserve"> </w:t>
      </w:r>
    </w:p>
    <w:p w:rsidR="00C74C1D" w:rsidRDefault="00C74C1D" w:rsidP="00FB2F11">
      <w:pPr>
        <w:pStyle w:val="BodyTextIndent2"/>
        <w:spacing w:after="0" w:line="240" w:lineRule="auto"/>
        <w:ind w:left="0"/>
        <w:rPr>
          <w:sz w:val="24"/>
          <w:szCs w:val="24"/>
        </w:rPr>
      </w:pPr>
      <w:r w:rsidRPr="00C74C1D">
        <w:rPr>
          <w:sz w:val="24"/>
          <w:szCs w:val="24"/>
        </w:rPr>
        <w:t xml:space="preserve">There </w:t>
      </w:r>
      <w:r w:rsidR="00666C5A">
        <w:rPr>
          <w:sz w:val="24"/>
          <w:szCs w:val="24"/>
        </w:rPr>
        <w:t>are no data</w:t>
      </w:r>
      <w:r w:rsidRPr="00C74C1D">
        <w:rPr>
          <w:sz w:val="24"/>
          <w:szCs w:val="24"/>
        </w:rPr>
        <w:t xml:space="preserve"> </w:t>
      </w:r>
      <w:r w:rsidR="00666C5A">
        <w:rPr>
          <w:sz w:val="24"/>
          <w:szCs w:val="24"/>
        </w:rPr>
        <w:t>on</w:t>
      </w:r>
      <w:r w:rsidR="00A54BCA">
        <w:rPr>
          <w:sz w:val="24"/>
          <w:szCs w:val="24"/>
        </w:rPr>
        <w:t xml:space="preserve"> the</w:t>
      </w:r>
      <w:r w:rsidRPr="00C74C1D">
        <w:rPr>
          <w:sz w:val="24"/>
          <w:szCs w:val="24"/>
        </w:rPr>
        <w:t xml:space="preserve"> presence of </w:t>
      </w:r>
      <w:r>
        <w:rPr>
          <w:sz w:val="24"/>
          <w:szCs w:val="24"/>
        </w:rPr>
        <w:t>lorlatinib</w:t>
      </w:r>
      <w:r w:rsidRPr="00C74C1D">
        <w:rPr>
          <w:sz w:val="24"/>
          <w:szCs w:val="24"/>
        </w:rPr>
        <w:t xml:space="preserve"> or its metabolites in </w:t>
      </w:r>
      <w:r w:rsidR="00666C5A">
        <w:rPr>
          <w:sz w:val="24"/>
          <w:szCs w:val="24"/>
        </w:rPr>
        <w:t xml:space="preserve">either </w:t>
      </w:r>
      <w:r w:rsidRPr="00C74C1D">
        <w:rPr>
          <w:sz w:val="24"/>
          <w:szCs w:val="24"/>
        </w:rPr>
        <w:t xml:space="preserve">human </w:t>
      </w:r>
      <w:r w:rsidR="004D43DF">
        <w:rPr>
          <w:sz w:val="24"/>
          <w:szCs w:val="24"/>
        </w:rPr>
        <w:t>or animal milk</w:t>
      </w:r>
      <w:r w:rsidR="009869D2">
        <w:rPr>
          <w:sz w:val="24"/>
          <w:szCs w:val="24"/>
        </w:rPr>
        <w:t xml:space="preserve"> or its</w:t>
      </w:r>
      <w:r w:rsidR="005752A1">
        <w:rPr>
          <w:sz w:val="24"/>
          <w:szCs w:val="24"/>
        </w:rPr>
        <w:t xml:space="preserve"> </w:t>
      </w:r>
      <w:r w:rsidRPr="00C74C1D">
        <w:rPr>
          <w:sz w:val="24"/>
          <w:szCs w:val="24"/>
        </w:rPr>
        <w:t>effects on the breastfed infant</w:t>
      </w:r>
      <w:r w:rsidR="00666C5A">
        <w:rPr>
          <w:sz w:val="24"/>
          <w:szCs w:val="24"/>
        </w:rPr>
        <w:t xml:space="preserve"> </w:t>
      </w:r>
      <w:r w:rsidRPr="00C74C1D">
        <w:rPr>
          <w:sz w:val="24"/>
          <w:szCs w:val="24"/>
        </w:rPr>
        <w:t xml:space="preserve">or </w:t>
      </w:r>
      <w:r w:rsidRPr="00C74C1D" w:rsidDel="005752A1">
        <w:rPr>
          <w:sz w:val="24"/>
          <w:szCs w:val="24"/>
        </w:rPr>
        <w:t xml:space="preserve">on </w:t>
      </w:r>
      <w:r w:rsidRPr="00C74C1D">
        <w:rPr>
          <w:sz w:val="24"/>
          <w:szCs w:val="24"/>
        </w:rPr>
        <w:t>milk production. Because of the potential f</w:t>
      </w:r>
      <w:r w:rsidR="00A54BCA">
        <w:rPr>
          <w:sz w:val="24"/>
          <w:szCs w:val="24"/>
        </w:rPr>
        <w:t>or serious adverse reactions in</w:t>
      </w:r>
      <w:r w:rsidRPr="00C74C1D">
        <w:rPr>
          <w:sz w:val="24"/>
          <w:szCs w:val="24"/>
        </w:rPr>
        <w:t xml:space="preserve"> breastfed infants, </w:t>
      </w:r>
      <w:r w:rsidR="004E7E8D">
        <w:rPr>
          <w:sz w:val="24"/>
          <w:szCs w:val="24"/>
        </w:rPr>
        <w:t xml:space="preserve">instruct </w:t>
      </w:r>
      <w:r w:rsidR="004E7E8D" w:rsidRPr="00C74C1D">
        <w:rPr>
          <w:sz w:val="24"/>
          <w:szCs w:val="24"/>
        </w:rPr>
        <w:t>wom</w:t>
      </w:r>
      <w:r w:rsidR="004E7E8D">
        <w:rPr>
          <w:sz w:val="24"/>
          <w:szCs w:val="24"/>
        </w:rPr>
        <w:t>e</w:t>
      </w:r>
      <w:r w:rsidR="004E7E8D" w:rsidRPr="00C74C1D">
        <w:rPr>
          <w:sz w:val="24"/>
          <w:szCs w:val="24"/>
        </w:rPr>
        <w:t xml:space="preserve">n not to </w:t>
      </w:r>
      <w:r w:rsidRPr="00C74C1D">
        <w:rPr>
          <w:sz w:val="24"/>
          <w:szCs w:val="24"/>
        </w:rPr>
        <w:t xml:space="preserve">breastfeed during treatment with </w:t>
      </w:r>
      <w:r w:rsidR="001A2032">
        <w:rPr>
          <w:sz w:val="24"/>
          <w:szCs w:val="24"/>
        </w:rPr>
        <w:t>LORBRENA</w:t>
      </w:r>
      <w:r w:rsidRPr="00C74C1D">
        <w:rPr>
          <w:sz w:val="24"/>
          <w:szCs w:val="24"/>
        </w:rPr>
        <w:t xml:space="preserve"> and for </w:t>
      </w:r>
      <w:r w:rsidR="00145805">
        <w:rPr>
          <w:sz w:val="24"/>
          <w:szCs w:val="24"/>
        </w:rPr>
        <w:t>7</w:t>
      </w:r>
      <w:r w:rsidR="00077F5D">
        <w:rPr>
          <w:sz w:val="24"/>
          <w:szCs w:val="24"/>
        </w:rPr>
        <w:t> </w:t>
      </w:r>
      <w:r w:rsidR="00491D90">
        <w:rPr>
          <w:sz w:val="24"/>
          <w:szCs w:val="24"/>
        </w:rPr>
        <w:t>days</w:t>
      </w:r>
      <w:r w:rsidRPr="00C74C1D">
        <w:rPr>
          <w:sz w:val="24"/>
          <w:szCs w:val="24"/>
        </w:rPr>
        <w:t xml:space="preserve"> after the final dose.</w:t>
      </w:r>
    </w:p>
    <w:p w:rsidR="001E1D15" w:rsidRDefault="001E1D15" w:rsidP="00FB2F11">
      <w:pPr>
        <w:pStyle w:val="BodyTextIndent2"/>
        <w:spacing w:after="0" w:line="240" w:lineRule="auto"/>
        <w:ind w:left="0"/>
        <w:rPr>
          <w:sz w:val="24"/>
          <w:szCs w:val="24"/>
        </w:rPr>
      </w:pPr>
    </w:p>
    <w:p w:rsidR="00DD0D9A" w:rsidRPr="00C0057E" w:rsidRDefault="00DC0632" w:rsidP="00C0057E">
      <w:pPr>
        <w:tabs>
          <w:tab w:val="left" w:pos="540"/>
        </w:tabs>
        <w:rPr>
          <w:b/>
          <w:sz w:val="24"/>
          <w:szCs w:val="24"/>
        </w:rPr>
      </w:pPr>
      <w:r w:rsidRPr="00C0057E">
        <w:rPr>
          <w:b/>
          <w:sz w:val="24"/>
          <w:szCs w:val="24"/>
        </w:rPr>
        <w:t>8.3</w:t>
      </w:r>
      <w:r w:rsidRPr="00C0057E">
        <w:rPr>
          <w:b/>
          <w:sz w:val="24"/>
          <w:szCs w:val="24"/>
        </w:rPr>
        <w:tab/>
      </w:r>
      <w:r w:rsidR="00A13A33" w:rsidRPr="00C0057E">
        <w:rPr>
          <w:b/>
          <w:sz w:val="24"/>
          <w:szCs w:val="24"/>
        </w:rPr>
        <w:t>Females and Males of Reproductive Potential</w:t>
      </w:r>
    </w:p>
    <w:p w:rsidR="001E1D15" w:rsidRPr="001E1D15" w:rsidRDefault="001E1D15" w:rsidP="001E1D15"/>
    <w:p w:rsidR="004D43DF" w:rsidRDefault="004D43DF" w:rsidP="001E1D15">
      <w:pPr>
        <w:keepNext/>
        <w:rPr>
          <w:sz w:val="24"/>
          <w:szCs w:val="24"/>
          <w:u w:val="single"/>
        </w:rPr>
      </w:pPr>
      <w:r>
        <w:rPr>
          <w:sz w:val="24"/>
          <w:szCs w:val="24"/>
          <w:u w:val="single"/>
        </w:rPr>
        <w:t>Pregnancy Testing</w:t>
      </w:r>
    </w:p>
    <w:p w:rsidR="004D43DF" w:rsidRDefault="007C1AC0" w:rsidP="001E1D15">
      <w:pPr>
        <w:rPr>
          <w:sz w:val="24"/>
          <w:szCs w:val="24"/>
        </w:rPr>
      </w:pPr>
      <w:r>
        <w:rPr>
          <w:sz w:val="24"/>
          <w:szCs w:val="24"/>
        </w:rPr>
        <w:t>Verify pregnancy status in females of reproductive potential</w:t>
      </w:r>
      <w:r w:rsidR="004D43DF">
        <w:rPr>
          <w:sz w:val="24"/>
          <w:szCs w:val="24"/>
        </w:rPr>
        <w:t xml:space="preserve"> prior to initiating</w:t>
      </w:r>
      <w:r w:rsidR="009869D2">
        <w:rPr>
          <w:sz w:val="24"/>
          <w:szCs w:val="24"/>
        </w:rPr>
        <w:t xml:space="preserve"> </w:t>
      </w:r>
      <w:r w:rsidR="001A2032">
        <w:rPr>
          <w:sz w:val="24"/>
          <w:szCs w:val="24"/>
        </w:rPr>
        <w:t>LORBRENA</w:t>
      </w:r>
      <w:r w:rsidR="00BC7A02">
        <w:rPr>
          <w:sz w:val="24"/>
          <w:szCs w:val="24"/>
        </w:rPr>
        <w:t xml:space="preserve"> </w:t>
      </w:r>
      <w:r w:rsidR="00BC7A02">
        <w:rPr>
          <w:i/>
          <w:sz w:val="24"/>
          <w:szCs w:val="24"/>
        </w:rPr>
        <w:t>[see Use in Specific Populations (8.1)]</w:t>
      </w:r>
      <w:r w:rsidR="004D43DF">
        <w:rPr>
          <w:sz w:val="24"/>
          <w:szCs w:val="24"/>
        </w:rPr>
        <w:t>.</w:t>
      </w:r>
    </w:p>
    <w:p w:rsidR="001E1D15" w:rsidRPr="00432FDA" w:rsidRDefault="001E1D15" w:rsidP="001E1D15">
      <w:pPr>
        <w:rPr>
          <w:sz w:val="24"/>
          <w:szCs w:val="24"/>
        </w:rPr>
      </w:pPr>
    </w:p>
    <w:p w:rsidR="00C74C1D" w:rsidRDefault="00C74C1D" w:rsidP="001E1D15">
      <w:pPr>
        <w:tabs>
          <w:tab w:val="left" w:pos="360"/>
        </w:tabs>
        <w:rPr>
          <w:sz w:val="24"/>
          <w:szCs w:val="24"/>
          <w:u w:val="single"/>
        </w:rPr>
      </w:pPr>
      <w:r w:rsidRPr="00C74C1D">
        <w:rPr>
          <w:sz w:val="24"/>
          <w:szCs w:val="24"/>
          <w:u w:val="single"/>
        </w:rPr>
        <w:t xml:space="preserve">Contraception </w:t>
      </w:r>
    </w:p>
    <w:p w:rsidR="004317A0" w:rsidRDefault="004317A0" w:rsidP="001E1D15">
      <w:pPr>
        <w:tabs>
          <w:tab w:val="left" w:pos="360"/>
        </w:tabs>
        <w:rPr>
          <w:sz w:val="24"/>
          <w:szCs w:val="24"/>
        </w:rPr>
      </w:pPr>
      <w:r>
        <w:rPr>
          <w:sz w:val="24"/>
          <w:szCs w:val="24"/>
        </w:rPr>
        <w:t>LORBRENA</w:t>
      </w:r>
      <w:r w:rsidRPr="00C74C1D">
        <w:rPr>
          <w:sz w:val="24"/>
          <w:szCs w:val="24"/>
        </w:rPr>
        <w:t xml:space="preserve"> can cause </w:t>
      </w:r>
      <w:r>
        <w:rPr>
          <w:sz w:val="24"/>
          <w:szCs w:val="24"/>
        </w:rPr>
        <w:t>embryo</w:t>
      </w:r>
      <w:r>
        <w:rPr>
          <w:sz w:val="24"/>
          <w:szCs w:val="24"/>
        </w:rPr>
        <w:noBreakHyphen/>
      </w:r>
      <w:r w:rsidRPr="00C74C1D">
        <w:rPr>
          <w:sz w:val="24"/>
          <w:szCs w:val="24"/>
        </w:rPr>
        <w:t>fetal harm when administered to a pregnant woman</w:t>
      </w:r>
      <w:r>
        <w:rPr>
          <w:sz w:val="24"/>
          <w:szCs w:val="24"/>
        </w:rPr>
        <w:t xml:space="preserve"> </w:t>
      </w:r>
      <w:r w:rsidRPr="00457F7D">
        <w:rPr>
          <w:i/>
          <w:sz w:val="24"/>
          <w:szCs w:val="24"/>
        </w:rPr>
        <w:t>[see Use in Specific Populations (8.1)].</w:t>
      </w:r>
      <w:r w:rsidRPr="00C74C1D">
        <w:rPr>
          <w:sz w:val="24"/>
          <w:szCs w:val="24"/>
        </w:rPr>
        <w:t xml:space="preserve"> </w:t>
      </w:r>
    </w:p>
    <w:p w:rsidR="001E1D15" w:rsidRDefault="001E1D15" w:rsidP="001E1D15">
      <w:pPr>
        <w:tabs>
          <w:tab w:val="left" w:pos="360"/>
        </w:tabs>
        <w:rPr>
          <w:sz w:val="24"/>
          <w:szCs w:val="24"/>
        </w:rPr>
      </w:pPr>
    </w:p>
    <w:p w:rsidR="00C74C1D" w:rsidRDefault="00C74C1D" w:rsidP="001E1D15">
      <w:pPr>
        <w:tabs>
          <w:tab w:val="left" w:pos="360"/>
        </w:tabs>
        <w:rPr>
          <w:i/>
          <w:sz w:val="24"/>
          <w:szCs w:val="24"/>
        </w:rPr>
      </w:pPr>
      <w:r w:rsidRPr="00C74C1D">
        <w:rPr>
          <w:i/>
          <w:sz w:val="24"/>
          <w:szCs w:val="24"/>
        </w:rPr>
        <w:t xml:space="preserve">Females </w:t>
      </w:r>
    </w:p>
    <w:p w:rsidR="00C74C1D" w:rsidRDefault="00457F7D" w:rsidP="001E1D15">
      <w:pPr>
        <w:tabs>
          <w:tab w:val="left" w:pos="360"/>
        </w:tabs>
        <w:rPr>
          <w:sz w:val="24"/>
          <w:szCs w:val="24"/>
        </w:rPr>
      </w:pPr>
      <w:r w:rsidRPr="00A54BCA">
        <w:rPr>
          <w:sz w:val="24"/>
          <w:szCs w:val="24"/>
        </w:rPr>
        <w:t>Advise female</w:t>
      </w:r>
      <w:r w:rsidR="00B753F6">
        <w:rPr>
          <w:sz w:val="24"/>
          <w:szCs w:val="24"/>
        </w:rPr>
        <w:t xml:space="preserve"> patients</w:t>
      </w:r>
      <w:r w:rsidRPr="00A54BCA">
        <w:rPr>
          <w:sz w:val="24"/>
          <w:szCs w:val="24"/>
        </w:rPr>
        <w:t xml:space="preserve"> of reproductive potential to use </w:t>
      </w:r>
      <w:r w:rsidR="00332CA0" w:rsidRPr="00A54BCA">
        <w:rPr>
          <w:sz w:val="24"/>
          <w:szCs w:val="24"/>
        </w:rPr>
        <w:t>effective</w:t>
      </w:r>
      <w:r w:rsidR="00332CA0">
        <w:rPr>
          <w:sz w:val="24"/>
          <w:szCs w:val="24"/>
        </w:rPr>
        <w:t xml:space="preserve"> non-hormonal</w:t>
      </w:r>
      <w:r w:rsidR="00332CA0" w:rsidRPr="00A54BCA">
        <w:rPr>
          <w:sz w:val="24"/>
          <w:szCs w:val="24"/>
        </w:rPr>
        <w:t xml:space="preserve"> </w:t>
      </w:r>
      <w:r w:rsidRPr="00A54BCA">
        <w:rPr>
          <w:sz w:val="24"/>
          <w:szCs w:val="24"/>
        </w:rPr>
        <w:t xml:space="preserve">contraception during treatment with </w:t>
      </w:r>
      <w:r w:rsidR="001A2032">
        <w:rPr>
          <w:sz w:val="24"/>
          <w:szCs w:val="24"/>
        </w:rPr>
        <w:t>LORBRENA</w:t>
      </w:r>
      <w:r>
        <w:rPr>
          <w:sz w:val="24"/>
          <w:szCs w:val="24"/>
        </w:rPr>
        <w:t xml:space="preserve"> </w:t>
      </w:r>
      <w:r w:rsidRPr="00A54BCA">
        <w:rPr>
          <w:sz w:val="24"/>
          <w:szCs w:val="24"/>
        </w:rPr>
        <w:t xml:space="preserve">and for at </w:t>
      </w:r>
      <w:r w:rsidR="00B833F2" w:rsidRPr="00A54BCA">
        <w:rPr>
          <w:sz w:val="24"/>
          <w:szCs w:val="24"/>
        </w:rPr>
        <w:t>least</w:t>
      </w:r>
      <w:r w:rsidR="00B833F2">
        <w:rPr>
          <w:sz w:val="24"/>
          <w:szCs w:val="24"/>
        </w:rPr>
        <w:t xml:space="preserve"> </w:t>
      </w:r>
      <w:r w:rsidR="009C66C7">
        <w:rPr>
          <w:sz w:val="24"/>
          <w:szCs w:val="24"/>
        </w:rPr>
        <w:t xml:space="preserve">6 months </w:t>
      </w:r>
      <w:r w:rsidR="00B833F2" w:rsidRPr="00214CD9">
        <w:rPr>
          <w:sz w:val="24"/>
          <w:szCs w:val="24"/>
        </w:rPr>
        <w:t>after</w:t>
      </w:r>
      <w:r w:rsidRPr="00A54BCA">
        <w:rPr>
          <w:sz w:val="24"/>
          <w:szCs w:val="24"/>
        </w:rPr>
        <w:t xml:space="preserve"> the final dose.</w:t>
      </w:r>
      <w:r w:rsidR="00F5583E">
        <w:rPr>
          <w:sz w:val="24"/>
          <w:szCs w:val="24"/>
        </w:rPr>
        <w:t xml:space="preserve"> </w:t>
      </w:r>
      <w:r w:rsidR="004317A0">
        <w:rPr>
          <w:sz w:val="24"/>
          <w:szCs w:val="24"/>
        </w:rPr>
        <w:t xml:space="preserve">Advise females of reproductive potential </w:t>
      </w:r>
      <w:r w:rsidR="007B79F8">
        <w:rPr>
          <w:sz w:val="24"/>
          <w:szCs w:val="24"/>
        </w:rPr>
        <w:t>to use a non</w:t>
      </w:r>
      <w:r w:rsidR="004F0E2B">
        <w:rPr>
          <w:sz w:val="24"/>
          <w:szCs w:val="24"/>
        </w:rPr>
        <w:noBreakHyphen/>
      </w:r>
      <w:r w:rsidR="007B79F8">
        <w:rPr>
          <w:sz w:val="24"/>
          <w:szCs w:val="24"/>
        </w:rPr>
        <w:t>hormonal method of contraception</w:t>
      </w:r>
      <w:r w:rsidR="00996E91">
        <w:rPr>
          <w:sz w:val="24"/>
          <w:szCs w:val="24"/>
        </w:rPr>
        <w:t>,</w:t>
      </w:r>
      <w:r w:rsidR="007B79F8">
        <w:rPr>
          <w:sz w:val="24"/>
          <w:szCs w:val="24"/>
        </w:rPr>
        <w:t xml:space="preserve"> </w:t>
      </w:r>
      <w:r w:rsidR="00996E91">
        <w:rPr>
          <w:sz w:val="24"/>
          <w:szCs w:val="24"/>
        </w:rPr>
        <w:t>because</w:t>
      </w:r>
      <w:r w:rsidR="007B79F8">
        <w:rPr>
          <w:sz w:val="24"/>
          <w:szCs w:val="24"/>
        </w:rPr>
        <w:t xml:space="preserve"> </w:t>
      </w:r>
      <w:r w:rsidR="001A2032">
        <w:rPr>
          <w:sz w:val="24"/>
          <w:szCs w:val="24"/>
        </w:rPr>
        <w:t>LORBRENA</w:t>
      </w:r>
      <w:r w:rsidR="007B79F8">
        <w:rPr>
          <w:sz w:val="24"/>
          <w:szCs w:val="24"/>
        </w:rPr>
        <w:t xml:space="preserve"> can render hormonal contraceptives ineffective </w:t>
      </w:r>
      <w:r w:rsidR="007B79F8" w:rsidRPr="007B79F8">
        <w:rPr>
          <w:i/>
          <w:sz w:val="24"/>
          <w:szCs w:val="24"/>
        </w:rPr>
        <w:t>[see Drug Interactions (7.2)]</w:t>
      </w:r>
      <w:r w:rsidR="007B79F8">
        <w:rPr>
          <w:sz w:val="24"/>
          <w:szCs w:val="24"/>
        </w:rPr>
        <w:t>.</w:t>
      </w:r>
    </w:p>
    <w:p w:rsidR="001E1D15" w:rsidRDefault="001E1D15" w:rsidP="001E1D15">
      <w:pPr>
        <w:tabs>
          <w:tab w:val="left" w:pos="360"/>
        </w:tabs>
        <w:rPr>
          <w:sz w:val="24"/>
          <w:szCs w:val="24"/>
        </w:rPr>
      </w:pPr>
    </w:p>
    <w:p w:rsidR="00C74C1D" w:rsidRDefault="00C74C1D" w:rsidP="00FB2F11">
      <w:pPr>
        <w:tabs>
          <w:tab w:val="left" w:pos="360"/>
        </w:tabs>
        <w:rPr>
          <w:i/>
          <w:sz w:val="24"/>
          <w:szCs w:val="24"/>
        </w:rPr>
      </w:pPr>
      <w:r w:rsidRPr="00C74C1D">
        <w:rPr>
          <w:i/>
          <w:sz w:val="24"/>
          <w:szCs w:val="24"/>
        </w:rPr>
        <w:t xml:space="preserve">Males </w:t>
      </w:r>
    </w:p>
    <w:p w:rsidR="00457F7D" w:rsidRDefault="00457F7D" w:rsidP="00FB2F11">
      <w:pPr>
        <w:tabs>
          <w:tab w:val="left" w:pos="360"/>
        </w:tabs>
        <w:rPr>
          <w:sz w:val="24"/>
          <w:szCs w:val="24"/>
        </w:rPr>
      </w:pPr>
      <w:r w:rsidRPr="00C74C1D">
        <w:rPr>
          <w:sz w:val="24"/>
          <w:szCs w:val="24"/>
        </w:rPr>
        <w:t>Based on</w:t>
      </w:r>
      <w:r w:rsidR="00B0382C">
        <w:rPr>
          <w:sz w:val="24"/>
          <w:szCs w:val="24"/>
        </w:rPr>
        <w:t xml:space="preserve"> </w:t>
      </w:r>
      <w:r w:rsidRPr="00C74C1D">
        <w:rPr>
          <w:sz w:val="24"/>
          <w:szCs w:val="24"/>
        </w:rPr>
        <w:t xml:space="preserve">genotoxicity </w:t>
      </w:r>
      <w:r w:rsidR="002B2BEE">
        <w:rPr>
          <w:sz w:val="24"/>
          <w:szCs w:val="24"/>
        </w:rPr>
        <w:t>findi</w:t>
      </w:r>
      <w:r w:rsidR="006A124B">
        <w:rPr>
          <w:sz w:val="24"/>
          <w:szCs w:val="24"/>
        </w:rPr>
        <w:t>n</w:t>
      </w:r>
      <w:r w:rsidR="002B2BEE">
        <w:rPr>
          <w:sz w:val="24"/>
          <w:szCs w:val="24"/>
        </w:rPr>
        <w:t>gs</w:t>
      </w:r>
      <w:r w:rsidRPr="00C74C1D">
        <w:rPr>
          <w:sz w:val="24"/>
          <w:szCs w:val="24"/>
        </w:rPr>
        <w:t>, advise male</w:t>
      </w:r>
      <w:r w:rsidR="002B2BEE">
        <w:rPr>
          <w:sz w:val="24"/>
          <w:szCs w:val="24"/>
        </w:rPr>
        <w:t>s</w:t>
      </w:r>
      <w:r w:rsidRPr="00C74C1D">
        <w:rPr>
          <w:sz w:val="24"/>
          <w:szCs w:val="24"/>
        </w:rPr>
        <w:t xml:space="preserve"> with female partners of reproductive potential to use effective contraception</w:t>
      </w:r>
      <w:r w:rsidR="002B2BEE">
        <w:rPr>
          <w:sz w:val="24"/>
          <w:szCs w:val="24"/>
        </w:rPr>
        <w:t xml:space="preserve"> during treatment with </w:t>
      </w:r>
      <w:r w:rsidR="001A2032">
        <w:rPr>
          <w:sz w:val="24"/>
          <w:szCs w:val="24"/>
        </w:rPr>
        <w:t>LORBRENA</w:t>
      </w:r>
      <w:r w:rsidR="002B2BEE">
        <w:rPr>
          <w:sz w:val="24"/>
          <w:szCs w:val="24"/>
        </w:rPr>
        <w:t xml:space="preserve"> and for at least 3 months after the final dose</w:t>
      </w:r>
      <w:r w:rsidRPr="00C74C1D">
        <w:rPr>
          <w:sz w:val="24"/>
          <w:szCs w:val="24"/>
        </w:rPr>
        <w:t xml:space="preserve"> </w:t>
      </w:r>
      <w:r w:rsidRPr="00C74C1D">
        <w:rPr>
          <w:i/>
          <w:sz w:val="24"/>
          <w:szCs w:val="24"/>
        </w:rPr>
        <w:t>[see Non</w:t>
      </w:r>
      <w:r>
        <w:rPr>
          <w:i/>
          <w:sz w:val="24"/>
          <w:szCs w:val="24"/>
        </w:rPr>
        <w:t>c</w:t>
      </w:r>
      <w:r w:rsidRPr="00C74C1D">
        <w:rPr>
          <w:i/>
          <w:sz w:val="24"/>
          <w:szCs w:val="24"/>
        </w:rPr>
        <w:t>linical Toxicology (13.1)]</w:t>
      </w:r>
      <w:r w:rsidRPr="00C74C1D">
        <w:rPr>
          <w:sz w:val="24"/>
          <w:szCs w:val="24"/>
        </w:rPr>
        <w:t>.</w:t>
      </w:r>
    </w:p>
    <w:p w:rsidR="001E1D15" w:rsidRDefault="001E1D15" w:rsidP="00FB2F11">
      <w:pPr>
        <w:tabs>
          <w:tab w:val="left" w:pos="360"/>
        </w:tabs>
        <w:rPr>
          <w:sz w:val="24"/>
          <w:szCs w:val="24"/>
        </w:rPr>
      </w:pPr>
    </w:p>
    <w:p w:rsidR="00A54BCA" w:rsidRDefault="00A54BCA" w:rsidP="00FB2F11">
      <w:pPr>
        <w:keepNext/>
        <w:tabs>
          <w:tab w:val="left" w:pos="360"/>
        </w:tabs>
        <w:rPr>
          <w:sz w:val="24"/>
          <w:szCs w:val="24"/>
          <w:u w:val="single"/>
        </w:rPr>
      </w:pPr>
      <w:r w:rsidRPr="003A712B">
        <w:rPr>
          <w:sz w:val="24"/>
          <w:szCs w:val="24"/>
          <w:u w:val="single"/>
        </w:rPr>
        <w:t>Infertility</w:t>
      </w:r>
    </w:p>
    <w:p w:rsidR="001E1D15" w:rsidRDefault="001E1D15" w:rsidP="00FB2F11">
      <w:pPr>
        <w:keepNext/>
        <w:tabs>
          <w:tab w:val="left" w:pos="360"/>
        </w:tabs>
        <w:rPr>
          <w:sz w:val="24"/>
          <w:szCs w:val="24"/>
          <w:u w:val="single"/>
        </w:rPr>
      </w:pPr>
    </w:p>
    <w:p w:rsidR="00457F7D" w:rsidRDefault="00457F7D" w:rsidP="00FB2F11">
      <w:pPr>
        <w:keepNext/>
        <w:tabs>
          <w:tab w:val="left" w:pos="360"/>
        </w:tabs>
        <w:rPr>
          <w:i/>
          <w:sz w:val="24"/>
        </w:rPr>
      </w:pPr>
      <w:r w:rsidRPr="00BF0F9D">
        <w:rPr>
          <w:i/>
          <w:sz w:val="24"/>
        </w:rPr>
        <w:t>Males</w:t>
      </w:r>
    </w:p>
    <w:p w:rsidR="00A54BCA" w:rsidRDefault="00457F7D" w:rsidP="001E1D15">
      <w:pPr>
        <w:tabs>
          <w:tab w:val="left" w:pos="360"/>
        </w:tabs>
        <w:rPr>
          <w:sz w:val="24"/>
          <w:szCs w:val="24"/>
        </w:rPr>
      </w:pPr>
      <w:r>
        <w:rPr>
          <w:sz w:val="24"/>
          <w:szCs w:val="24"/>
        </w:rPr>
        <w:t xml:space="preserve">Based on findings </w:t>
      </w:r>
      <w:r w:rsidR="00B0382C">
        <w:rPr>
          <w:sz w:val="24"/>
          <w:szCs w:val="24"/>
        </w:rPr>
        <w:t>from</w:t>
      </w:r>
      <w:r>
        <w:rPr>
          <w:sz w:val="24"/>
          <w:szCs w:val="24"/>
        </w:rPr>
        <w:t xml:space="preserve"> animal</w:t>
      </w:r>
      <w:r w:rsidR="00B0382C">
        <w:rPr>
          <w:sz w:val="24"/>
          <w:szCs w:val="24"/>
        </w:rPr>
        <w:t xml:space="preserve"> studies</w:t>
      </w:r>
      <w:r>
        <w:rPr>
          <w:sz w:val="24"/>
          <w:szCs w:val="24"/>
        </w:rPr>
        <w:t xml:space="preserve">, </w:t>
      </w:r>
      <w:r w:rsidR="001A2032">
        <w:rPr>
          <w:sz w:val="24"/>
          <w:szCs w:val="24"/>
        </w:rPr>
        <w:t>LORBRENA</w:t>
      </w:r>
      <w:r w:rsidR="00EB5432">
        <w:rPr>
          <w:sz w:val="24"/>
          <w:szCs w:val="24"/>
        </w:rPr>
        <w:t xml:space="preserve"> may</w:t>
      </w:r>
      <w:r w:rsidR="007C1AC0">
        <w:rPr>
          <w:sz w:val="24"/>
          <w:szCs w:val="24"/>
        </w:rPr>
        <w:t xml:space="preserve"> transiently</w:t>
      </w:r>
      <w:r w:rsidR="00EB5432">
        <w:rPr>
          <w:sz w:val="24"/>
          <w:szCs w:val="24"/>
        </w:rPr>
        <w:t xml:space="preserve"> impair </w:t>
      </w:r>
      <w:r>
        <w:rPr>
          <w:sz w:val="24"/>
          <w:szCs w:val="24"/>
        </w:rPr>
        <w:t>male fertility</w:t>
      </w:r>
      <w:r w:rsidR="00112D78">
        <w:rPr>
          <w:sz w:val="24"/>
          <w:szCs w:val="24"/>
        </w:rPr>
        <w:t xml:space="preserve"> </w:t>
      </w:r>
      <w:r w:rsidRPr="00457F7D">
        <w:rPr>
          <w:i/>
          <w:sz w:val="24"/>
          <w:szCs w:val="24"/>
        </w:rPr>
        <w:t xml:space="preserve">[see </w:t>
      </w:r>
      <w:r w:rsidR="001F31AF">
        <w:rPr>
          <w:i/>
          <w:sz w:val="24"/>
          <w:szCs w:val="24"/>
        </w:rPr>
        <w:t>Nonclinical Toxicology</w:t>
      </w:r>
      <w:r w:rsidR="00077F5D">
        <w:rPr>
          <w:i/>
          <w:sz w:val="24"/>
          <w:szCs w:val="24"/>
        </w:rPr>
        <w:t> </w:t>
      </w:r>
      <w:r w:rsidRPr="00457F7D">
        <w:rPr>
          <w:i/>
          <w:sz w:val="24"/>
          <w:szCs w:val="24"/>
        </w:rPr>
        <w:t>(13.1)]</w:t>
      </w:r>
      <w:r>
        <w:rPr>
          <w:sz w:val="24"/>
          <w:szCs w:val="24"/>
        </w:rPr>
        <w:t xml:space="preserve">. </w:t>
      </w:r>
    </w:p>
    <w:p w:rsidR="001E1D15" w:rsidRPr="00BA102E" w:rsidRDefault="001E1D15" w:rsidP="001E1D15">
      <w:pPr>
        <w:tabs>
          <w:tab w:val="left" w:pos="360"/>
        </w:tabs>
        <w:rPr>
          <w:sz w:val="24"/>
          <w:szCs w:val="24"/>
        </w:rPr>
      </w:pPr>
    </w:p>
    <w:p w:rsidR="004E7E8D" w:rsidRPr="00C0057E" w:rsidRDefault="004E7E8D" w:rsidP="001F4B2A">
      <w:pPr>
        <w:keepNext/>
        <w:tabs>
          <w:tab w:val="left" w:pos="540"/>
        </w:tabs>
        <w:rPr>
          <w:b/>
          <w:sz w:val="24"/>
          <w:szCs w:val="24"/>
        </w:rPr>
      </w:pPr>
      <w:r w:rsidRPr="00C0057E">
        <w:rPr>
          <w:b/>
          <w:sz w:val="24"/>
          <w:szCs w:val="24"/>
        </w:rPr>
        <w:t>8.4</w:t>
      </w:r>
      <w:r w:rsidRPr="00C0057E">
        <w:rPr>
          <w:b/>
          <w:sz w:val="24"/>
          <w:szCs w:val="24"/>
        </w:rPr>
        <w:tab/>
        <w:t>Pediatric Use</w:t>
      </w:r>
    </w:p>
    <w:p w:rsidR="004E7E8D" w:rsidRDefault="004E7E8D" w:rsidP="001F4B2A">
      <w:pPr>
        <w:keepNext/>
        <w:tabs>
          <w:tab w:val="left" w:pos="360"/>
        </w:tabs>
        <w:rPr>
          <w:sz w:val="24"/>
          <w:szCs w:val="24"/>
        </w:rPr>
      </w:pPr>
    </w:p>
    <w:p w:rsidR="004763ED" w:rsidRDefault="00A440F7" w:rsidP="001E1D15">
      <w:pPr>
        <w:tabs>
          <w:tab w:val="left" w:pos="360"/>
        </w:tabs>
        <w:rPr>
          <w:sz w:val="24"/>
          <w:szCs w:val="24"/>
        </w:rPr>
      </w:pPr>
      <w:r w:rsidRPr="00A440F7">
        <w:rPr>
          <w:sz w:val="24"/>
          <w:szCs w:val="24"/>
        </w:rPr>
        <w:t xml:space="preserve">The safety and </w:t>
      </w:r>
      <w:r w:rsidR="00C44EB6" w:rsidRPr="00A440F7">
        <w:rPr>
          <w:sz w:val="24"/>
          <w:szCs w:val="24"/>
        </w:rPr>
        <w:t>eff</w:t>
      </w:r>
      <w:r w:rsidR="00C44EB6">
        <w:rPr>
          <w:sz w:val="24"/>
          <w:szCs w:val="24"/>
        </w:rPr>
        <w:t>ectiveness</w:t>
      </w:r>
      <w:r w:rsidR="00C44EB6" w:rsidRPr="00A440F7">
        <w:rPr>
          <w:sz w:val="24"/>
          <w:szCs w:val="24"/>
        </w:rPr>
        <w:t xml:space="preserve"> </w:t>
      </w:r>
      <w:r w:rsidRPr="00A440F7">
        <w:rPr>
          <w:sz w:val="24"/>
          <w:szCs w:val="24"/>
        </w:rPr>
        <w:t xml:space="preserve">of </w:t>
      </w:r>
      <w:r w:rsidR="001A2032">
        <w:rPr>
          <w:sz w:val="24"/>
          <w:szCs w:val="24"/>
        </w:rPr>
        <w:t>LORBRENA</w:t>
      </w:r>
      <w:r w:rsidRPr="00A440F7">
        <w:rPr>
          <w:sz w:val="24"/>
          <w:szCs w:val="24"/>
        </w:rPr>
        <w:t xml:space="preserve"> in pediatric patients ha</w:t>
      </w:r>
      <w:r w:rsidR="0025276B">
        <w:rPr>
          <w:sz w:val="24"/>
          <w:szCs w:val="24"/>
        </w:rPr>
        <w:t>ve</w:t>
      </w:r>
      <w:r w:rsidRPr="00A440F7">
        <w:rPr>
          <w:sz w:val="24"/>
          <w:szCs w:val="24"/>
        </w:rPr>
        <w:t xml:space="preserve"> not been established.</w:t>
      </w:r>
    </w:p>
    <w:p w:rsidR="001E1D15" w:rsidRDefault="001E1D15" w:rsidP="001E1D15">
      <w:pPr>
        <w:tabs>
          <w:tab w:val="left" w:pos="360"/>
        </w:tabs>
        <w:rPr>
          <w:sz w:val="24"/>
          <w:szCs w:val="24"/>
        </w:rPr>
      </w:pPr>
    </w:p>
    <w:p w:rsidR="00DD0D9A" w:rsidRPr="00C0057E" w:rsidRDefault="00DC0632" w:rsidP="00C0057E">
      <w:pPr>
        <w:tabs>
          <w:tab w:val="left" w:pos="540"/>
        </w:tabs>
        <w:rPr>
          <w:b/>
          <w:sz w:val="24"/>
          <w:szCs w:val="24"/>
        </w:rPr>
      </w:pPr>
      <w:r w:rsidRPr="00C0057E">
        <w:rPr>
          <w:b/>
          <w:sz w:val="24"/>
          <w:szCs w:val="24"/>
        </w:rPr>
        <w:t>8.5</w:t>
      </w:r>
      <w:r w:rsidRPr="00C0057E">
        <w:rPr>
          <w:b/>
          <w:sz w:val="24"/>
          <w:szCs w:val="24"/>
        </w:rPr>
        <w:tab/>
      </w:r>
      <w:r w:rsidR="004763ED" w:rsidRPr="00C0057E">
        <w:rPr>
          <w:b/>
          <w:sz w:val="24"/>
          <w:szCs w:val="24"/>
        </w:rPr>
        <w:t>Geriatric Use</w:t>
      </w:r>
    </w:p>
    <w:p w:rsidR="001E1D15" w:rsidRDefault="001E1D15" w:rsidP="001E1D15">
      <w:pPr>
        <w:keepNext/>
        <w:tabs>
          <w:tab w:val="left" w:pos="360"/>
        </w:tabs>
        <w:rPr>
          <w:bCs/>
          <w:sz w:val="24"/>
          <w:szCs w:val="24"/>
        </w:rPr>
      </w:pPr>
    </w:p>
    <w:p w:rsidR="00DD0D9A" w:rsidRDefault="007167AB" w:rsidP="001E1D15">
      <w:pPr>
        <w:keepNext/>
        <w:tabs>
          <w:tab w:val="left" w:pos="360"/>
        </w:tabs>
        <w:rPr>
          <w:sz w:val="24"/>
          <w:szCs w:val="24"/>
        </w:rPr>
      </w:pPr>
      <w:r w:rsidRPr="005130DA">
        <w:rPr>
          <w:bCs/>
          <w:sz w:val="24"/>
          <w:szCs w:val="24"/>
        </w:rPr>
        <w:t xml:space="preserve">Of the </w:t>
      </w:r>
      <w:r>
        <w:rPr>
          <w:bCs/>
          <w:sz w:val="24"/>
          <w:szCs w:val="24"/>
        </w:rPr>
        <w:t>295</w:t>
      </w:r>
      <w:r w:rsidR="00A55671">
        <w:rPr>
          <w:bCs/>
          <w:sz w:val="24"/>
          <w:szCs w:val="24"/>
        </w:rPr>
        <w:t> </w:t>
      </w:r>
      <w:r w:rsidRPr="005130DA">
        <w:rPr>
          <w:bCs/>
          <w:sz w:val="24"/>
          <w:szCs w:val="24"/>
        </w:rPr>
        <w:t xml:space="preserve">patients </w:t>
      </w:r>
      <w:r w:rsidR="00A55671">
        <w:rPr>
          <w:bCs/>
          <w:sz w:val="24"/>
          <w:szCs w:val="24"/>
        </w:rPr>
        <w:t xml:space="preserve">in Study </w:t>
      </w:r>
      <w:r w:rsidR="00A55671">
        <w:rPr>
          <w:sz w:val="24"/>
          <w:szCs w:val="24"/>
        </w:rPr>
        <w:t>B7461001</w:t>
      </w:r>
      <w:r w:rsidR="00703EE2">
        <w:rPr>
          <w:sz w:val="24"/>
          <w:szCs w:val="24"/>
        </w:rPr>
        <w:t xml:space="preserve"> who received 100 mg LORBRENA orally once daily</w:t>
      </w:r>
      <w:r w:rsidRPr="005130DA">
        <w:rPr>
          <w:bCs/>
          <w:sz w:val="24"/>
          <w:szCs w:val="24"/>
        </w:rPr>
        <w:t xml:space="preserve">, 18% </w:t>
      </w:r>
      <w:r>
        <w:rPr>
          <w:bCs/>
          <w:sz w:val="24"/>
          <w:szCs w:val="24"/>
        </w:rPr>
        <w:t xml:space="preserve">of patients </w:t>
      </w:r>
      <w:r w:rsidRPr="005130DA">
        <w:rPr>
          <w:bCs/>
          <w:sz w:val="24"/>
          <w:szCs w:val="24"/>
        </w:rPr>
        <w:t xml:space="preserve">were </w:t>
      </w:r>
      <w:r>
        <w:rPr>
          <w:bCs/>
          <w:sz w:val="24"/>
          <w:szCs w:val="24"/>
        </w:rPr>
        <w:t xml:space="preserve">aged </w:t>
      </w:r>
      <w:r w:rsidRPr="005130DA">
        <w:rPr>
          <w:bCs/>
          <w:sz w:val="24"/>
          <w:szCs w:val="24"/>
        </w:rPr>
        <w:t>65</w:t>
      </w:r>
      <w:r w:rsidR="00077F5D">
        <w:rPr>
          <w:bCs/>
          <w:sz w:val="24"/>
          <w:szCs w:val="24"/>
        </w:rPr>
        <w:t> </w:t>
      </w:r>
      <w:r w:rsidRPr="005130DA">
        <w:rPr>
          <w:bCs/>
          <w:sz w:val="24"/>
          <w:szCs w:val="24"/>
        </w:rPr>
        <w:t>years or older.</w:t>
      </w:r>
      <w:r w:rsidR="00101F77" w:rsidRPr="005130DA">
        <w:rPr>
          <w:bCs/>
          <w:sz w:val="24"/>
          <w:szCs w:val="24"/>
        </w:rPr>
        <w:t xml:space="preserve"> </w:t>
      </w:r>
      <w:r w:rsidR="00E12B83" w:rsidRPr="004043AB">
        <w:rPr>
          <w:sz w:val="24"/>
          <w:szCs w:val="24"/>
        </w:rPr>
        <w:t>Although data are limited, n</w:t>
      </w:r>
      <w:r w:rsidRPr="004043AB">
        <w:rPr>
          <w:sz w:val="24"/>
          <w:szCs w:val="24"/>
        </w:rPr>
        <w:t xml:space="preserve">o clinically </w:t>
      </w:r>
      <w:r w:rsidR="00817075">
        <w:rPr>
          <w:sz w:val="24"/>
          <w:szCs w:val="24"/>
        </w:rPr>
        <w:t xml:space="preserve">important </w:t>
      </w:r>
      <w:r w:rsidRPr="004043AB">
        <w:rPr>
          <w:sz w:val="24"/>
          <w:szCs w:val="24"/>
        </w:rPr>
        <w:t xml:space="preserve">differences in safety or efficacy were observed between patients </w:t>
      </w:r>
      <w:r w:rsidR="00D65F66" w:rsidRPr="004043AB">
        <w:rPr>
          <w:sz w:val="24"/>
          <w:szCs w:val="24"/>
        </w:rPr>
        <w:t xml:space="preserve">aged </w:t>
      </w:r>
      <w:r w:rsidRPr="004043AB">
        <w:rPr>
          <w:sz w:val="24"/>
          <w:szCs w:val="24"/>
        </w:rPr>
        <w:t>65</w:t>
      </w:r>
      <w:r w:rsidR="00077F5D" w:rsidRPr="004043AB">
        <w:rPr>
          <w:sz w:val="24"/>
          <w:szCs w:val="24"/>
        </w:rPr>
        <w:t> </w:t>
      </w:r>
      <w:r w:rsidRPr="004043AB">
        <w:rPr>
          <w:sz w:val="24"/>
          <w:szCs w:val="24"/>
        </w:rPr>
        <w:t xml:space="preserve">years </w:t>
      </w:r>
      <w:r w:rsidR="00F03049">
        <w:rPr>
          <w:sz w:val="24"/>
          <w:szCs w:val="24"/>
        </w:rPr>
        <w:t xml:space="preserve">or older </w:t>
      </w:r>
      <w:r w:rsidRPr="004043AB">
        <w:rPr>
          <w:sz w:val="24"/>
          <w:szCs w:val="24"/>
        </w:rPr>
        <w:t>and younger patients.</w:t>
      </w:r>
    </w:p>
    <w:p w:rsidR="001E1D15" w:rsidRPr="00BA102E" w:rsidRDefault="001E1D15" w:rsidP="001E1D15">
      <w:pPr>
        <w:keepNext/>
        <w:tabs>
          <w:tab w:val="left" w:pos="360"/>
        </w:tabs>
        <w:rPr>
          <w:sz w:val="24"/>
          <w:szCs w:val="24"/>
        </w:rPr>
      </w:pPr>
    </w:p>
    <w:p w:rsidR="004F1BBF" w:rsidRPr="00C0057E" w:rsidRDefault="004F1BBF" w:rsidP="00C0057E">
      <w:pPr>
        <w:tabs>
          <w:tab w:val="left" w:pos="540"/>
        </w:tabs>
        <w:rPr>
          <w:b/>
          <w:sz w:val="24"/>
          <w:szCs w:val="24"/>
        </w:rPr>
      </w:pPr>
      <w:bookmarkStart w:id="15" w:name="_Toc128065029"/>
      <w:r w:rsidRPr="00C0057E">
        <w:rPr>
          <w:b/>
          <w:sz w:val="24"/>
          <w:szCs w:val="24"/>
        </w:rPr>
        <w:t>8.6</w:t>
      </w:r>
      <w:r w:rsidRPr="00C0057E">
        <w:rPr>
          <w:b/>
          <w:sz w:val="24"/>
          <w:szCs w:val="24"/>
        </w:rPr>
        <w:tab/>
        <w:t>Hepatic Impairment</w:t>
      </w:r>
    </w:p>
    <w:p w:rsidR="001E1D15" w:rsidRDefault="001E1D15" w:rsidP="001E1D15">
      <w:pPr>
        <w:tabs>
          <w:tab w:val="left" w:pos="360"/>
        </w:tabs>
        <w:rPr>
          <w:sz w:val="24"/>
          <w:szCs w:val="24"/>
        </w:rPr>
      </w:pPr>
    </w:p>
    <w:p w:rsidR="004F1BBF" w:rsidRDefault="004F1BBF" w:rsidP="001E1D15">
      <w:pPr>
        <w:tabs>
          <w:tab w:val="left" w:pos="360"/>
        </w:tabs>
        <w:rPr>
          <w:sz w:val="24"/>
          <w:szCs w:val="24"/>
        </w:rPr>
      </w:pPr>
      <w:r w:rsidRPr="00A65294">
        <w:rPr>
          <w:sz w:val="24"/>
          <w:szCs w:val="24"/>
        </w:rPr>
        <w:t xml:space="preserve">No dose adjustment is </w:t>
      </w:r>
      <w:r w:rsidR="00E8303B">
        <w:rPr>
          <w:sz w:val="24"/>
          <w:szCs w:val="24"/>
        </w:rPr>
        <w:t>recommende</w:t>
      </w:r>
      <w:r w:rsidR="00E8303B" w:rsidRPr="00A65294">
        <w:rPr>
          <w:sz w:val="24"/>
          <w:szCs w:val="24"/>
        </w:rPr>
        <w:t xml:space="preserve">d </w:t>
      </w:r>
      <w:r w:rsidRPr="00A65294">
        <w:rPr>
          <w:sz w:val="24"/>
          <w:szCs w:val="24"/>
        </w:rPr>
        <w:t xml:space="preserve">for patients with mild </w:t>
      </w:r>
      <w:r w:rsidR="00F03049" w:rsidRPr="00A65294">
        <w:rPr>
          <w:sz w:val="24"/>
          <w:szCs w:val="24"/>
        </w:rPr>
        <w:t>hepatic impairment</w:t>
      </w:r>
      <w:r w:rsidR="00F03049">
        <w:rPr>
          <w:bCs/>
          <w:sz w:val="24"/>
          <w:szCs w:val="24"/>
        </w:rPr>
        <w:t xml:space="preserve"> </w:t>
      </w:r>
      <w:r>
        <w:rPr>
          <w:bCs/>
          <w:sz w:val="24"/>
          <w:szCs w:val="24"/>
        </w:rPr>
        <w:t>(</w:t>
      </w:r>
      <w:r w:rsidRPr="00165DE0">
        <w:rPr>
          <w:bCs/>
          <w:sz w:val="24"/>
          <w:szCs w:val="24"/>
        </w:rPr>
        <w:t xml:space="preserve">total bilirubin </w:t>
      </w:r>
      <w:r w:rsidR="00321158">
        <w:rPr>
          <w:bCs/>
          <w:sz w:val="24"/>
          <w:szCs w:val="24"/>
        </w:rPr>
        <w:t>≤</w:t>
      </w:r>
      <w:r>
        <w:rPr>
          <w:bCs/>
          <w:sz w:val="24"/>
          <w:szCs w:val="24"/>
        </w:rPr>
        <w:t xml:space="preserve"> </w:t>
      </w:r>
      <w:r w:rsidR="00B23C4A">
        <w:rPr>
          <w:bCs/>
          <w:sz w:val="24"/>
          <w:szCs w:val="24"/>
        </w:rPr>
        <w:t>upper limit of normal [</w:t>
      </w:r>
      <w:r w:rsidRPr="00165DE0">
        <w:rPr>
          <w:bCs/>
          <w:sz w:val="24"/>
          <w:szCs w:val="24"/>
        </w:rPr>
        <w:t>ULN</w:t>
      </w:r>
      <w:r w:rsidR="00B23C4A">
        <w:rPr>
          <w:bCs/>
          <w:sz w:val="24"/>
          <w:szCs w:val="24"/>
        </w:rPr>
        <w:t>]</w:t>
      </w:r>
      <w:r w:rsidRPr="00165DE0">
        <w:rPr>
          <w:bCs/>
          <w:sz w:val="24"/>
          <w:szCs w:val="24"/>
        </w:rPr>
        <w:t xml:space="preserve"> </w:t>
      </w:r>
      <w:r w:rsidR="009D5F34" w:rsidRPr="008C5DB0">
        <w:rPr>
          <w:bCs/>
          <w:sz w:val="24"/>
          <w:szCs w:val="24"/>
        </w:rPr>
        <w:t>with</w:t>
      </w:r>
      <w:r w:rsidRPr="00165DE0">
        <w:rPr>
          <w:bCs/>
          <w:sz w:val="24"/>
          <w:szCs w:val="24"/>
        </w:rPr>
        <w:t xml:space="preserve"> AST </w:t>
      </w:r>
      <w:r w:rsidR="00FF42F5">
        <w:rPr>
          <w:bCs/>
          <w:sz w:val="24"/>
          <w:szCs w:val="24"/>
        </w:rPr>
        <w:t>&gt;</w:t>
      </w:r>
      <w:r>
        <w:rPr>
          <w:bCs/>
          <w:sz w:val="24"/>
          <w:szCs w:val="24"/>
        </w:rPr>
        <w:t xml:space="preserve"> </w:t>
      </w:r>
      <w:r w:rsidRPr="00165DE0">
        <w:rPr>
          <w:bCs/>
          <w:sz w:val="24"/>
          <w:szCs w:val="24"/>
        </w:rPr>
        <w:t xml:space="preserve">ULN or total bilirubin </w:t>
      </w:r>
      <w:r w:rsidR="00FF42F5">
        <w:rPr>
          <w:bCs/>
          <w:sz w:val="24"/>
          <w:szCs w:val="24"/>
        </w:rPr>
        <w:t>&gt;</w:t>
      </w:r>
      <w:r w:rsidRPr="00165DE0">
        <w:rPr>
          <w:bCs/>
          <w:sz w:val="24"/>
          <w:szCs w:val="24"/>
        </w:rPr>
        <w:t>1</w:t>
      </w:r>
      <w:r w:rsidR="008C5DB0">
        <w:rPr>
          <w:bCs/>
          <w:sz w:val="24"/>
          <w:szCs w:val="24"/>
        </w:rPr>
        <w:t xml:space="preserve"> to </w:t>
      </w:r>
      <w:r w:rsidRPr="008C5DB0">
        <w:rPr>
          <w:bCs/>
          <w:sz w:val="24"/>
          <w:szCs w:val="24"/>
        </w:rPr>
        <w:t>1</w:t>
      </w:r>
      <w:r w:rsidRPr="00165DE0">
        <w:rPr>
          <w:bCs/>
          <w:sz w:val="24"/>
          <w:szCs w:val="24"/>
        </w:rPr>
        <w:t xml:space="preserve">.5 × ULN </w:t>
      </w:r>
      <w:r w:rsidR="009D5F34" w:rsidRPr="008C5DB0">
        <w:rPr>
          <w:bCs/>
          <w:sz w:val="24"/>
          <w:szCs w:val="24"/>
        </w:rPr>
        <w:t>with</w:t>
      </w:r>
      <w:r w:rsidRPr="00165DE0">
        <w:rPr>
          <w:bCs/>
          <w:sz w:val="24"/>
          <w:szCs w:val="24"/>
        </w:rPr>
        <w:t xml:space="preserve"> any AST)</w:t>
      </w:r>
      <w:r w:rsidRPr="00A65294">
        <w:rPr>
          <w:sz w:val="24"/>
          <w:szCs w:val="24"/>
        </w:rPr>
        <w:t>.</w:t>
      </w:r>
      <w:r w:rsidRPr="00201392">
        <w:rPr>
          <w:sz w:val="24"/>
          <w:szCs w:val="24"/>
        </w:rPr>
        <w:t xml:space="preserve"> </w:t>
      </w:r>
      <w:r w:rsidR="009D5F34">
        <w:rPr>
          <w:sz w:val="24"/>
          <w:szCs w:val="24"/>
        </w:rPr>
        <w:t>The</w:t>
      </w:r>
      <w:r w:rsidR="00E8303B">
        <w:rPr>
          <w:sz w:val="24"/>
          <w:szCs w:val="24"/>
        </w:rPr>
        <w:t xml:space="preserve"> recommended dose of </w:t>
      </w:r>
      <w:r w:rsidR="001A2032">
        <w:rPr>
          <w:sz w:val="24"/>
          <w:szCs w:val="24"/>
        </w:rPr>
        <w:t>LORBRENA</w:t>
      </w:r>
      <w:r w:rsidRPr="00201392">
        <w:rPr>
          <w:sz w:val="24"/>
          <w:szCs w:val="24"/>
        </w:rPr>
        <w:t xml:space="preserve"> </w:t>
      </w:r>
      <w:r w:rsidR="000F6280">
        <w:rPr>
          <w:sz w:val="24"/>
          <w:szCs w:val="24"/>
        </w:rPr>
        <w:t xml:space="preserve">has not been established </w:t>
      </w:r>
      <w:r w:rsidR="00E8303B">
        <w:rPr>
          <w:sz w:val="24"/>
          <w:szCs w:val="24"/>
        </w:rPr>
        <w:t>for</w:t>
      </w:r>
      <w:r w:rsidRPr="00201392">
        <w:rPr>
          <w:sz w:val="24"/>
          <w:szCs w:val="24"/>
        </w:rPr>
        <w:t xml:space="preserve"> patients with moderate or severe hepatic impairment</w:t>
      </w:r>
      <w:r w:rsidR="00FD41B8">
        <w:rPr>
          <w:sz w:val="24"/>
          <w:szCs w:val="24"/>
        </w:rPr>
        <w:t xml:space="preserve"> </w:t>
      </w:r>
      <w:r w:rsidR="00FD41B8" w:rsidRPr="00A440F7">
        <w:rPr>
          <w:i/>
          <w:sz w:val="24"/>
          <w:szCs w:val="24"/>
        </w:rPr>
        <w:t xml:space="preserve">[see </w:t>
      </w:r>
      <w:r w:rsidR="00FD41B8">
        <w:rPr>
          <w:i/>
          <w:sz w:val="24"/>
          <w:szCs w:val="24"/>
        </w:rPr>
        <w:t xml:space="preserve">Clinical Pharmacology </w:t>
      </w:r>
      <w:r w:rsidR="00FD41B8" w:rsidRPr="00A440F7">
        <w:rPr>
          <w:i/>
          <w:sz w:val="24"/>
          <w:szCs w:val="24"/>
        </w:rPr>
        <w:t>(</w:t>
      </w:r>
      <w:r w:rsidR="00FD41B8">
        <w:rPr>
          <w:i/>
          <w:sz w:val="24"/>
          <w:szCs w:val="24"/>
        </w:rPr>
        <w:t>12.3</w:t>
      </w:r>
      <w:r w:rsidR="00FD41B8" w:rsidRPr="00A440F7">
        <w:rPr>
          <w:i/>
          <w:sz w:val="24"/>
          <w:szCs w:val="24"/>
        </w:rPr>
        <w:t>)]</w:t>
      </w:r>
      <w:r w:rsidRPr="00201392">
        <w:rPr>
          <w:sz w:val="24"/>
          <w:szCs w:val="24"/>
        </w:rPr>
        <w:t>.</w:t>
      </w:r>
    </w:p>
    <w:p w:rsidR="001E1D15" w:rsidRDefault="001E1D15" w:rsidP="001E1D15">
      <w:pPr>
        <w:tabs>
          <w:tab w:val="left" w:pos="360"/>
        </w:tabs>
        <w:rPr>
          <w:sz w:val="24"/>
          <w:szCs w:val="24"/>
        </w:rPr>
      </w:pPr>
    </w:p>
    <w:p w:rsidR="00C921D6" w:rsidRPr="00C0057E" w:rsidRDefault="00F979A6" w:rsidP="00C0057E">
      <w:pPr>
        <w:tabs>
          <w:tab w:val="left" w:pos="540"/>
        </w:tabs>
        <w:rPr>
          <w:b/>
          <w:sz w:val="24"/>
          <w:szCs w:val="24"/>
        </w:rPr>
      </w:pPr>
      <w:r w:rsidRPr="00C0057E">
        <w:rPr>
          <w:b/>
          <w:sz w:val="24"/>
          <w:szCs w:val="24"/>
        </w:rPr>
        <w:t>8.</w:t>
      </w:r>
      <w:r w:rsidR="004F1BBF" w:rsidRPr="00C0057E">
        <w:rPr>
          <w:b/>
          <w:sz w:val="24"/>
          <w:szCs w:val="24"/>
        </w:rPr>
        <w:t>7</w:t>
      </w:r>
      <w:r w:rsidRPr="00C0057E">
        <w:rPr>
          <w:b/>
          <w:sz w:val="24"/>
          <w:szCs w:val="24"/>
        </w:rPr>
        <w:tab/>
        <w:t>Ren</w:t>
      </w:r>
      <w:r w:rsidR="00DD0D9A" w:rsidRPr="00C0057E">
        <w:rPr>
          <w:b/>
          <w:sz w:val="24"/>
          <w:szCs w:val="24"/>
        </w:rPr>
        <w:t>al</w:t>
      </w:r>
      <w:bookmarkEnd w:id="15"/>
      <w:r w:rsidRPr="00C0057E">
        <w:rPr>
          <w:b/>
          <w:sz w:val="24"/>
          <w:szCs w:val="24"/>
        </w:rPr>
        <w:t xml:space="preserve"> </w:t>
      </w:r>
      <w:r w:rsidR="00C921D6" w:rsidRPr="00C0057E">
        <w:rPr>
          <w:b/>
          <w:sz w:val="24"/>
          <w:szCs w:val="24"/>
        </w:rPr>
        <w:t>Impairment</w:t>
      </w:r>
    </w:p>
    <w:p w:rsidR="001E1D15" w:rsidRDefault="001E1D15" w:rsidP="00EB76F0">
      <w:pPr>
        <w:tabs>
          <w:tab w:val="left" w:pos="360"/>
        </w:tabs>
        <w:rPr>
          <w:sz w:val="24"/>
          <w:szCs w:val="24"/>
        </w:rPr>
      </w:pPr>
    </w:p>
    <w:p w:rsidR="00101F77" w:rsidRDefault="00A65294" w:rsidP="00EB76F0">
      <w:pPr>
        <w:tabs>
          <w:tab w:val="left" w:pos="360"/>
        </w:tabs>
        <w:rPr>
          <w:sz w:val="24"/>
          <w:szCs w:val="24"/>
        </w:rPr>
      </w:pPr>
      <w:r w:rsidRPr="00A65294">
        <w:rPr>
          <w:sz w:val="24"/>
          <w:szCs w:val="24"/>
        </w:rPr>
        <w:t xml:space="preserve">No dose adjustment is </w:t>
      </w:r>
      <w:r w:rsidR="0030243C">
        <w:rPr>
          <w:sz w:val="24"/>
          <w:szCs w:val="24"/>
        </w:rPr>
        <w:t>recommen</w:t>
      </w:r>
      <w:r w:rsidR="0030243C" w:rsidRPr="00A65294">
        <w:rPr>
          <w:sz w:val="24"/>
          <w:szCs w:val="24"/>
        </w:rPr>
        <w:t xml:space="preserve">ded </w:t>
      </w:r>
      <w:r w:rsidRPr="00A65294">
        <w:rPr>
          <w:sz w:val="24"/>
          <w:szCs w:val="24"/>
        </w:rPr>
        <w:t xml:space="preserve">for patients with mild or moderate </w:t>
      </w:r>
      <w:r w:rsidR="00F03049" w:rsidRPr="00A65294">
        <w:rPr>
          <w:sz w:val="24"/>
          <w:szCs w:val="24"/>
        </w:rPr>
        <w:t xml:space="preserve">renal impairment </w:t>
      </w:r>
      <w:r w:rsidRPr="00A65294">
        <w:rPr>
          <w:sz w:val="24"/>
          <w:szCs w:val="24"/>
        </w:rPr>
        <w:t>(</w:t>
      </w:r>
      <w:r w:rsidR="00996E91">
        <w:rPr>
          <w:sz w:val="24"/>
          <w:szCs w:val="24"/>
        </w:rPr>
        <w:t>c</w:t>
      </w:r>
      <w:r w:rsidR="00996E91" w:rsidRPr="00B23C4A">
        <w:rPr>
          <w:sz w:val="24"/>
          <w:szCs w:val="24"/>
        </w:rPr>
        <w:t xml:space="preserve">reatinine </w:t>
      </w:r>
      <w:r w:rsidR="00996E91">
        <w:rPr>
          <w:sz w:val="24"/>
          <w:szCs w:val="24"/>
        </w:rPr>
        <w:t>c</w:t>
      </w:r>
      <w:r w:rsidR="00996E91" w:rsidRPr="00B23C4A">
        <w:rPr>
          <w:sz w:val="24"/>
          <w:szCs w:val="24"/>
        </w:rPr>
        <w:t>learance</w:t>
      </w:r>
      <w:r w:rsidR="00996E91">
        <w:rPr>
          <w:sz w:val="24"/>
          <w:szCs w:val="24"/>
        </w:rPr>
        <w:t xml:space="preserve"> [</w:t>
      </w:r>
      <w:r w:rsidR="00996E91" w:rsidRPr="00A65294">
        <w:rPr>
          <w:sz w:val="24"/>
          <w:szCs w:val="24"/>
        </w:rPr>
        <w:t>CL</w:t>
      </w:r>
      <w:r w:rsidR="00996E91" w:rsidRPr="00B04577">
        <w:rPr>
          <w:sz w:val="24"/>
          <w:szCs w:val="24"/>
        </w:rPr>
        <w:t>cr</w:t>
      </w:r>
      <w:r w:rsidR="00996E91" w:rsidRPr="00B23C4A">
        <w:rPr>
          <w:sz w:val="24"/>
          <w:szCs w:val="24"/>
        </w:rPr>
        <w:t>]</w:t>
      </w:r>
      <w:r w:rsidRPr="00A65294">
        <w:rPr>
          <w:sz w:val="24"/>
          <w:szCs w:val="24"/>
        </w:rPr>
        <w:t xml:space="preserve"> 30</w:t>
      </w:r>
      <w:r w:rsidR="008C5DB0">
        <w:rPr>
          <w:sz w:val="24"/>
          <w:szCs w:val="24"/>
        </w:rPr>
        <w:t xml:space="preserve"> to </w:t>
      </w:r>
      <w:r w:rsidR="00996E91">
        <w:rPr>
          <w:sz w:val="24"/>
          <w:szCs w:val="24"/>
        </w:rPr>
        <w:t>8</w:t>
      </w:r>
      <w:r w:rsidR="00996E91" w:rsidRPr="00A65294">
        <w:rPr>
          <w:sz w:val="24"/>
          <w:szCs w:val="24"/>
        </w:rPr>
        <w:t>9</w:t>
      </w:r>
      <w:r w:rsidR="00996E91">
        <w:rPr>
          <w:sz w:val="24"/>
          <w:szCs w:val="24"/>
        </w:rPr>
        <w:t> </w:t>
      </w:r>
      <w:r w:rsidRPr="00A65294">
        <w:rPr>
          <w:sz w:val="24"/>
          <w:szCs w:val="24"/>
        </w:rPr>
        <w:t>mL/min</w:t>
      </w:r>
      <w:r w:rsidR="00996E91" w:rsidRPr="00996E91">
        <w:rPr>
          <w:sz w:val="24"/>
          <w:szCs w:val="24"/>
        </w:rPr>
        <w:t xml:space="preserve"> </w:t>
      </w:r>
      <w:r w:rsidR="00996E91">
        <w:rPr>
          <w:sz w:val="24"/>
          <w:szCs w:val="24"/>
        </w:rPr>
        <w:t>estimated by Cockcroft-Gault</w:t>
      </w:r>
      <w:r w:rsidRPr="00A65294">
        <w:rPr>
          <w:sz w:val="24"/>
          <w:szCs w:val="24"/>
        </w:rPr>
        <w:t>)</w:t>
      </w:r>
      <w:r w:rsidR="0030243C">
        <w:rPr>
          <w:sz w:val="24"/>
          <w:szCs w:val="24"/>
        </w:rPr>
        <w:t>.</w:t>
      </w:r>
      <w:r w:rsidRPr="00A65294">
        <w:rPr>
          <w:sz w:val="24"/>
          <w:szCs w:val="24"/>
        </w:rPr>
        <w:t xml:space="preserve"> </w:t>
      </w:r>
      <w:r w:rsidR="009D5F34">
        <w:rPr>
          <w:sz w:val="24"/>
          <w:szCs w:val="24"/>
        </w:rPr>
        <w:t>The</w:t>
      </w:r>
      <w:r w:rsidR="00B04577">
        <w:rPr>
          <w:sz w:val="24"/>
          <w:szCs w:val="24"/>
        </w:rPr>
        <w:t xml:space="preserve"> recommended dose of </w:t>
      </w:r>
      <w:r w:rsidR="001A2032">
        <w:rPr>
          <w:sz w:val="24"/>
          <w:szCs w:val="24"/>
        </w:rPr>
        <w:t>LORBRENA</w:t>
      </w:r>
      <w:r w:rsidR="00201392" w:rsidRPr="00201392">
        <w:rPr>
          <w:sz w:val="24"/>
          <w:szCs w:val="24"/>
        </w:rPr>
        <w:t xml:space="preserve"> </w:t>
      </w:r>
      <w:r w:rsidR="000F6280">
        <w:rPr>
          <w:sz w:val="24"/>
          <w:szCs w:val="24"/>
        </w:rPr>
        <w:t xml:space="preserve">has not been established </w:t>
      </w:r>
      <w:r w:rsidR="00B04577">
        <w:rPr>
          <w:sz w:val="24"/>
          <w:szCs w:val="24"/>
        </w:rPr>
        <w:t>for</w:t>
      </w:r>
      <w:r w:rsidR="00B04577" w:rsidRPr="00201392">
        <w:rPr>
          <w:sz w:val="24"/>
          <w:szCs w:val="24"/>
        </w:rPr>
        <w:t xml:space="preserve"> </w:t>
      </w:r>
      <w:r w:rsidR="00201392" w:rsidRPr="00201392">
        <w:rPr>
          <w:sz w:val="24"/>
          <w:szCs w:val="24"/>
        </w:rPr>
        <w:t>patients with severe renal impairment</w:t>
      </w:r>
      <w:r w:rsidR="00FD41B8">
        <w:rPr>
          <w:sz w:val="24"/>
          <w:szCs w:val="24"/>
        </w:rPr>
        <w:t xml:space="preserve"> </w:t>
      </w:r>
      <w:r w:rsidR="00FD41B8" w:rsidRPr="00A440F7">
        <w:rPr>
          <w:i/>
          <w:sz w:val="24"/>
          <w:szCs w:val="24"/>
        </w:rPr>
        <w:t xml:space="preserve">[see </w:t>
      </w:r>
      <w:r w:rsidR="00FD41B8">
        <w:rPr>
          <w:i/>
          <w:sz w:val="24"/>
          <w:szCs w:val="24"/>
        </w:rPr>
        <w:t xml:space="preserve">Clinical Pharmacology </w:t>
      </w:r>
      <w:r w:rsidR="00FD41B8" w:rsidRPr="00A440F7">
        <w:rPr>
          <w:i/>
          <w:sz w:val="24"/>
          <w:szCs w:val="24"/>
        </w:rPr>
        <w:t>(</w:t>
      </w:r>
      <w:r w:rsidR="00FD41B8">
        <w:rPr>
          <w:i/>
          <w:sz w:val="24"/>
          <w:szCs w:val="24"/>
        </w:rPr>
        <w:t>12.3</w:t>
      </w:r>
      <w:r w:rsidR="00FD41B8" w:rsidRPr="00A440F7">
        <w:rPr>
          <w:i/>
          <w:sz w:val="24"/>
          <w:szCs w:val="24"/>
        </w:rPr>
        <w:t>)]</w:t>
      </w:r>
      <w:r w:rsidR="00201392" w:rsidRPr="00201392">
        <w:rPr>
          <w:sz w:val="24"/>
          <w:szCs w:val="24"/>
        </w:rPr>
        <w:t>.</w:t>
      </w:r>
      <w:bookmarkStart w:id="16" w:name="_Toc128065035"/>
      <w:r w:rsidR="00101F77" w:rsidRPr="00101F77">
        <w:rPr>
          <w:sz w:val="24"/>
          <w:szCs w:val="24"/>
        </w:rPr>
        <w:t xml:space="preserve"> </w:t>
      </w:r>
    </w:p>
    <w:p w:rsidR="001E1D15" w:rsidRPr="00BA102E" w:rsidRDefault="001E1D15" w:rsidP="001E1D15">
      <w:pPr>
        <w:tabs>
          <w:tab w:val="left" w:pos="360"/>
        </w:tabs>
        <w:rPr>
          <w:sz w:val="24"/>
          <w:szCs w:val="24"/>
        </w:rPr>
      </w:pPr>
    </w:p>
    <w:p w:rsidR="00DD0D9A" w:rsidRPr="00672813" w:rsidRDefault="002A7E70" w:rsidP="00FB2F11">
      <w:pPr>
        <w:keepNext/>
        <w:tabs>
          <w:tab w:val="left" w:pos="360"/>
        </w:tabs>
        <w:rPr>
          <w:b/>
          <w:sz w:val="24"/>
          <w:szCs w:val="24"/>
        </w:rPr>
      </w:pPr>
      <w:r w:rsidRPr="00672813">
        <w:rPr>
          <w:b/>
          <w:sz w:val="24"/>
          <w:szCs w:val="24"/>
        </w:rPr>
        <w:lastRenderedPageBreak/>
        <w:t>11</w:t>
      </w:r>
      <w:r w:rsidR="00633D50" w:rsidRPr="00672813">
        <w:rPr>
          <w:b/>
          <w:sz w:val="24"/>
          <w:szCs w:val="24"/>
        </w:rPr>
        <w:tab/>
      </w:r>
      <w:r w:rsidR="00DC60E3" w:rsidRPr="00672813">
        <w:rPr>
          <w:b/>
          <w:sz w:val="24"/>
          <w:szCs w:val="24"/>
        </w:rPr>
        <w:tab/>
      </w:r>
      <w:r w:rsidR="00DD0D9A" w:rsidRPr="00672813">
        <w:rPr>
          <w:b/>
          <w:sz w:val="24"/>
          <w:szCs w:val="24"/>
        </w:rPr>
        <w:t>DESCRIPTION</w:t>
      </w:r>
      <w:bookmarkEnd w:id="16"/>
    </w:p>
    <w:p w:rsidR="001E1D15" w:rsidRDefault="001E1D15" w:rsidP="00FB2F11">
      <w:pPr>
        <w:pStyle w:val="CommentText"/>
        <w:keepNext/>
        <w:rPr>
          <w:sz w:val="24"/>
          <w:szCs w:val="24"/>
        </w:rPr>
      </w:pPr>
    </w:p>
    <w:p w:rsidR="00F0795A" w:rsidRDefault="001A2032" w:rsidP="00FB2F11">
      <w:pPr>
        <w:pStyle w:val="CommentText"/>
        <w:keepNext/>
        <w:rPr>
          <w:sz w:val="24"/>
          <w:szCs w:val="24"/>
        </w:rPr>
      </w:pPr>
      <w:r>
        <w:rPr>
          <w:sz w:val="24"/>
          <w:szCs w:val="24"/>
        </w:rPr>
        <w:t>LORBRENA</w:t>
      </w:r>
      <w:r w:rsidR="008010BB">
        <w:rPr>
          <w:sz w:val="24"/>
          <w:szCs w:val="24"/>
        </w:rPr>
        <w:t xml:space="preserve"> (l</w:t>
      </w:r>
      <w:r w:rsidR="009809E6">
        <w:rPr>
          <w:sz w:val="24"/>
          <w:szCs w:val="24"/>
        </w:rPr>
        <w:t>orlatinib</w:t>
      </w:r>
      <w:r w:rsidR="008010BB">
        <w:rPr>
          <w:sz w:val="24"/>
          <w:szCs w:val="24"/>
        </w:rPr>
        <w:t>)</w:t>
      </w:r>
      <w:r w:rsidR="00141DC4" w:rsidRPr="00BA102E">
        <w:rPr>
          <w:sz w:val="24"/>
          <w:szCs w:val="24"/>
        </w:rPr>
        <w:t xml:space="preserve"> is a</w:t>
      </w:r>
      <w:r w:rsidR="008010BB">
        <w:rPr>
          <w:sz w:val="24"/>
          <w:szCs w:val="24"/>
        </w:rPr>
        <w:t xml:space="preserve"> </w:t>
      </w:r>
      <w:r w:rsidR="00101F77">
        <w:rPr>
          <w:sz w:val="24"/>
          <w:szCs w:val="24"/>
        </w:rPr>
        <w:t>kinase</w:t>
      </w:r>
      <w:r w:rsidR="008010BB">
        <w:rPr>
          <w:sz w:val="24"/>
          <w:szCs w:val="24"/>
        </w:rPr>
        <w:t xml:space="preserve"> inhibitor</w:t>
      </w:r>
      <w:r w:rsidR="00F0795A">
        <w:rPr>
          <w:sz w:val="24"/>
          <w:szCs w:val="24"/>
        </w:rPr>
        <w:t xml:space="preserve"> for oral administration. </w:t>
      </w:r>
      <w:r w:rsidR="00F0795A" w:rsidRPr="00F0795A">
        <w:rPr>
          <w:sz w:val="24"/>
          <w:szCs w:val="24"/>
        </w:rPr>
        <w:t>The molecular formula is C</w:t>
      </w:r>
      <w:r w:rsidR="00F0795A" w:rsidRPr="00F0795A">
        <w:rPr>
          <w:sz w:val="24"/>
          <w:szCs w:val="24"/>
          <w:vertAlign w:val="subscript"/>
        </w:rPr>
        <w:t>21</w:t>
      </w:r>
      <w:r w:rsidR="00F0795A" w:rsidRPr="00F0795A">
        <w:rPr>
          <w:sz w:val="24"/>
          <w:szCs w:val="24"/>
        </w:rPr>
        <w:t>H</w:t>
      </w:r>
      <w:r w:rsidR="00F0795A" w:rsidRPr="00F0795A">
        <w:rPr>
          <w:sz w:val="24"/>
          <w:szCs w:val="24"/>
          <w:vertAlign w:val="subscript"/>
        </w:rPr>
        <w:t>19</w:t>
      </w:r>
      <w:r w:rsidR="00F0795A" w:rsidRPr="00F0795A">
        <w:rPr>
          <w:sz w:val="24"/>
          <w:szCs w:val="24"/>
        </w:rPr>
        <w:t>FN</w:t>
      </w:r>
      <w:r w:rsidR="00F0795A" w:rsidRPr="00F0795A">
        <w:rPr>
          <w:sz w:val="24"/>
          <w:szCs w:val="24"/>
          <w:vertAlign w:val="subscript"/>
        </w:rPr>
        <w:t>6</w:t>
      </w:r>
      <w:r w:rsidR="00F0795A" w:rsidRPr="00F0795A">
        <w:rPr>
          <w:sz w:val="24"/>
          <w:szCs w:val="24"/>
        </w:rPr>
        <w:t>O</w:t>
      </w:r>
      <w:r w:rsidR="00F0795A" w:rsidRPr="00F0795A">
        <w:rPr>
          <w:sz w:val="24"/>
          <w:szCs w:val="24"/>
          <w:vertAlign w:val="subscript"/>
        </w:rPr>
        <w:t>2</w:t>
      </w:r>
      <w:r w:rsidR="000E3E97">
        <w:rPr>
          <w:sz w:val="24"/>
          <w:szCs w:val="24"/>
        </w:rPr>
        <w:t xml:space="preserve"> (anhydrous form)</w:t>
      </w:r>
      <w:r w:rsidR="00996E91">
        <w:rPr>
          <w:sz w:val="24"/>
          <w:szCs w:val="24"/>
        </w:rPr>
        <w:t xml:space="preserve"> </w:t>
      </w:r>
      <w:r w:rsidR="009F1817">
        <w:rPr>
          <w:sz w:val="24"/>
          <w:szCs w:val="24"/>
        </w:rPr>
        <w:t>and t</w:t>
      </w:r>
      <w:r w:rsidR="00F0795A" w:rsidRPr="00F0795A">
        <w:rPr>
          <w:sz w:val="24"/>
          <w:szCs w:val="24"/>
        </w:rPr>
        <w:t>he molecular weight is 406.41</w:t>
      </w:r>
      <w:r w:rsidR="00077F5D">
        <w:rPr>
          <w:sz w:val="24"/>
          <w:szCs w:val="24"/>
        </w:rPr>
        <w:t> </w:t>
      </w:r>
      <w:r w:rsidR="00F0795A" w:rsidRPr="00F0795A">
        <w:rPr>
          <w:sz w:val="24"/>
          <w:szCs w:val="24"/>
        </w:rPr>
        <w:t>Daltons.</w:t>
      </w:r>
      <w:r w:rsidR="00077F5D" w:rsidRPr="009008DB">
        <w:rPr>
          <w:sz w:val="24"/>
        </w:rPr>
        <w:t xml:space="preserve"> </w:t>
      </w:r>
      <w:r w:rsidR="003357DB" w:rsidRPr="003357DB">
        <w:rPr>
          <w:sz w:val="24"/>
          <w:szCs w:val="24"/>
        </w:rPr>
        <w:t xml:space="preserve">The chemical name is </w:t>
      </w:r>
      <w:r w:rsidR="00560A44" w:rsidRPr="00D700C3">
        <w:rPr>
          <w:sz w:val="24"/>
          <w:szCs w:val="24"/>
        </w:rPr>
        <w:t>(10</w:t>
      </w:r>
      <w:r w:rsidR="00560A44" w:rsidRPr="009803C3">
        <w:rPr>
          <w:i/>
          <w:sz w:val="24"/>
          <w:szCs w:val="24"/>
        </w:rPr>
        <w:t>R</w:t>
      </w:r>
      <w:r w:rsidR="00560A44" w:rsidRPr="00D700C3">
        <w:rPr>
          <w:sz w:val="24"/>
          <w:szCs w:val="24"/>
        </w:rPr>
        <w:t>)-7-amino-12-fluoro-2,10,16-trimethyl-15-oxo-10,15,16,17-tetrahydro-2</w:t>
      </w:r>
      <w:r w:rsidR="00560A44" w:rsidRPr="00CF4512">
        <w:rPr>
          <w:i/>
          <w:sz w:val="24"/>
          <w:szCs w:val="24"/>
        </w:rPr>
        <w:t>H</w:t>
      </w:r>
      <w:r w:rsidR="00560A44" w:rsidRPr="00D700C3">
        <w:rPr>
          <w:sz w:val="24"/>
          <w:szCs w:val="24"/>
        </w:rPr>
        <w:t>-4,8-methenopyrazolo[4,3-</w:t>
      </w:r>
      <w:r w:rsidR="00560A44" w:rsidRPr="00CF4512">
        <w:rPr>
          <w:i/>
          <w:sz w:val="24"/>
          <w:szCs w:val="24"/>
        </w:rPr>
        <w:t>h</w:t>
      </w:r>
      <w:r w:rsidR="00560A44" w:rsidRPr="00D700C3">
        <w:rPr>
          <w:sz w:val="24"/>
          <w:szCs w:val="24"/>
        </w:rPr>
        <w:t>][2,5,11]</w:t>
      </w:r>
      <w:r w:rsidR="003357DB">
        <w:rPr>
          <w:sz w:val="24"/>
          <w:szCs w:val="24"/>
        </w:rPr>
        <w:t xml:space="preserve"> </w:t>
      </w:r>
      <w:r w:rsidR="00560A44" w:rsidRPr="00D700C3">
        <w:rPr>
          <w:sz w:val="24"/>
          <w:szCs w:val="24"/>
        </w:rPr>
        <w:t>benzoxadiazacyclotetradecine-3-carbonitrile.</w:t>
      </w:r>
      <w:r w:rsidR="00DD0D2B">
        <w:rPr>
          <w:sz w:val="24"/>
          <w:szCs w:val="24"/>
        </w:rPr>
        <w:t xml:space="preserve"> </w:t>
      </w:r>
      <w:r w:rsidR="00F0795A" w:rsidRPr="00F0795A">
        <w:rPr>
          <w:sz w:val="24"/>
          <w:szCs w:val="24"/>
        </w:rPr>
        <w:t>The chemical structure is shown below:</w:t>
      </w:r>
    </w:p>
    <w:p w:rsidR="00C353DD" w:rsidRPr="00F0795A" w:rsidRDefault="00C353DD" w:rsidP="001E1D15">
      <w:pPr>
        <w:tabs>
          <w:tab w:val="left" w:pos="360"/>
        </w:tabs>
        <w:rPr>
          <w:sz w:val="24"/>
          <w:szCs w:val="24"/>
        </w:rPr>
      </w:pPr>
    </w:p>
    <w:p w:rsidR="003773A4" w:rsidRDefault="003773A4" w:rsidP="001E1D15">
      <w:pPr>
        <w:tabs>
          <w:tab w:val="left" w:pos="360"/>
        </w:tabs>
        <w:jc w:val="center"/>
        <w:rPr>
          <w:sz w:val="24"/>
          <w:szCs w:val="24"/>
        </w:rPr>
      </w:pPr>
      <w:r>
        <w:object w:dxaOrig="2709" w:dyaOrig="2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100.5pt" o:ole="">
            <v:imagedata r:id="rId16" o:title=""/>
          </v:shape>
          <o:OLEObject Type="Embed" ProgID="ChemDraw.Document.6.0" ShapeID="_x0000_i1025" DrawAspect="Content" ObjectID="_1622293998" r:id="rId17"/>
        </w:object>
      </w:r>
    </w:p>
    <w:p w:rsidR="003773A4" w:rsidRPr="00BA102E" w:rsidRDefault="003773A4" w:rsidP="001E1D15">
      <w:pPr>
        <w:tabs>
          <w:tab w:val="left" w:pos="360"/>
        </w:tabs>
        <w:rPr>
          <w:sz w:val="24"/>
          <w:szCs w:val="24"/>
        </w:rPr>
      </w:pPr>
    </w:p>
    <w:p w:rsidR="00E63F8F" w:rsidRDefault="00560A44" w:rsidP="001E1D15">
      <w:pPr>
        <w:pStyle w:val="CommentText"/>
        <w:rPr>
          <w:sz w:val="24"/>
          <w:szCs w:val="24"/>
        </w:rPr>
      </w:pPr>
      <w:r>
        <w:rPr>
          <w:sz w:val="24"/>
          <w:szCs w:val="24"/>
        </w:rPr>
        <w:t>Lorlatinib is a w</w:t>
      </w:r>
      <w:r w:rsidRPr="00C353DD">
        <w:rPr>
          <w:sz w:val="24"/>
          <w:szCs w:val="24"/>
        </w:rPr>
        <w:t xml:space="preserve">hite to </w:t>
      </w:r>
      <w:r>
        <w:rPr>
          <w:sz w:val="24"/>
          <w:szCs w:val="24"/>
        </w:rPr>
        <w:t>off-white</w:t>
      </w:r>
      <w:r w:rsidRPr="00C353DD">
        <w:rPr>
          <w:sz w:val="24"/>
          <w:szCs w:val="24"/>
        </w:rPr>
        <w:t xml:space="preserve"> powder</w:t>
      </w:r>
      <w:r>
        <w:rPr>
          <w:sz w:val="24"/>
          <w:szCs w:val="24"/>
        </w:rPr>
        <w:t xml:space="preserve"> </w:t>
      </w:r>
      <w:r w:rsidRPr="000E3E97">
        <w:rPr>
          <w:sz w:val="24"/>
          <w:szCs w:val="24"/>
        </w:rPr>
        <w:t xml:space="preserve">with a pKa of </w:t>
      </w:r>
      <w:r>
        <w:rPr>
          <w:sz w:val="24"/>
          <w:szCs w:val="24"/>
        </w:rPr>
        <w:t xml:space="preserve">4.92. The solubility of lorlatinib </w:t>
      </w:r>
      <w:r w:rsidRPr="000E3E97">
        <w:rPr>
          <w:sz w:val="24"/>
          <w:szCs w:val="24"/>
        </w:rPr>
        <w:t>in aqueous media decreases over the range pH</w:t>
      </w:r>
      <w:r w:rsidR="00077F5D">
        <w:rPr>
          <w:sz w:val="24"/>
          <w:szCs w:val="24"/>
        </w:rPr>
        <w:t> </w:t>
      </w:r>
      <w:r>
        <w:rPr>
          <w:sz w:val="24"/>
          <w:szCs w:val="24"/>
        </w:rPr>
        <w:t>2.55</w:t>
      </w:r>
      <w:r w:rsidRPr="000E3E97">
        <w:rPr>
          <w:sz w:val="24"/>
          <w:szCs w:val="24"/>
        </w:rPr>
        <w:t xml:space="preserve"> to pH</w:t>
      </w:r>
      <w:r w:rsidR="00077F5D">
        <w:rPr>
          <w:sz w:val="24"/>
          <w:szCs w:val="24"/>
        </w:rPr>
        <w:t> </w:t>
      </w:r>
      <w:r>
        <w:rPr>
          <w:sz w:val="24"/>
          <w:szCs w:val="24"/>
        </w:rPr>
        <w:t>8.02</w:t>
      </w:r>
      <w:r w:rsidRPr="000E3E97">
        <w:rPr>
          <w:sz w:val="24"/>
          <w:szCs w:val="24"/>
        </w:rPr>
        <w:t xml:space="preserve"> from </w:t>
      </w:r>
      <w:r>
        <w:rPr>
          <w:sz w:val="24"/>
          <w:szCs w:val="24"/>
        </w:rPr>
        <w:t>32.38</w:t>
      </w:r>
      <w:r w:rsidR="00077F5D">
        <w:rPr>
          <w:sz w:val="24"/>
          <w:szCs w:val="24"/>
        </w:rPr>
        <w:t> </w:t>
      </w:r>
      <w:r w:rsidRPr="000E3E97">
        <w:rPr>
          <w:sz w:val="24"/>
          <w:szCs w:val="24"/>
        </w:rPr>
        <w:t xml:space="preserve">mg/mL to </w:t>
      </w:r>
      <w:r>
        <w:rPr>
          <w:sz w:val="24"/>
          <w:szCs w:val="24"/>
        </w:rPr>
        <w:t>0.17</w:t>
      </w:r>
      <w:r w:rsidR="00077F5D">
        <w:rPr>
          <w:sz w:val="24"/>
          <w:szCs w:val="24"/>
        </w:rPr>
        <w:t> </w:t>
      </w:r>
      <w:r w:rsidRPr="000E3E97">
        <w:rPr>
          <w:sz w:val="24"/>
          <w:szCs w:val="24"/>
        </w:rPr>
        <w:t>mg/mL. The log of the distribution coefficient (octanol/water) at pH</w:t>
      </w:r>
      <w:r w:rsidR="00077F5D">
        <w:rPr>
          <w:sz w:val="24"/>
          <w:szCs w:val="24"/>
        </w:rPr>
        <w:t> </w:t>
      </w:r>
      <w:r>
        <w:rPr>
          <w:sz w:val="24"/>
          <w:szCs w:val="24"/>
        </w:rPr>
        <w:t>9</w:t>
      </w:r>
      <w:r w:rsidRPr="000E3E97">
        <w:rPr>
          <w:sz w:val="24"/>
          <w:szCs w:val="24"/>
        </w:rPr>
        <w:t xml:space="preserve"> is </w:t>
      </w:r>
      <w:r>
        <w:rPr>
          <w:sz w:val="24"/>
          <w:szCs w:val="24"/>
        </w:rPr>
        <w:t>2.45</w:t>
      </w:r>
      <w:r w:rsidRPr="000E3E97">
        <w:rPr>
          <w:sz w:val="24"/>
          <w:szCs w:val="24"/>
        </w:rPr>
        <w:t>.</w:t>
      </w:r>
    </w:p>
    <w:p w:rsidR="001E1D15" w:rsidRPr="000E3E97" w:rsidRDefault="001E1D15" w:rsidP="001E1D15">
      <w:pPr>
        <w:pStyle w:val="CommentText"/>
        <w:rPr>
          <w:sz w:val="24"/>
          <w:szCs w:val="24"/>
        </w:rPr>
      </w:pPr>
    </w:p>
    <w:p w:rsidR="00141DC4" w:rsidRDefault="001A2032" w:rsidP="001E1D15">
      <w:pPr>
        <w:tabs>
          <w:tab w:val="left" w:pos="360"/>
        </w:tabs>
        <w:rPr>
          <w:sz w:val="24"/>
          <w:szCs w:val="24"/>
        </w:rPr>
      </w:pPr>
      <w:r>
        <w:rPr>
          <w:sz w:val="24"/>
          <w:szCs w:val="24"/>
        </w:rPr>
        <w:t>LORBRENA</w:t>
      </w:r>
      <w:r w:rsidR="00560A44">
        <w:rPr>
          <w:sz w:val="24"/>
          <w:szCs w:val="24"/>
        </w:rPr>
        <w:t xml:space="preserve"> is</w:t>
      </w:r>
      <w:r w:rsidR="00560A44" w:rsidRPr="000E3E97">
        <w:rPr>
          <w:sz w:val="24"/>
          <w:szCs w:val="24"/>
        </w:rPr>
        <w:t xml:space="preserve"> supplied as </w:t>
      </w:r>
      <w:r w:rsidR="00560A44">
        <w:rPr>
          <w:sz w:val="24"/>
          <w:szCs w:val="24"/>
        </w:rPr>
        <w:t xml:space="preserve">tablets </w:t>
      </w:r>
      <w:r w:rsidR="00560A44" w:rsidRPr="000E3E97">
        <w:rPr>
          <w:sz w:val="24"/>
          <w:szCs w:val="24"/>
        </w:rPr>
        <w:t>containing 25</w:t>
      </w:r>
      <w:r w:rsidR="00077F5D">
        <w:rPr>
          <w:sz w:val="24"/>
          <w:szCs w:val="24"/>
        </w:rPr>
        <w:t> </w:t>
      </w:r>
      <w:r w:rsidR="00560A44" w:rsidRPr="000E3E97">
        <w:rPr>
          <w:sz w:val="24"/>
          <w:szCs w:val="24"/>
        </w:rPr>
        <w:t xml:space="preserve">mg or </w:t>
      </w:r>
      <w:r w:rsidR="00560A44">
        <w:rPr>
          <w:sz w:val="24"/>
          <w:szCs w:val="24"/>
        </w:rPr>
        <w:t>1</w:t>
      </w:r>
      <w:r w:rsidR="00560A44" w:rsidRPr="000E3E97">
        <w:rPr>
          <w:sz w:val="24"/>
          <w:szCs w:val="24"/>
        </w:rPr>
        <w:t>00</w:t>
      </w:r>
      <w:r w:rsidR="00077F5D">
        <w:rPr>
          <w:sz w:val="24"/>
          <w:szCs w:val="24"/>
        </w:rPr>
        <w:t> </w:t>
      </w:r>
      <w:r w:rsidR="00560A44" w:rsidRPr="000E3E97">
        <w:rPr>
          <w:sz w:val="24"/>
          <w:szCs w:val="24"/>
        </w:rPr>
        <w:t xml:space="preserve">mg of </w:t>
      </w:r>
      <w:r w:rsidR="00560A44">
        <w:rPr>
          <w:sz w:val="24"/>
          <w:szCs w:val="24"/>
        </w:rPr>
        <w:t>lorlatinib</w:t>
      </w:r>
      <w:r w:rsidR="00560A44" w:rsidRPr="000E3E97">
        <w:rPr>
          <w:sz w:val="24"/>
          <w:szCs w:val="24"/>
        </w:rPr>
        <w:t xml:space="preserve"> with </w:t>
      </w:r>
      <w:r w:rsidR="00DD0D2B">
        <w:rPr>
          <w:sz w:val="24"/>
          <w:szCs w:val="24"/>
        </w:rPr>
        <w:t xml:space="preserve">the following inactive ingredients: </w:t>
      </w:r>
      <w:r w:rsidR="00560A44">
        <w:rPr>
          <w:sz w:val="24"/>
          <w:szCs w:val="24"/>
        </w:rPr>
        <w:t>m</w:t>
      </w:r>
      <w:r w:rsidR="00560A44" w:rsidRPr="000E3E97">
        <w:rPr>
          <w:sz w:val="24"/>
          <w:szCs w:val="24"/>
        </w:rPr>
        <w:t xml:space="preserve">icrocrystalline </w:t>
      </w:r>
      <w:r w:rsidR="00560A44">
        <w:rPr>
          <w:sz w:val="24"/>
          <w:szCs w:val="24"/>
        </w:rPr>
        <w:t>cellulose, d</w:t>
      </w:r>
      <w:r w:rsidR="00560A44" w:rsidRPr="000E3E97">
        <w:rPr>
          <w:sz w:val="24"/>
          <w:szCs w:val="24"/>
        </w:rPr>
        <w:t xml:space="preserve">ibasic </w:t>
      </w:r>
      <w:r w:rsidR="00560A44">
        <w:rPr>
          <w:sz w:val="24"/>
          <w:szCs w:val="24"/>
        </w:rPr>
        <w:t>c</w:t>
      </w:r>
      <w:r w:rsidR="00560A44" w:rsidRPr="000E3E97">
        <w:rPr>
          <w:sz w:val="24"/>
          <w:szCs w:val="24"/>
        </w:rPr>
        <w:t xml:space="preserve">alcium </w:t>
      </w:r>
      <w:r w:rsidR="00560A44">
        <w:rPr>
          <w:sz w:val="24"/>
          <w:szCs w:val="24"/>
        </w:rPr>
        <w:t>p</w:t>
      </w:r>
      <w:r w:rsidR="00560A44" w:rsidRPr="000E3E97">
        <w:rPr>
          <w:sz w:val="24"/>
          <w:szCs w:val="24"/>
        </w:rPr>
        <w:t xml:space="preserve">hosphate </w:t>
      </w:r>
      <w:r w:rsidR="00560A44">
        <w:rPr>
          <w:sz w:val="24"/>
          <w:szCs w:val="24"/>
        </w:rPr>
        <w:t>a</w:t>
      </w:r>
      <w:r w:rsidR="00560A44" w:rsidRPr="000E3E97">
        <w:rPr>
          <w:sz w:val="24"/>
          <w:szCs w:val="24"/>
        </w:rPr>
        <w:t>nhydrous</w:t>
      </w:r>
      <w:r w:rsidR="00560A44">
        <w:rPr>
          <w:sz w:val="24"/>
          <w:szCs w:val="24"/>
        </w:rPr>
        <w:t>,</w:t>
      </w:r>
      <w:r w:rsidR="00560A44" w:rsidRPr="000E3E97">
        <w:rPr>
          <w:sz w:val="24"/>
          <w:szCs w:val="24"/>
        </w:rPr>
        <w:t xml:space="preserve"> </w:t>
      </w:r>
      <w:r w:rsidR="00560A44">
        <w:rPr>
          <w:sz w:val="24"/>
          <w:szCs w:val="24"/>
        </w:rPr>
        <w:t>s</w:t>
      </w:r>
      <w:r w:rsidR="00560A44" w:rsidRPr="000E3E97">
        <w:rPr>
          <w:sz w:val="24"/>
          <w:szCs w:val="24"/>
        </w:rPr>
        <w:t xml:space="preserve">odium </w:t>
      </w:r>
      <w:r w:rsidR="00560A44">
        <w:rPr>
          <w:sz w:val="24"/>
          <w:szCs w:val="24"/>
        </w:rPr>
        <w:t>s</w:t>
      </w:r>
      <w:r w:rsidR="00560A44" w:rsidRPr="000E3E97">
        <w:rPr>
          <w:sz w:val="24"/>
          <w:szCs w:val="24"/>
        </w:rPr>
        <w:t xml:space="preserve">tarch </w:t>
      </w:r>
      <w:r w:rsidR="00560A44">
        <w:rPr>
          <w:sz w:val="24"/>
          <w:szCs w:val="24"/>
        </w:rPr>
        <w:t>g</w:t>
      </w:r>
      <w:r w:rsidR="00560A44" w:rsidRPr="000E3E97">
        <w:rPr>
          <w:sz w:val="24"/>
          <w:szCs w:val="24"/>
        </w:rPr>
        <w:t>lycolate</w:t>
      </w:r>
      <w:r w:rsidR="00560A44">
        <w:rPr>
          <w:sz w:val="24"/>
          <w:szCs w:val="24"/>
        </w:rPr>
        <w:t>,</w:t>
      </w:r>
      <w:r w:rsidR="00560A44" w:rsidRPr="000E3E97">
        <w:rPr>
          <w:sz w:val="24"/>
          <w:szCs w:val="24"/>
        </w:rPr>
        <w:t xml:space="preserve"> </w:t>
      </w:r>
      <w:r w:rsidR="00560A44">
        <w:rPr>
          <w:sz w:val="24"/>
          <w:szCs w:val="24"/>
        </w:rPr>
        <w:t>and m</w:t>
      </w:r>
      <w:r w:rsidR="00560A44" w:rsidRPr="000E3E97">
        <w:rPr>
          <w:sz w:val="24"/>
          <w:szCs w:val="24"/>
        </w:rPr>
        <w:t xml:space="preserve">agnesium </w:t>
      </w:r>
      <w:r w:rsidR="00560A44">
        <w:rPr>
          <w:sz w:val="24"/>
          <w:szCs w:val="24"/>
        </w:rPr>
        <w:t>s</w:t>
      </w:r>
      <w:r w:rsidR="00560A44" w:rsidRPr="000E3E97">
        <w:rPr>
          <w:sz w:val="24"/>
          <w:szCs w:val="24"/>
        </w:rPr>
        <w:t>tearate.</w:t>
      </w:r>
      <w:r w:rsidR="00DD0D2B">
        <w:rPr>
          <w:sz w:val="24"/>
          <w:szCs w:val="24"/>
        </w:rPr>
        <w:t xml:space="preserve"> </w:t>
      </w:r>
      <w:r w:rsidR="000E3E97" w:rsidRPr="000E3E97">
        <w:rPr>
          <w:sz w:val="24"/>
          <w:szCs w:val="24"/>
        </w:rPr>
        <w:t xml:space="preserve">The </w:t>
      </w:r>
      <w:r w:rsidR="002E3B13">
        <w:rPr>
          <w:sz w:val="24"/>
          <w:szCs w:val="24"/>
        </w:rPr>
        <w:t>film-coating</w:t>
      </w:r>
      <w:r w:rsidR="000E3E97" w:rsidRPr="000E3E97">
        <w:rPr>
          <w:sz w:val="24"/>
          <w:szCs w:val="24"/>
        </w:rPr>
        <w:t xml:space="preserve"> contain</w:t>
      </w:r>
      <w:r w:rsidR="002E3B13">
        <w:rPr>
          <w:sz w:val="24"/>
          <w:szCs w:val="24"/>
        </w:rPr>
        <w:t>s</w:t>
      </w:r>
      <w:r w:rsidR="000E3E97" w:rsidRPr="000E3E97">
        <w:rPr>
          <w:sz w:val="24"/>
          <w:szCs w:val="24"/>
        </w:rPr>
        <w:t xml:space="preserve"> </w:t>
      </w:r>
      <w:r w:rsidR="001F31AF" w:rsidRPr="001F31AF">
        <w:rPr>
          <w:sz w:val="24"/>
          <w:szCs w:val="24"/>
        </w:rPr>
        <w:t>hydroxypropyl methylcellulose</w:t>
      </w:r>
      <w:r w:rsidR="001F31AF">
        <w:rPr>
          <w:sz w:val="24"/>
          <w:szCs w:val="24"/>
        </w:rPr>
        <w:t xml:space="preserve"> (</w:t>
      </w:r>
      <w:r w:rsidR="002E3B13" w:rsidRPr="002E3B13">
        <w:rPr>
          <w:sz w:val="24"/>
          <w:szCs w:val="24"/>
        </w:rPr>
        <w:t>HPMC</w:t>
      </w:r>
      <w:r w:rsidR="001F31AF">
        <w:rPr>
          <w:sz w:val="24"/>
          <w:szCs w:val="24"/>
        </w:rPr>
        <w:t>)</w:t>
      </w:r>
      <w:r w:rsidR="002E3B13" w:rsidRPr="002E3B13">
        <w:rPr>
          <w:sz w:val="24"/>
          <w:szCs w:val="24"/>
        </w:rPr>
        <w:t xml:space="preserve"> 2910/</w:t>
      </w:r>
      <w:r w:rsidR="002E3B13">
        <w:rPr>
          <w:sz w:val="24"/>
          <w:szCs w:val="24"/>
        </w:rPr>
        <w:t>h</w:t>
      </w:r>
      <w:r w:rsidR="002E3B13" w:rsidRPr="002E3B13">
        <w:rPr>
          <w:sz w:val="24"/>
          <w:szCs w:val="24"/>
        </w:rPr>
        <w:t>ypromellose</w:t>
      </w:r>
      <w:r w:rsidR="002E3B13">
        <w:rPr>
          <w:sz w:val="24"/>
          <w:szCs w:val="24"/>
        </w:rPr>
        <w:t>,</w:t>
      </w:r>
      <w:r w:rsidR="002E3B13" w:rsidRPr="002E3B13">
        <w:rPr>
          <w:sz w:val="24"/>
          <w:szCs w:val="24"/>
        </w:rPr>
        <w:t xml:space="preserve"> </w:t>
      </w:r>
      <w:r w:rsidR="002E3B13">
        <w:rPr>
          <w:sz w:val="24"/>
          <w:szCs w:val="24"/>
        </w:rPr>
        <w:t>l</w:t>
      </w:r>
      <w:r w:rsidR="002E3B13" w:rsidRPr="002E3B13">
        <w:rPr>
          <w:sz w:val="24"/>
          <w:szCs w:val="24"/>
        </w:rPr>
        <w:t xml:space="preserve">actose </w:t>
      </w:r>
      <w:r w:rsidR="002E3B13">
        <w:rPr>
          <w:sz w:val="24"/>
          <w:szCs w:val="24"/>
        </w:rPr>
        <w:t>m</w:t>
      </w:r>
      <w:r w:rsidR="002E3B13" w:rsidRPr="002E3B13">
        <w:rPr>
          <w:sz w:val="24"/>
          <w:szCs w:val="24"/>
        </w:rPr>
        <w:t>onohydrate</w:t>
      </w:r>
      <w:r w:rsidR="002E3B13">
        <w:rPr>
          <w:sz w:val="24"/>
          <w:szCs w:val="24"/>
        </w:rPr>
        <w:t>, m</w:t>
      </w:r>
      <w:r w:rsidR="002E3B13" w:rsidRPr="002E3B13">
        <w:rPr>
          <w:sz w:val="24"/>
          <w:szCs w:val="24"/>
        </w:rPr>
        <w:t>acrogol/</w:t>
      </w:r>
      <w:r w:rsidR="001F31AF">
        <w:rPr>
          <w:sz w:val="24"/>
          <w:szCs w:val="24"/>
        </w:rPr>
        <w:t>polyethylene glycol (</w:t>
      </w:r>
      <w:r w:rsidR="002E3B13" w:rsidRPr="002E3B13">
        <w:rPr>
          <w:sz w:val="24"/>
          <w:szCs w:val="24"/>
        </w:rPr>
        <w:t>PEG</w:t>
      </w:r>
      <w:r w:rsidR="001F31AF">
        <w:rPr>
          <w:sz w:val="24"/>
          <w:szCs w:val="24"/>
        </w:rPr>
        <w:t>)</w:t>
      </w:r>
      <w:r w:rsidR="00077F5D">
        <w:rPr>
          <w:sz w:val="24"/>
          <w:szCs w:val="24"/>
        </w:rPr>
        <w:t> </w:t>
      </w:r>
      <w:r w:rsidR="002E3B13" w:rsidRPr="002E3B13">
        <w:rPr>
          <w:sz w:val="24"/>
          <w:szCs w:val="24"/>
        </w:rPr>
        <w:t>3350</w:t>
      </w:r>
      <w:r w:rsidR="002E3B13">
        <w:rPr>
          <w:sz w:val="24"/>
          <w:szCs w:val="24"/>
        </w:rPr>
        <w:t>, t</w:t>
      </w:r>
      <w:r w:rsidR="002E3B13" w:rsidRPr="002E3B13">
        <w:rPr>
          <w:sz w:val="24"/>
          <w:szCs w:val="24"/>
        </w:rPr>
        <w:t>riacetin</w:t>
      </w:r>
      <w:r w:rsidR="002E3B13">
        <w:rPr>
          <w:sz w:val="24"/>
          <w:szCs w:val="24"/>
        </w:rPr>
        <w:t>, t</w:t>
      </w:r>
      <w:r w:rsidR="002E3B13" w:rsidRPr="002E3B13">
        <w:rPr>
          <w:sz w:val="24"/>
          <w:szCs w:val="24"/>
        </w:rPr>
        <w:t xml:space="preserve">itanium </w:t>
      </w:r>
      <w:r w:rsidR="002E3B13">
        <w:rPr>
          <w:sz w:val="24"/>
          <w:szCs w:val="24"/>
        </w:rPr>
        <w:t>d</w:t>
      </w:r>
      <w:r w:rsidR="002E3B13" w:rsidRPr="002E3B13">
        <w:rPr>
          <w:sz w:val="24"/>
          <w:szCs w:val="24"/>
        </w:rPr>
        <w:t>ioxide</w:t>
      </w:r>
      <w:r w:rsidR="002E3B13">
        <w:rPr>
          <w:sz w:val="24"/>
          <w:szCs w:val="24"/>
        </w:rPr>
        <w:t>, f</w:t>
      </w:r>
      <w:r w:rsidR="002E3B13" w:rsidRPr="002E3B13">
        <w:rPr>
          <w:sz w:val="24"/>
          <w:szCs w:val="24"/>
        </w:rPr>
        <w:t>errosofer</w:t>
      </w:r>
      <w:r w:rsidR="005A4EE2">
        <w:rPr>
          <w:sz w:val="24"/>
          <w:szCs w:val="24"/>
        </w:rPr>
        <w:t>r</w:t>
      </w:r>
      <w:r w:rsidR="002E3B13" w:rsidRPr="002E3B13">
        <w:rPr>
          <w:sz w:val="24"/>
          <w:szCs w:val="24"/>
        </w:rPr>
        <w:t xml:space="preserve">ic </w:t>
      </w:r>
      <w:r w:rsidR="002E3B13">
        <w:rPr>
          <w:sz w:val="24"/>
          <w:szCs w:val="24"/>
        </w:rPr>
        <w:t>o</w:t>
      </w:r>
      <w:r w:rsidR="002E3B13" w:rsidRPr="002E3B13">
        <w:rPr>
          <w:sz w:val="24"/>
          <w:szCs w:val="24"/>
        </w:rPr>
        <w:t>xide/</w:t>
      </w:r>
      <w:r w:rsidR="002E3B13">
        <w:rPr>
          <w:sz w:val="24"/>
          <w:szCs w:val="24"/>
        </w:rPr>
        <w:t>b</w:t>
      </w:r>
      <w:r w:rsidR="002E3B13" w:rsidRPr="002E3B13">
        <w:rPr>
          <w:sz w:val="24"/>
          <w:szCs w:val="24"/>
        </w:rPr>
        <w:t xml:space="preserve">lack </w:t>
      </w:r>
      <w:r w:rsidR="002E3B13">
        <w:rPr>
          <w:sz w:val="24"/>
          <w:szCs w:val="24"/>
        </w:rPr>
        <w:t>i</w:t>
      </w:r>
      <w:r w:rsidR="002E3B13" w:rsidRPr="002E3B13">
        <w:rPr>
          <w:sz w:val="24"/>
          <w:szCs w:val="24"/>
        </w:rPr>
        <w:t xml:space="preserve">ron </w:t>
      </w:r>
      <w:r w:rsidR="002E3B13">
        <w:rPr>
          <w:sz w:val="24"/>
          <w:szCs w:val="24"/>
        </w:rPr>
        <w:t>o</w:t>
      </w:r>
      <w:r w:rsidR="002E3B13" w:rsidRPr="002E3B13">
        <w:rPr>
          <w:sz w:val="24"/>
          <w:szCs w:val="24"/>
        </w:rPr>
        <w:t>xide</w:t>
      </w:r>
      <w:r w:rsidR="002E3B13">
        <w:rPr>
          <w:sz w:val="24"/>
          <w:szCs w:val="24"/>
        </w:rPr>
        <w:t>, and</w:t>
      </w:r>
      <w:r w:rsidR="002E3B13" w:rsidRPr="002E3B13">
        <w:rPr>
          <w:sz w:val="24"/>
          <w:szCs w:val="24"/>
        </w:rPr>
        <w:t xml:space="preserve"> </w:t>
      </w:r>
      <w:r w:rsidR="002E3B13">
        <w:rPr>
          <w:sz w:val="24"/>
          <w:szCs w:val="24"/>
        </w:rPr>
        <w:t>i</w:t>
      </w:r>
      <w:r w:rsidR="002E3B13" w:rsidRPr="002E3B13">
        <w:rPr>
          <w:sz w:val="24"/>
          <w:szCs w:val="24"/>
        </w:rPr>
        <w:t xml:space="preserve">ron </w:t>
      </w:r>
      <w:r w:rsidR="002E3B13">
        <w:rPr>
          <w:sz w:val="24"/>
          <w:szCs w:val="24"/>
        </w:rPr>
        <w:t>o</w:t>
      </w:r>
      <w:r w:rsidR="002E3B13" w:rsidRPr="002E3B13">
        <w:rPr>
          <w:sz w:val="24"/>
          <w:szCs w:val="24"/>
        </w:rPr>
        <w:t xml:space="preserve">xide </w:t>
      </w:r>
      <w:r w:rsidR="002E3B13">
        <w:rPr>
          <w:sz w:val="24"/>
          <w:szCs w:val="24"/>
        </w:rPr>
        <w:t>r</w:t>
      </w:r>
      <w:r w:rsidR="002E3B13" w:rsidRPr="002E3B13">
        <w:rPr>
          <w:sz w:val="24"/>
          <w:szCs w:val="24"/>
        </w:rPr>
        <w:t>ed</w:t>
      </w:r>
      <w:r w:rsidR="000E3E97" w:rsidRPr="000E3E97">
        <w:rPr>
          <w:sz w:val="24"/>
          <w:szCs w:val="24"/>
        </w:rPr>
        <w:t>.</w:t>
      </w:r>
    </w:p>
    <w:p w:rsidR="001E1D15" w:rsidRDefault="001E1D15" w:rsidP="001E1D15">
      <w:pPr>
        <w:tabs>
          <w:tab w:val="left" w:pos="360"/>
        </w:tabs>
        <w:rPr>
          <w:sz w:val="24"/>
          <w:szCs w:val="24"/>
        </w:rPr>
      </w:pPr>
    </w:p>
    <w:p w:rsidR="00DD0D9A" w:rsidRDefault="002A7E70" w:rsidP="001E1D15">
      <w:pPr>
        <w:pStyle w:val="Heading1"/>
        <w:jc w:val="left"/>
        <w:rPr>
          <w:sz w:val="24"/>
          <w:szCs w:val="24"/>
        </w:rPr>
      </w:pPr>
      <w:bookmarkStart w:id="17" w:name="_Toc128065036"/>
      <w:r>
        <w:rPr>
          <w:sz w:val="24"/>
          <w:szCs w:val="24"/>
        </w:rPr>
        <w:t>12</w:t>
      </w:r>
      <w:r>
        <w:rPr>
          <w:sz w:val="24"/>
          <w:szCs w:val="24"/>
        </w:rPr>
        <w:tab/>
      </w:r>
      <w:r w:rsidR="00DC60E3">
        <w:rPr>
          <w:sz w:val="24"/>
          <w:szCs w:val="24"/>
        </w:rPr>
        <w:tab/>
      </w:r>
      <w:r w:rsidR="00DD0D9A" w:rsidRPr="00BA102E">
        <w:rPr>
          <w:sz w:val="24"/>
          <w:szCs w:val="24"/>
        </w:rPr>
        <w:t>CLINICAL PHARMACOLOGY</w:t>
      </w:r>
      <w:bookmarkEnd w:id="17"/>
    </w:p>
    <w:p w:rsidR="001E1D15" w:rsidRPr="001E1D15" w:rsidRDefault="001E1D15" w:rsidP="001E1D15"/>
    <w:p w:rsidR="00DD0D9A" w:rsidRPr="00C0057E" w:rsidRDefault="00DC0632" w:rsidP="00C0057E">
      <w:pPr>
        <w:tabs>
          <w:tab w:val="left" w:pos="540"/>
        </w:tabs>
        <w:rPr>
          <w:b/>
          <w:sz w:val="24"/>
          <w:szCs w:val="24"/>
        </w:rPr>
      </w:pPr>
      <w:bookmarkStart w:id="18" w:name="_Toc128065037"/>
      <w:r w:rsidRPr="00C0057E">
        <w:rPr>
          <w:b/>
          <w:sz w:val="24"/>
          <w:szCs w:val="24"/>
        </w:rPr>
        <w:t>12.1</w:t>
      </w:r>
      <w:r w:rsidRPr="00C0057E">
        <w:rPr>
          <w:b/>
          <w:sz w:val="24"/>
          <w:szCs w:val="24"/>
        </w:rPr>
        <w:tab/>
      </w:r>
      <w:r w:rsidR="00DD0D9A" w:rsidRPr="00C0057E">
        <w:rPr>
          <w:b/>
          <w:sz w:val="24"/>
          <w:szCs w:val="24"/>
        </w:rPr>
        <w:t>Mechanism of Action</w:t>
      </w:r>
      <w:bookmarkEnd w:id="18"/>
    </w:p>
    <w:p w:rsidR="001E1D15" w:rsidRPr="001E1D15" w:rsidRDefault="001E1D15" w:rsidP="001E1D15"/>
    <w:p w:rsidR="00A87B47" w:rsidRDefault="005130DA" w:rsidP="001E1D15">
      <w:pPr>
        <w:tabs>
          <w:tab w:val="left" w:pos="360"/>
        </w:tabs>
        <w:rPr>
          <w:sz w:val="24"/>
          <w:szCs w:val="24"/>
        </w:rPr>
      </w:pPr>
      <w:r w:rsidRPr="00DD40B7">
        <w:rPr>
          <w:sz w:val="24"/>
          <w:szCs w:val="24"/>
        </w:rPr>
        <w:t xml:space="preserve">Lorlatinib is a </w:t>
      </w:r>
      <w:r w:rsidR="00403013" w:rsidRPr="00DD40B7">
        <w:rPr>
          <w:sz w:val="24"/>
          <w:szCs w:val="24"/>
        </w:rPr>
        <w:t>kinase</w:t>
      </w:r>
      <w:r w:rsidRPr="00DD40B7">
        <w:rPr>
          <w:sz w:val="24"/>
          <w:szCs w:val="24"/>
        </w:rPr>
        <w:t xml:space="preserve"> inhibitor </w:t>
      </w:r>
      <w:r w:rsidR="00A87B47" w:rsidRPr="00DD40B7">
        <w:rPr>
          <w:sz w:val="24"/>
          <w:szCs w:val="24"/>
        </w:rPr>
        <w:t>with in vitro activity against ALK</w:t>
      </w:r>
      <w:r w:rsidR="00F54759">
        <w:rPr>
          <w:sz w:val="24"/>
          <w:szCs w:val="24"/>
        </w:rPr>
        <w:t xml:space="preserve"> and</w:t>
      </w:r>
      <w:r w:rsidR="00A87B47" w:rsidRPr="00DD40B7">
        <w:rPr>
          <w:sz w:val="24"/>
          <w:szCs w:val="24"/>
          <w:lang w:val="en-GB"/>
        </w:rPr>
        <w:t xml:space="preserve"> ROS1</w:t>
      </w:r>
      <w:r w:rsidR="00F54759">
        <w:rPr>
          <w:sz w:val="24"/>
          <w:szCs w:val="24"/>
          <w:lang w:val="en-GB"/>
        </w:rPr>
        <w:t xml:space="preserve"> as </w:t>
      </w:r>
      <w:r w:rsidR="00F61FFF">
        <w:rPr>
          <w:sz w:val="24"/>
          <w:szCs w:val="24"/>
          <w:lang w:val="en-GB"/>
        </w:rPr>
        <w:t xml:space="preserve">well as </w:t>
      </w:r>
      <w:r w:rsidR="00F61FFF" w:rsidRPr="00DD40B7">
        <w:rPr>
          <w:sz w:val="24"/>
          <w:szCs w:val="24"/>
          <w:lang w:val="en-GB"/>
        </w:rPr>
        <w:t>TYK1</w:t>
      </w:r>
      <w:r w:rsidR="00A87B47" w:rsidRPr="00DD40B7">
        <w:rPr>
          <w:sz w:val="24"/>
          <w:szCs w:val="24"/>
          <w:lang w:val="en-GB"/>
        </w:rPr>
        <w:t>, FER, FPS, TRKA, TRKB, TRKC, FAK, FAK2, and ACK</w:t>
      </w:r>
      <w:r w:rsidR="00A87B47">
        <w:rPr>
          <w:sz w:val="24"/>
          <w:szCs w:val="24"/>
          <w:lang w:val="en-GB"/>
        </w:rPr>
        <w:t>.</w:t>
      </w:r>
      <w:r w:rsidR="00A87B47" w:rsidRPr="00DD40B7" w:rsidDel="000A279B">
        <w:rPr>
          <w:sz w:val="24"/>
          <w:szCs w:val="24"/>
          <w:lang w:val="en-GB"/>
        </w:rPr>
        <w:t xml:space="preserve"> </w:t>
      </w:r>
      <w:r w:rsidR="00A87B47">
        <w:rPr>
          <w:sz w:val="24"/>
          <w:szCs w:val="24"/>
        </w:rPr>
        <w:t>L</w:t>
      </w:r>
      <w:r w:rsidR="00A87B47" w:rsidRPr="00E66E48">
        <w:rPr>
          <w:sz w:val="24"/>
          <w:szCs w:val="24"/>
        </w:rPr>
        <w:t xml:space="preserve">orlatinib </w:t>
      </w:r>
      <w:r w:rsidR="00A87B47" w:rsidRPr="00DD40B7">
        <w:rPr>
          <w:sz w:val="24"/>
          <w:szCs w:val="24"/>
        </w:rPr>
        <w:t>demonstrated in vitro activity against multiple mutant</w:t>
      </w:r>
      <w:r w:rsidR="00A87B47" w:rsidRPr="00436975">
        <w:rPr>
          <w:sz w:val="24"/>
          <w:szCs w:val="24"/>
        </w:rPr>
        <w:t xml:space="preserve"> forms of the ALK enzyme, including some mutations detected in tumors at the time of disease progression on c</w:t>
      </w:r>
      <w:r w:rsidR="00A87B47">
        <w:rPr>
          <w:sz w:val="24"/>
          <w:szCs w:val="24"/>
        </w:rPr>
        <w:t>r</w:t>
      </w:r>
      <w:r w:rsidR="00A87B47" w:rsidRPr="00DD40B7">
        <w:rPr>
          <w:sz w:val="24"/>
          <w:szCs w:val="24"/>
        </w:rPr>
        <w:t xml:space="preserve">izotinib and </w:t>
      </w:r>
      <w:r w:rsidR="00A87B47">
        <w:rPr>
          <w:sz w:val="24"/>
          <w:szCs w:val="24"/>
        </w:rPr>
        <w:t>other</w:t>
      </w:r>
      <w:r w:rsidR="00A87B47" w:rsidRPr="00DD40B7">
        <w:rPr>
          <w:sz w:val="24"/>
          <w:szCs w:val="24"/>
        </w:rPr>
        <w:t xml:space="preserve"> ALK inhibitors.</w:t>
      </w:r>
      <w:r w:rsidR="00A87B47" w:rsidRPr="00E66E48">
        <w:rPr>
          <w:sz w:val="24"/>
          <w:szCs w:val="24"/>
        </w:rPr>
        <w:t xml:space="preserve"> </w:t>
      </w:r>
    </w:p>
    <w:p w:rsidR="001E1D15" w:rsidRPr="00E66E48" w:rsidRDefault="001E1D15" w:rsidP="001E1D15">
      <w:pPr>
        <w:tabs>
          <w:tab w:val="left" w:pos="360"/>
        </w:tabs>
        <w:rPr>
          <w:sz w:val="24"/>
          <w:szCs w:val="24"/>
        </w:rPr>
      </w:pPr>
    </w:p>
    <w:p w:rsidR="00403013" w:rsidRDefault="00403013" w:rsidP="001E1D15">
      <w:pPr>
        <w:pStyle w:val="Paragraph"/>
        <w:spacing w:after="0"/>
      </w:pPr>
      <w:r w:rsidRPr="009F1817">
        <w:t xml:space="preserve">In </w:t>
      </w:r>
      <w:r w:rsidR="000B1470">
        <w:t>mice subcutaneously</w:t>
      </w:r>
      <w:r w:rsidR="00452D78">
        <w:t xml:space="preserve"> implanted with tumors</w:t>
      </w:r>
      <w:r w:rsidR="005E4843">
        <w:t xml:space="preserve"> harboring</w:t>
      </w:r>
      <w:r w:rsidR="00452D78">
        <w:t xml:space="preserve"> </w:t>
      </w:r>
      <w:r w:rsidR="008E3688">
        <w:t>EML4</w:t>
      </w:r>
      <w:r w:rsidR="005E4843">
        <w:t xml:space="preserve"> </w:t>
      </w:r>
      <w:r w:rsidR="008E3688">
        <w:t>fusions with</w:t>
      </w:r>
      <w:r w:rsidR="000B1470">
        <w:t xml:space="preserve"> either</w:t>
      </w:r>
      <w:r w:rsidR="008E3688">
        <w:t xml:space="preserve"> ALK variant 1</w:t>
      </w:r>
      <w:r w:rsidR="008E3688" w:rsidDel="0018470B">
        <w:t xml:space="preserve"> </w:t>
      </w:r>
      <w:r w:rsidR="0018470B">
        <w:t xml:space="preserve">or </w:t>
      </w:r>
      <w:r w:rsidR="008E3688">
        <w:t>ALK mutations</w:t>
      </w:r>
      <w:r w:rsidR="005E4843">
        <w:t>,</w:t>
      </w:r>
      <w:r w:rsidR="008E3688">
        <w:t xml:space="preserve"> </w:t>
      </w:r>
      <w:r w:rsidR="005E4843">
        <w:t xml:space="preserve">including </w:t>
      </w:r>
      <w:r w:rsidR="00DD40B7">
        <w:t>the</w:t>
      </w:r>
      <w:r w:rsidR="005E4843">
        <w:t xml:space="preserve"> </w:t>
      </w:r>
      <w:r w:rsidR="00DD40B7">
        <w:t xml:space="preserve">G1202R and I1171T </w:t>
      </w:r>
      <w:r w:rsidR="005E4843">
        <w:t xml:space="preserve">mutations detected in tumors at the time of disease progression on </w:t>
      </w:r>
      <w:r w:rsidR="00A87B47">
        <w:t xml:space="preserve">ALK inhibitors, administration of lorlatinib resulted in antitumor activity. </w:t>
      </w:r>
      <w:r w:rsidR="000B1470">
        <w:t>Lorlatinib also demonstrated anti</w:t>
      </w:r>
      <w:r w:rsidR="007F61E3">
        <w:noBreakHyphen/>
      </w:r>
      <w:r w:rsidR="000B1470">
        <w:t xml:space="preserve">tumor activity </w:t>
      </w:r>
      <w:r w:rsidR="00436975">
        <w:t xml:space="preserve">and prolonged survival </w:t>
      </w:r>
      <w:r w:rsidR="000B1470">
        <w:t>in mice implanted intracranially with EML4</w:t>
      </w:r>
      <w:r w:rsidR="000B1470">
        <w:noBreakHyphen/>
        <w:t>ALK</w:t>
      </w:r>
      <w:r w:rsidR="008173FB">
        <w:t>-</w:t>
      </w:r>
      <w:r w:rsidR="000B1470">
        <w:t>driven tumor cell lines</w:t>
      </w:r>
      <w:r w:rsidR="000B1470" w:rsidRPr="00F6501C">
        <w:t>.</w:t>
      </w:r>
      <w:r w:rsidR="000E5CBB">
        <w:t xml:space="preserve"> </w:t>
      </w:r>
      <w:r>
        <w:t xml:space="preserve">The overall antitumor </w:t>
      </w:r>
      <w:r w:rsidR="00CF61CF">
        <w:t xml:space="preserve">activity </w:t>
      </w:r>
      <w:r>
        <w:t xml:space="preserve">of lorlatinib </w:t>
      </w:r>
      <w:r w:rsidR="007B2E76">
        <w:t xml:space="preserve">in in vivo models </w:t>
      </w:r>
      <w:r>
        <w:t>was dose</w:t>
      </w:r>
      <w:r>
        <w:noBreakHyphen/>
        <w:t>dependent and correlated with inhibition of ALK phosphorylation.</w:t>
      </w:r>
    </w:p>
    <w:p w:rsidR="001E1D15" w:rsidRPr="00C0057E" w:rsidRDefault="001E1D15" w:rsidP="00C0057E">
      <w:pPr>
        <w:tabs>
          <w:tab w:val="left" w:pos="540"/>
        </w:tabs>
        <w:rPr>
          <w:b/>
          <w:sz w:val="24"/>
          <w:szCs w:val="24"/>
        </w:rPr>
      </w:pPr>
    </w:p>
    <w:p w:rsidR="00DD0D9A" w:rsidRPr="00C0057E" w:rsidRDefault="00DC0632" w:rsidP="00C0057E">
      <w:pPr>
        <w:tabs>
          <w:tab w:val="left" w:pos="540"/>
        </w:tabs>
        <w:rPr>
          <w:b/>
          <w:sz w:val="24"/>
          <w:szCs w:val="24"/>
        </w:rPr>
      </w:pPr>
      <w:bookmarkStart w:id="19" w:name="_Toc128065038"/>
      <w:r w:rsidRPr="00C0057E">
        <w:rPr>
          <w:b/>
          <w:sz w:val="24"/>
          <w:szCs w:val="24"/>
        </w:rPr>
        <w:t>12.2</w:t>
      </w:r>
      <w:r w:rsidRPr="00C0057E">
        <w:rPr>
          <w:b/>
          <w:sz w:val="24"/>
          <w:szCs w:val="24"/>
        </w:rPr>
        <w:tab/>
      </w:r>
      <w:r w:rsidR="00DD0D9A" w:rsidRPr="00C0057E">
        <w:rPr>
          <w:b/>
          <w:sz w:val="24"/>
          <w:szCs w:val="24"/>
        </w:rPr>
        <w:t>Pharmacodynamics</w:t>
      </w:r>
      <w:bookmarkEnd w:id="19"/>
    </w:p>
    <w:p w:rsidR="001E1D15" w:rsidRPr="00C0057E" w:rsidRDefault="001E1D15" w:rsidP="00C060CA">
      <w:pPr>
        <w:keepNext/>
        <w:rPr>
          <w:sz w:val="24"/>
          <w:szCs w:val="24"/>
        </w:rPr>
      </w:pPr>
    </w:p>
    <w:p w:rsidR="004E1BFE" w:rsidRDefault="004E1BFE" w:rsidP="00C060CA">
      <w:pPr>
        <w:pStyle w:val="Paragraph"/>
        <w:keepNext/>
        <w:spacing w:after="0"/>
        <w:rPr>
          <w:u w:val="single"/>
        </w:rPr>
      </w:pPr>
      <w:r w:rsidRPr="00F83E59">
        <w:rPr>
          <w:u w:val="single"/>
        </w:rPr>
        <w:t>Exposure-Response Relationships</w:t>
      </w:r>
    </w:p>
    <w:p w:rsidR="004E1BFE" w:rsidRDefault="004E1BFE" w:rsidP="001E1D15">
      <w:pPr>
        <w:pStyle w:val="Paragraph"/>
        <w:spacing w:after="0"/>
      </w:pPr>
      <w:r w:rsidRPr="00A937EA">
        <w:t xml:space="preserve">Based on the data from Study </w:t>
      </w:r>
      <w:r w:rsidR="0008126D">
        <w:t>B7461001</w:t>
      </w:r>
      <w:r w:rsidR="004103DE">
        <w:t>,</w:t>
      </w:r>
      <w:r w:rsidR="004103DE" w:rsidRPr="004103DE" w:rsidDel="00CB1218">
        <w:t xml:space="preserve"> </w:t>
      </w:r>
      <w:r w:rsidR="004103DE">
        <w:t>exposure-response</w:t>
      </w:r>
      <w:r w:rsidR="004103DE" w:rsidRPr="00A937EA">
        <w:t xml:space="preserve"> relationship</w:t>
      </w:r>
      <w:r w:rsidR="004103DE">
        <w:t>s</w:t>
      </w:r>
      <w:r w:rsidR="004103DE" w:rsidRPr="00A937EA">
        <w:t xml:space="preserve"> </w:t>
      </w:r>
      <w:r w:rsidR="004103DE">
        <w:t>for Grade 3 or 4 hypercholesterolemia and for</w:t>
      </w:r>
      <w:r w:rsidR="004103DE" w:rsidRPr="00A937EA">
        <w:t xml:space="preserve"> </w:t>
      </w:r>
      <w:r w:rsidR="004103DE">
        <w:t>any Grade 3 or 4 adverse reaction were observed at steady-state exposures achieved at the recommended dosage,</w:t>
      </w:r>
      <w:r w:rsidR="004103DE" w:rsidRPr="00A937EA">
        <w:t xml:space="preserve"> </w:t>
      </w:r>
      <w:r w:rsidRPr="00A937EA">
        <w:t xml:space="preserve">with higher probability of the occurrence of </w:t>
      </w:r>
      <w:r w:rsidR="00D93B87">
        <w:t>adverse reactions</w:t>
      </w:r>
      <w:r w:rsidRPr="00A937EA">
        <w:t xml:space="preserve"> with increasing lorlatinib exposure.</w:t>
      </w:r>
    </w:p>
    <w:p w:rsidR="001E1D15" w:rsidRDefault="001E1D15" w:rsidP="001E1D15">
      <w:pPr>
        <w:pStyle w:val="Paragraph"/>
        <w:spacing w:after="0"/>
      </w:pPr>
    </w:p>
    <w:p w:rsidR="00E97DE6" w:rsidRDefault="00E97DE6" w:rsidP="001E1D15">
      <w:pPr>
        <w:tabs>
          <w:tab w:val="left" w:pos="360"/>
        </w:tabs>
        <w:rPr>
          <w:sz w:val="24"/>
          <w:szCs w:val="24"/>
          <w:u w:val="single"/>
        </w:rPr>
      </w:pPr>
      <w:r w:rsidRPr="00E97DE6">
        <w:rPr>
          <w:sz w:val="24"/>
          <w:szCs w:val="24"/>
          <w:u w:val="single"/>
        </w:rPr>
        <w:t>Cardiac Electrophysiology</w:t>
      </w:r>
    </w:p>
    <w:p w:rsidR="005D66A1" w:rsidRDefault="005D66A1" w:rsidP="001E1D15">
      <w:pPr>
        <w:pStyle w:val="Paragraph"/>
        <w:spacing w:after="0"/>
      </w:pPr>
      <w:r w:rsidRPr="003F7B25">
        <w:t xml:space="preserve">In </w:t>
      </w:r>
      <w:r w:rsidR="001C4986" w:rsidRPr="003F7B25">
        <w:t>29</w:t>
      </w:r>
      <w:r w:rsidR="00AC6949" w:rsidRPr="003F7B25">
        <w:t>5</w:t>
      </w:r>
      <w:r>
        <w:t xml:space="preserve"> patients </w:t>
      </w:r>
      <w:r w:rsidRPr="00B47394">
        <w:t xml:space="preserve">who received </w:t>
      </w:r>
      <w:r>
        <w:t>LORBRENA</w:t>
      </w:r>
      <w:r w:rsidRPr="00B47394">
        <w:t xml:space="preserve"> at </w:t>
      </w:r>
      <w:r w:rsidR="003912EB">
        <w:t>the</w:t>
      </w:r>
      <w:r>
        <w:t xml:space="preserve"> </w:t>
      </w:r>
      <w:r w:rsidR="003912EB">
        <w:t xml:space="preserve">recommended </w:t>
      </w:r>
      <w:r>
        <w:t>dos</w:t>
      </w:r>
      <w:r w:rsidR="00F03049">
        <w:t>ag</w:t>
      </w:r>
      <w:r>
        <w:t xml:space="preserve">e </w:t>
      </w:r>
      <w:r w:rsidR="006A7813">
        <w:t xml:space="preserve">of 100 mg once daily </w:t>
      </w:r>
      <w:r>
        <w:t>and had a</w:t>
      </w:r>
      <w:r w:rsidR="00CE7098">
        <w:t>n</w:t>
      </w:r>
      <w:r>
        <w:t xml:space="preserve"> </w:t>
      </w:r>
      <w:r w:rsidR="006A7813">
        <w:t xml:space="preserve">ECG measurement </w:t>
      </w:r>
      <w:r>
        <w:t xml:space="preserve">in Study B7461001, the maximum mean change from baseline for PR interval was </w:t>
      </w:r>
      <w:r w:rsidR="009E3C14">
        <w:t>16.</w:t>
      </w:r>
      <w:r w:rsidR="00832051">
        <w:t>4</w:t>
      </w:r>
      <w:r w:rsidR="007F61E3">
        <w:t> </w:t>
      </w:r>
      <w:r>
        <w:t xml:space="preserve">ms </w:t>
      </w:r>
      <w:r w:rsidR="00446B85">
        <w:lastRenderedPageBreak/>
        <w:t>(2</w:t>
      </w:r>
      <w:r w:rsidR="00446B85">
        <w:noBreakHyphen/>
        <w:t xml:space="preserve">sided 90% upper </w:t>
      </w:r>
      <w:r w:rsidR="006E0652">
        <w:t>confidence interval [</w:t>
      </w:r>
      <w:r w:rsidR="00446B85">
        <w:t>CI</w:t>
      </w:r>
      <w:r w:rsidR="006E0652">
        <w:t>]</w:t>
      </w:r>
      <w:r w:rsidR="00446B85">
        <w:t xml:space="preserve"> 19.4 ms). Among the </w:t>
      </w:r>
      <w:r w:rsidR="00446B85" w:rsidRPr="001C4986">
        <w:t>284</w:t>
      </w:r>
      <w:r w:rsidR="00446B85">
        <w:t xml:space="preserve"> patients with PR interval &lt;200 ms</w:t>
      </w:r>
      <w:r w:rsidR="007144AC">
        <w:t xml:space="preserve"> at baseline</w:t>
      </w:r>
      <w:r w:rsidR="00446B85">
        <w:t xml:space="preserve">, </w:t>
      </w:r>
      <w:r w:rsidR="00446B85" w:rsidRPr="001C4986">
        <w:t>14%</w:t>
      </w:r>
      <w:r w:rsidR="00446B85" w:rsidRPr="00E12B83">
        <w:t xml:space="preserve"> had PR interval prolongation </w:t>
      </w:r>
      <w:r w:rsidR="00446B85">
        <w:t>≥</w:t>
      </w:r>
      <w:r w:rsidR="00446B85" w:rsidRPr="00E12B83">
        <w:t>200</w:t>
      </w:r>
      <w:r w:rsidR="00446B85">
        <w:t> ms</w:t>
      </w:r>
      <w:r w:rsidR="00446B85" w:rsidRPr="00E12B83">
        <w:t xml:space="preserve"> after starting </w:t>
      </w:r>
      <w:r w:rsidR="00446B85">
        <w:t>LORBRENA</w:t>
      </w:r>
      <w:r w:rsidR="00446B85" w:rsidRPr="00E12B83">
        <w:t>.</w:t>
      </w:r>
      <w:r w:rsidR="00446B85">
        <w:t xml:space="preserve"> The prolongation of PR interval occurred in a concentration-dependent manner. Atrioventricular block occurred in </w:t>
      </w:r>
      <w:r w:rsidR="00446B85" w:rsidRPr="001C4986">
        <w:t>1%</w:t>
      </w:r>
      <w:r>
        <w:t xml:space="preserve"> of patients</w:t>
      </w:r>
      <w:r w:rsidR="00997257">
        <w:t>.</w:t>
      </w:r>
    </w:p>
    <w:p w:rsidR="001E1D15" w:rsidRPr="005547DC" w:rsidRDefault="001E1D15" w:rsidP="001E1D15">
      <w:pPr>
        <w:pStyle w:val="Paragraph"/>
        <w:spacing w:after="0"/>
      </w:pPr>
    </w:p>
    <w:p w:rsidR="00996E91" w:rsidRDefault="00BF3C91" w:rsidP="001E1D15">
      <w:pPr>
        <w:pStyle w:val="Paragraph"/>
        <w:spacing w:after="0"/>
      </w:pPr>
      <w:r w:rsidRPr="00BF3C91">
        <w:t xml:space="preserve">In </w:t>
      </w:r>
      <w:r w:rsidR="005D66A1">
        <w:t>2</w:t>
      </w:r>
      <w:r w:rsidR="009902F1">
        <w:t>7</w:t>
      </w:r>
      <w:r w:rsidR="005D66A1">
        <w:t xml:space="preserve">5 </w:t>
      </w:r>
      <w:r w:rsidRPr="00BF3C91">
        <w:t xml:space="preserve">patients who received LORBRENA at </w:t>
      </w:r>
      <w:r w:rsidR="003912EB">
        <w:t>the recommended</w:t>
      </w:r>
      <w:r w:rsidRPr="00BF3C91">
        <w:t xml:space="preserve"> dos</w:t>
      </w:r>
      <w:r w:rsidR="00F03049">
        <w:t>ag</w:t>
      </w:r>
      <w:r w:rsidRPr="00BF3C91">
        <w:t xml:space="preserve">e in </w:t>
      </w:r>
      <w:r w:rsidR="009902F1">
        <w:t xml:space="preserve">the activity-estimating portion of </w:t>
      </w:r>
      <w:r w:rsidRPr="00BF3C91">
        <w:t>Study</w:t>
      </w:r>
      <w:r w:rsidR="001D62D4">
        <w:t> </w:t>
      </w:r>
      <w:r w:rsidRPr="00BF3C91">
        <w:t>B7461001</w:t>
      </w:r>
      <w:r w:rsidR="00E92EBB">
        <w:t>,</w:t>
      </w:r>
      <w:r w:rsidR="00E97DE6" w:rsidRPr="005547DC">
        <w:t xml:space="preserve"> </w:t>
      </w:r>
      <w:r w:rsidR="00FA39A3">
        <w:t>no large mean increases from baseline in the QTc</w:t>
      </w:r>
      <w:r w:rsidR="003178EF">
        <w:t>F</w:t>
      </w:r>
      <w:r w:rsidR="00FA39A3">
        <w:t xml:space="preserve"> interval (i.e</w:t>
      </w:r>
      <w:r w:rsidR="00997257">
        <w:t>.,</w:t>
      </w:r>
      <w:r w:rsidR="00FA39A3">
        <w:t xml:space="preserve"> &gt;20 ms) were detected.</w:t>
      </w:r>
    </w:p>
    <w:p w:rsidR="00FB2F11" w:rsidRDefault="00FB2F11" w:rsidP="001E1D15">
      <w:pPr>
        <w:pStyle w:val="Paragraph"/>
        <w:spacing w:after="0"/>
      </w:pPr>
    </w:p>
    <w:p w:rsidR="00DD0D9A" w:rsidRPr="00C0057E" w:rsidRDefault="00DC0632" w:rsidP="00C0057E">
      <w:pPr>
        <w:tabs>
          <w:tab w:val="left" w:pos="540"/>
        </w:tabs>
        <w:rPr>
          <w:b/>
          <w:sz w:val="24"/>
          <w:szCs w:val="24"/>
        </w:rPr>
      </w:pPr>
      <w:bookmarkStart w:id="20" w:name="_Toc128065039"/>
      <w:r w:rsidRPr="00C0057E">
        <w:rPr>
          <w:b/>
          <w:sz w:val="24"/>
          <w:szCs w:val="24"/>
        </w:rPr>
        <w:t>12.3</w:t>
      </w:r>
      <w:r w:rsidR="00F71420" w:rsidRPr="00C0057E">
        <w:rPr>
          <w:b/>
          <w:sz w:val="24"/>
          <w:szCs w:val="24"/>
        </w:rPr>
        <w:tab/>
      </w:r>
      <w:r w:rsidR="00DD0D9A" w:rsidRPr="00C0057E">
        <w:rPr>
          <w:b/>
          <w:sz w:val="24"/>
          <w:szCs w:val="24"/>
        </w:rPr>
        <w:t>Pharmacokinetics</w:t>
      </w:r>
      <w:bookmarkEnd w:id="20"/>
    </w:p>
    <w:p w:rsidR="001E1D15" w:rsidRDefault="001E1D15" w:rsidP="001E1D15">
      <w:pPr>
        <w:pStyle w:val="BodyTextIndent2"/>
        <w:keepNext/>
        <w:spacing w:after="0" w:line="240" w:lineRule="auto"/>
        <w:ind w:left="0"/>
        <w:rPr>
          <w:bCs/>
          <w:sz w:val="24"/>
          <w:szCs w:val="24"/>
        </w:rPr>
      </w:pPr>
    </w:p>
    <w:p w:rsidR="005848B0" w:rsidRDefault="005626BF" w:rsidP="001E1D15">
      <w:pPr>
        <w:pStyle w:val="BodyTextIndent2"/>
        <w:keepNext/>
        <w:spacing w:after="0" w:line="240" w:lineRule="auto"/>
        <w:ind w:left="0"/>
        <w:rPr>
          <w:bCs/>
          <w:sz w:val="24"/>
          <w:szCs w:val="24"/>
        </w:rPr>
      </w:pPr>
      <w:r>
        <w:rPr>
          <w:bCs/>
          <w:sz w:val="24"/>
          <w:szCs w:val="24"/>
        </w:rPr>
        <w:t>S</w:t>
      </w:r>
      <w:r w:rsidR="005848B0">
        <w:rPr>
          <w:bCs/>
          <w:sz w:val="24"/>
          <w:szCs w:val="24"/>
        </w:rPr>
        <w:t xml:space="preserve">teady-state lorlatinib </w:t>
      </w:r>
      <w:r w:rsidR="00BB1469">
        <w:rPr>
          <w:bCs/>
          <w:sz w:val="24"/>
          <w:szCs w:val="24"/>
        </w:rPr>
        <w:t>maximum plasma concentration (</w:t>
      </w:r>
      <w:r w:rsidR="005848B0">
        <w:rPr>
          <w:bCs/>
          <w:sz w:val="24"/>
          <w:szCs w:val="24"/>
        </w:rPr>
        <w:t>C</w:t>
      </w:r>
      <w:r w:rsidR="005848B0" w:rsidRPr="005626BF">
        <w:rPr>
          <w:sz w:val="24"/>
          <w:szCs w:val="24"/>
          <w:vertAlign w:val="subscript"/>
        </w:rPr>
        <w:t>max</w:t>
      </w:r>
      <w:r w:rsidR="00BB1469">
        <w:rPr>
          <w:sz w:val="24"/>
          <w:szCs w:val="24"/>
        </w:rPr>
        <w:t>)</w:t>
      </w:r>
      <w:r w:rsidR="005848B0">
        <w:rPr>
          <w:bCs/>
          <w:sz w:val="24"/>
          <w:szCs w:val="24"/>
        </w:rPr>
        <w:t xml:space="preserve"> </w:t>
      </w:r>
      <w:r w:rsidR="00417B0C">
        <w:rPr>
          <w:bCs/>
          <w:sz w:val="24"/>
          <w:szCs w:val="24"/>
        </w:rPr>
        <w:t xml:space="preserve">increases proportionally </w:t>
      </w:r>
      <w:r w:rsidR="005848B0">
        <w:rPr>
          <w:bCs/>
          <w:sz w:val="24"/>
          <w:szCs w:val="24"/>
        </w:rPr>
        <w:t xml:space="preserve">and AUC increased </w:t>
      </w:r>
      <w:r w:rsidR="00417B0C">
        <w:rPr>
          <w:bCs/>
          <w:sz w:val="24"/>
          <w:szCs w:val="24"/>
        </w:rPr>
        <w:t xml:space="preserve">slightly less than </w:t>
      </w:r>
      <w:r w:rsidR="005848B0">
        <w:rPr>
          <w:bCs/>
          <w:sz w:val="24"/>
          <w:szCs w:val="24"/>
        </w:rPr>
        <w:t xml:space="preserve">proportionally over the dose range of 10 </w:t>
      </w:r>
      <w:r>
        <w:rPr>
          <w:bCs/>
          <w:sz w:val="24"/>
          <w:szCs w:val="24"/>
        </w:rPr>
        <w:t xml:space="preserve">mg </w:t>
      </w:r>
      <w:r w:rsidR="005848B0">
        <w:rPr>
          <w:bCs/>
          <w:sz w:val="24"/>
          <w:szCs w:val="24"/>
        </w:rPr>
        <w:t xml:space="preserve">to 200 mg </w:t>
      </w:r>
      <w:r w:rsidR="00521A8E">
        <w:rPr>
          <w:bCs/>
          <w:sz w:val="24"/>
          <w:szCs w:val="24"/>
        </w:rPr>
        <w:t xml:space="preserve">orally </w:t>
      </w:r>
      <w:r w:rsidR="005848B0">
        <w:rPr>
          <w:bCs/>
          <w:sz w:val="24"/>
          <w:szCs w:val="24"/>
        </w:rPr>
        <w:t>once daily (0.1 to 2 times the recommended dos</w:t>
      </w:r>
      <w:r w:rsidR="00F03049">
        <w:rPr>
          <w:bCs/>
          <w:sz w:val="24"/>
          <w:szCs w:val="24"/>
        </w:rPr>
        <w:t>ag</w:t>
      </w:r>
      <w:r w:rsidR="005848B0">
        <w:rPr>
          <w:bCs/>
          <w:sz w:val="24"/>
          <w:szCs w:val="24"/>
        </w:rPr>
        <w:t xml:space="preserve">e). At the recommended dosage, the </w:t>
      </w:r>
      <w:r w:rsidR="00E831EB">
        <w:rPr>
          <w:bCs/>
          <w:sz w:val="24"/>
          <w:szCs w:val="24"/>
        </w:rPr>
        <w:t xml:space="preserve">mean </w:t>
      </w:r>
      <w:r w:rsidR="000574DD">
        <w:rPr>
          <w:bCs/>
          <w:sz w:val="24"/>
          <w:szCs w:val="24"/>
        </w:rPr>
        <w:t>(</w:t>
      </w:r>
      <w:r w:rsidR="00321158">
        <w:rPr>
          <w:bCs/>
          <w:sz w:val="24"/>
          <w:szCs w:val="24"/>
        </w:rPr>
        <w:t xml:space="preserve">coefficient of variation </w:t>
      </w:r>
      <w:r w:rsidR="000574DD">
        <w:rPr>
          <w:bCs/>
          <w:sz w:val="24"/>
          <w:szCs w:val="24"/>
        </w:rPr>
        <w:t>[</w:t>
      </w:r>
      <w:r w:rsidR="00321158">
        <w:rPr>
          <w:bCs/>
          <w:sz w:val="24"/>
          <w:szCs w:val="24"/>
        </w:rPr>
        <w:t>CV</w:t>
      </w:r>
      <w:r w:rsidR="000574DD">
        <w:rPr>
          <w:bCs/>
          <w:sz w:val="24"/>
          <w:szCs w:val="24"/>
        </w:rPr>
        <w:t>]</w:t>
      </w:r>
      <w:r w:rsidR="00321158">
        <w:rPr>
          <w:bCs/>
          <w:sz w:val="24"/>
          <w:szCs w:val="24"/>
        </w:rPr>
        <w:t xml:space="preserve"> %</w:t>
      </w:r>
      <w:r w:rsidR="000574DD">
        <w:rPr>
          <w:bCs/>
          <w:sz w:val="24"/>
          <w:szCs w:val="24"/>
        </w:rPr>
        <w:t>)</w:t>
      </w:r>
      <w:r w:rsidR="00E831EB">
        <w:rPr>
          <w:bCs/>
          <w:sz w:val="24"/>
          <w:szCs w:val="24"/>
        </w:rPr>
        <w:t xml:space="preserve"> C</w:t>
      </w:r>
      <w:r w:rsidR="00E831EB" w:rsidRPr="00521A8E">
        <w:rPr>
          <w:sz w:val="24"/>
          <w:szCs w:val="24"/>
          <w:vertAlign w:val="subscript"/>
        </w:rPr>
        <w:t>max</w:t>
      </w:r>
      <w:r w:rsidR="00E831EB">
        <w:rPr>
          <w:bCs/>
          <w:sz w:val="24"/>
          <w:szCs w:val="24"/>
        </w:rPr>
        <w:t xml:space="preserve"> was 577 </w:t>
      </w:r>
      <w:r w:rsidR="00E831EB" w:rsidRPr="008E5E62">
        <w:rPr>
          <w:bCs/>
          <w:sz w:val="24"/>
          <w:szCs w:val="24"/>
        </w:rPr>
        <w:t xml:space="preserve">ng/mL </w:t>
      </w:r>
      <w:r w:rsidR="00BF686E">
        <w:rPr>
          <w:bCs/>
          <w:sz w:val="24"/>
          <w:szCs w:val="24"/>
        </w:rPr>
        <w:t>(42%)</w:t>
      </w:r>
      <w:r w:rsidR="00E831EB" w:rsidRPr="008E5E62">
        <w:rPr>
          <w:bCs/>
          <w:sz w:val="24"/>
          <w:szCs w:val="24"/>
        </w:rPr>
        <w:t xml:space="preserve"> and </w:t>
      </w:r>
      <w:r w:rsidR="00E831EB">
        <w:rPr>
          <w:bCs/>
          <w:sz w:val="24"/>
          <w:szCs w:val="24"/>
        </w:rPr>
        <w:t>the AUC</w:t>
      </w:r>
      <w:r w:rsidRPr="005626BF">
        <w:rPr>
          <w:bCs/>
          <w:sz w:val="24"/>
          <w:szCs w:val="24"/>
          <w:vertAlign w:val="subscript"/>
        </w:rPr>
        <w:t>0-</w:t>
      </w:r>
      <w:r w:rsidR="00E831EB" w:rsidRPr="00521A8E">
        <w:rPr>
          <w:sz w:val="24"/>
          <w:szCs w:val="24"/>
          <w:vertAlign w:val="subscript"/>
        </w:rPr>
        <w:t>24h</w:t>
      </w:r>
      <w:r w:rsidR="00E831EB">
        <w:rPr>
          <w:bCs/>
          <w:sz w:val="24"/>
          <w:szCs w:val="24"/>
        </w:rPr>
        <w:t xml:space="preserve"> was 5650 </w:t>
      </w:r>
      <w:r w:rsidR="00E831EB" w:rsidRPr="008E5E62">
        <w:rPr>
          <w:bCs/>
          <w:sz w:val="24"/>
          <w:szCs w:val="24"/>
        </w:rPr>
        <w:t>ng</w:t>
      </w:r>
      <w:r w:rsidR="00E831EB">
        <w:rPr>
          <w:bCs/>
          <w:sz w:val="24"/>
          <w:szCs w:val="24"/>
        </w:rPr>
        <w:t>·</w:t>
      </w:r>
      <w:r w:rsidR="00E831EB" w:rsidRPr="008E5E62">
        <w:rPr>
          <w:bCs/>
          <w:sz w:val="24"/>
          <w:szCs w:val="24"/>
        </w:rPr>
        <w:t>h/mL</w:t>
      </w:r>
      <w:r w:rsidR="00E831EB">
        <w:rPr>
          <w:bCs/>
          <w:sz w:val="24"/>
          <w:szCs w:val="24"/>
        </w:rPr>
        <w:t xml:space="preserve"> </w:t>
      </w:r>
      <w:r w:rsidR="00BF686E">
        <w:rPr>
          <w:bCs/>
          <w:sz w:val="24"/>
          <w:szCs w:val="24"/>
        </w:rPr>
        <w:t>(39%)</w:t>
      </w:r>
      <w:r w:rsidR="00E831EB">
        <w:rPr>
          <w:bCs/>
          <w:sz w:val="24"/>
          <w:szCs w:val="24"/>
        </w:rPr>
        <w:t xml:space="preserve"> in patients with cancer.</w:t>
      </w:r>
      <w:r w:rsidR="005B24E4">
        <w:rPr>
          <w:bCs/>
          <w:sz w:val="24"/>
          <w:szCs w:val="24"/>
        </w:rPr>
        <w:t xml:space="preserve"> </w:t>
      </w:r>
      <w:r w:rsidR="005B24E4" w:rsidRPr="005B24E4">
        <w:rPr>
          <w:bCs/>
          <w:sz w:val="24"/>
          <w:szCs w:val="24"/>
        </w:rPr>
        <w:t>Lorlatinib oral clearance increased at steady-state compared to single dose, indicating autoinduction.</w:t>
      </w:r>
    </w:p>
    <w:p w:rsidR="001E1D15" w:rsidRDefault="001E1D15" w:rsidP="001E1D15">
      <w:pPr>
        <w:pStyle w:val="BodyTextIndent2"/>
        <w:keepNext/>
        <w:spacing w:after="0" w:line="240" w:lineRule="auto"/>
        <w:ind w:left="0"/>
        <w:rPr>
          <w:bCs/>
          <w:sz w:val="24"/>
          <w:szCs w:val="24"/>
        </w:rPr>
      </w:pPr>
    </w:p>
    <w:p w:rsidR="00C921D6" w:rsidRPr="00C353DD" w:rsidRDefault="00C921D6" w:rsidP="001E1D15">
      <w:pPr>
        <w:pStyle w:val="BodyTextIndent2"/>
        <w:keepNext/>
        <w:spacing w:after="0" w:line="240" w:lineRule="auto"/>
        <w:ind w:left="0"/>
        <w:rPr>
          <w:bCs/>
          <w:sz w:val="24"/>
          <w:szCs w:val="24"/>
          <w:u w:val="single"/>
        </w:rPr>
      </w:pPr>
      <w:r w:rsidRPr="00C353DD">
        <w:rPr>
          <w:bCs/>
          <w:sz w:val="24"/>
          <w:szCs w:val="24"/>
          <w:u w:val="single"/>
        </w:rPr>
        <w:t>Absorption</w:t>
      </w:r>
    </w:p>
    <w:p w:rsidR="001D03D1" w:rsidRDefault="00E831EB" w:rsidP="001E1D15">
      <w:pPr>
        <w:pStyle w:val="BodyTextIndent2"/>
        <w:keepNext/>
        <w:spacing w:after="0" w:line="240" w:lineRule="auto"/>
        <w:ind w:left="0"/>
        <w:rPr>
          <w:bCs/>
          <w:sz w:val="24"/>
          <w:szCs w:val="24"/>
        </w:rPr>
      </w:pPr>
      <w:r>
        <w:rPr>
          <w:bCs/>
          <w:sz w:val="24"/>
          <w:szCs w:val="24"/>
        </w:rPr>
        <w:t>T</w:t>
      </w:r>
      <w:r w:rsidR="005A4EE2" w:rsidRPr="008E5E62">
        <w:rPr>
          <w:bCs/>
          <w:sz w:val="24"/>
          <w:szCs w:val="24"/>
        </w:rPr>
        <w:t xml:space="preserve">he median </w:t>
      </w:r>
      <w:r>
        <w:rPr>
          <w:bCs/>
          <w:sz w:val="24"/>
          <w:szCs w:val="24"/>
        </w:rPr>
        <w:t xml:space="preserve">lorlatinib </w:t>
      </w:r>
      <w:r w:rsidR="005A4EE2" w:rsidRPr="008E5E62">
        <w:rPr>
          <w:bCs/>
          <w:sz w:val="24"/>
          <w:szCs w:val="24"/>
        </w:rPr>
        <w:t>T</w:t>
      </w:r>
      <w:r w:rsidR="005A4EE2" w:rsidRPr="00585059">
        <w:rPr>
          <w:bCs/>
          <w:sz w:val="24"/>
          <w:szCs w:val="24"/>
          <w:vertAlign w:val="subscript"/>
        </w:rPr>
        <w:t>max</w:t>
      </w:r>
      <w:r w:rsidR="005A4EE2" w:rsidRPr="008E5E62">
        <w:rPr>
          <w:bCs/>
          <w:sz w:val="24"/>
          <w:szCs w:val="24"/>
        </w:rPr>
        <w:t xml:space="preserve"> </w:t>
      </w:r>
      <w:r>
        <w:rPr>
          <w:bCs/>
          <w:sz w:val="24"/>
          <w:szCs w:val="24"/>
        </w:rPr>
        <w:t>was</w:t>
      </w:r>
      <w:r w:rsidR="005A4EE2">
        <w:rPr>
          <w:bCs/>
          <w:sz w:val="24"/>
          <w:szCs w:val="24"/>
        </w:rPr>
        <w:t xml:space="preserve"> 1.2 </w:t>
      </w:r>
      <w:r w:rsidR="005A4EE2" w:rsidRPr="008E5E62">
        <w:rPr>
          <w:bCs/>
          <w:sz w:val="24"/>
          <w:szCs w:val="24"/>
        </w:rPr>
        <w:t>hours</w:t>
      </w:r>
      <w:r w:rsidR="005A4EE2">
        <w:rPr>
          <w:sz w:val="24"/>
          <w:szCs w:val="24"/>
        </w:rPr>
        <w:t xml:space="preserve"> </w:t>
      </w:r>
      <w:r w:rsidR="00BF686E">
        <w:rPr>
          <w:bCs/>
          <w:sz w:val="24"/>
          <w:szCs w:val="24"/>
        </w:rPr>
        <w:t>(0.5 to 4 hours)</w:t>
      </w:r>
      <w:r w:rsidR="005A4EE2" w:rsidRPr="00201392">
        <w:t xml:space="preserve"> </w:t>
      </w:r>
      <w:r w:rsidR="005A4EE2" w:rsidRPr="00201392">
        <w:rPr>
          <w:bCs/>
          <w:sz w:val="24"/>
          <w:szCs w:val="24"/>
        </w:rPr>
        <w:t xml:space="preserve">following a single </w:t>
      </w:r>
      <w:r w:rsidR="00BB1469">
        <w:rPr>
          <w:bCs/>
          <w:sz w:val="24"/>
          <w:szCs w:val="24"/>
        </w:rPr>
        <w:t xml:space="preserve">oral </w:t>
      </w:r>
      <w:r w:rsidR="00E43523">
        <w:rPr>
          <w:bCs/>
          <w:sz w:val="24"/>
          <w:szCs w:val="24"/>
        </w:rPr>
        <w:t xml:space="preserve">100 mg </w:t>
      </w:r>
      <w:r w:rsidR="00BB1469">
        <w:rPr>
          <w:bCs/>
          <w:sz w:val="24"/>
          <w:szCs w:val="24"/>
        </w:rPr>
        <w:t xml:space="preserve">dose </w:t>
      </w:r>
      <w:r w:rsidR="005A4EE2" w:rsidRPr="00201392">
        <w:rPr>
          <w:bCs/>
          <w:sz w:val="24"/>
          <w:szCs w:val="24"/>
        </w:rPr>
        <w:t xml:space="preserve">and 2 hours </w:t>
      </w:r>
      <w:r w:rsidR="00BF686E">
        <w:rPr>
          <w:bCs/>
          <w:sz w:val="24"/>
          <w:szCs w:val="24"/>
        </w:rPr>
        <w:t>(0.5</w:t>
      </w:r>
      <w:r w:rsidR="001D62D4">
        <w:rPr>
          <w:bCs/>
          <w:sz w:val="24"/>
          <w:szCs w:val="24"/>
        </w:rPr>
        <w:t> </w:t>
      </w:r>
      <w:r w:rsidR="00BF686E">
        <w:rPr>
          <w:bCs/>
          <w:sz w:val="24"/>
          <w:szCs w:val="24"/>
        </w:rPr>
        <w:t xml:space="preserve">to 23 hours) </w:t>
      </w:r>
      <w:r w:rsidR="005A4EE2" w:rsidRPr="00201392">
        <w:rPr>
          <w:bCs/>
          <w:sz w:val="24"/>
          <w:szCs w:val="24"/>
        </w:rPr>
        <w:t xml:space="preserve">following 100 mg </w:t>
      </w:r>
      <w:r w:rsidR="00321158">
        <w:rPr>
          <w:bCs/>
          <w:sz w:val="24"/>
          <w:szCs w:val="24"/>
        </w:rPr>
        <w:t xml:space="preserve">orally </w:t>
      </w:r>
      <w:r w:rsidR="005A4EE2" w:rsidRPr="00201392">
        <w:rPr>
          <w:bCs/>
          <w:sz w:val="24"/>
          <w:szCs w:val="24"/>
        </w:rPr>
        <w:t>once daily</w:t>
      </w:r>
      <w:r w:rsidR="005141DB">
        <w:rPr>
          <w:bCs/>
          <w:sz w:val="24"/>
          <w:szCs w:val="24"/>
        </w:rPr>
        <w:t xml:space="preserve"> at steady state</w:t>
      </w:r>
      <w:r w:rsidR="005A4EE2" w:rsidRPr="008E5E62">
        <w:rPr>
          <w:bCs/>
          <w:sz w:val="24"/>
          <w:szCs w:val="24"/>
        </w:rPr>
        <w:t xml:space="preserve">. </w:t>
      </w:r>
    </w:p>
    <w:p w:rsidR="001E1D15" w:rsidRDefault="001E1D15" w:rsidP="001E1D15">
      <w:pPr>
        <w:pStyle w:val="BodyTextIndent2"/>
        <w:keepNext/>
        <w:spacing w:after="0" w:line="240" w:lineRule="auto"/>
        <w:ind w:left="0"/>
        <w:rPr>
          <w:bCs/>
          <w:sz w:val="24"/>
          <w:szCs w:val="24"/>
        </w:rPr>
      </w:pPr>
    </w:p>
    <w:p w:rsidR="00C11B10" w:rsidRDefault="00E43523" w:rsidP="001E1D15">
      <w:pPr>
        <w:pStyle w:val="BodyTextIndent2"/>
        <w:spacing w:after="0" w:line="240" w:lineRule="auto"/>
        <w:ind w:left="0"/>
        <w:rPr>
          <w:bCs/>
          <w:sz w:val="24"/>
          <w:szCs w:val="24"/>
        </w:rPr>
      </w:pPr>
      <w:r>
        <w:rPr>
          <w:bCs/>
          <w:sz w:val="24"/>
          <w:szCs w:val="24"/>
        </w:rPr>
        <w:t>T</w:t>
      </w:r>
      <w:r w:rsidR="001D03D1" w:rsidRPr="008E5E62">
        <w:rPr>
          <w:bCs/>
          <w:sz w:val="24"/>
          <w:szCs w:val="24"/>
        </w:rPr>
        <w:t>he mean abs</w:t>
      </w:r>
      <w:r w:rsidR="001D03D1">
        <w:rPr>
          <w:bCs/>
          <w:sz w:val="24"/>
          <w:szCs w:val="24"/>
        </w:rPr>
        <w:t>olute bioavailability is 8</w:t>
      </w:r>
      <w:r w:rsidR="00521A8E">
        <w:rPr>
          <w:bCs/>
          <w:sz w:val="24"/>
          <w:szCs w:val="24"/>
        </w:rPr>
        <w:t>1</w:t>
      </w:r>
      <w:r w:rsidR="001D03D1">
        <w:rPr>
          <w:bCs/>
          <w:sz w:val="24"/>
          <w:szCs w:val="24"/>
        </w:rPr>
        <w:t>%</w:t>
      </w:r>
      <w:r w:rsidR="001D03D1" w:rsidRPr="008E5E62">
        <w:rPr>
          <w:bCs/>
          <w:sz w:val="24"/>
          <w:szCs w:val="24"/>
        </w:rPr>
        <w:t xml:space="preserve"> </w:t>
      </w:r>
      <w:r w:rsidR="00052EFE" w:rsidRPr="008E5E62">
        <w:rPr>
          <w:bCs/>
          <w:sz w:val="24"/>
          <w:szCs w:val="24"/>
        </w:rPr>
        <w:t>(90% CI 75.7</w:t>
      </w:r>
      <w:r w:rsidR="00052EFE">
        <w:rPr>
          <w:bCs/>
          <w:sz w:val="24"/>
          <w:szCs w:val="24"/>
        </w:rPr>
        <w:t>%</w:t>
      </w:r>
      <w:r w:rsidR="00052EFE" w:rsidRPr="008E5E62">
        <w:rPr>
          <w:bCs/>
          <w:sz w:val="24"/>
          <w:szCs w:val="24"/>
        </w:rPr>
        <w:t>, 86.2</w:t>
      </w:r>
      <w:r w:rsidR="00052EFE">
        <w:rPr>
          <w:bCs/>
          <w:sz w:val="24"/>
          <w:szCs w:val="24"/>
        </w:rPr>
        <w:t>%</w:t>
      </w:r>
      <w:r w:rsidR="00052EFE" w:rsidRPr="008E5E62">
        <w:rPr>
          <w:bCs/>
          <w:sz w:val="24"/>
          <w:szCs w:val="24"/>
        </w:rPr>
        <w:t>)</w:t>
      </w:r>
      <w:r w:rsidR="00052EFE">
        <w:rPr>
          <w:bCs/>
          <w:sz w:val="24"/>
          <w:szCs w:val="24"/>
        </w:rPr>
        <w:t xml:space="preserve"> </w:t>
      </w:r>
      <w:r>
        <w:rPr>
          <w:bCs/>
          <w:sz w:val="24"/>
          <w:szCs w:val="24"/>
        </w:rPr>
        <w:t xml:space="preserve">after oral administration </w:t>
      </w:r>
      <w:r w:rsidR="001D03D1" w:rsidRPr="008E5E62">
        <w:rPr>
          <w:bCs/>
          <w:sz w:val="24"/>
          <w:szCs w:val="24"/>
        </w:rPr>
        <w:t>compared to intravenous administration</w:t>
      </w:r>
      <w:r w:rsidR="001D03D1">
        <w:rPr>
          <w:bCs/>
          <w:sz w:val="24"/>
          <w:szCs w:val="24"/>
        </w:rPr>
        <w:t>.</w:t>
      </w:r>
    </w:p>
    <w:p w:rsidR="001E1D15" w:rsidRDefault="001E1D15" w:rsidP="001E1D15">
      <w:pPr>
        <w:pStyle w:val="BodyTextIndent2"/>
        <w:spacing w:after="0" w:line="240" w:lineRule="auto"/>
        <w:ind w:left="0"/>
        <w:rPr>
          <w:bCs/>
          <w:sz w:val="24"/>
          <w:szCs w:val="24"/>
        </w:rPr>
      </w:pPr>
    </w:p>
    <w:p w:rsidR="005A4F16" w:rsidRPr="005A4F16" w:rsidRDefault="005A4F16" w:rsidP="001E1D15">
      <w:pPr>
        <w:pStyle w:val="BodyTextIndent2"/>
        <w:keepNext/>
        <w:spacing w:after="0" w:line="240" w:lineRule="auto"/>
        <w:ind w:left="0"/>
        <w:rPr>
          <w:bCs/>
          <w:i/>
          <w:sz w:val="24"/>
          <w:szCs w:val="24"/>
        </w:rPr>
      </w:pPr>
      <w:r w:rsidRPr="005A4F16">
        <w:rPr>
          <w:bCs/>
          <w:i/>
          <w:sz w:val="24"/>
          <w:szCs w:val="24"/>
        </w:rPr>
        <w:t>Effect of Food</w:t>
      </w:r>
    </w:p>
    <w:p w:rsidR="00C353DD" w:rsidRDefault="005A4F16" w:rsidP="001E1D15">
      <w:pPr>
        <w:pStyle w:val="BodyTextIndent2"/>
        <w:keepNext/>
        <w:spacing w:after="0" w:line="240" w:lineRule="auto"/>
        <w:ind w:left="0"/>
        <w:rPr>
          <w:bCs/>
          <w:sz w:val="24"/>
          <w:szCs w:val="24"/>
        </w:rPr>
      </w:pPr>
      <w:r w:rsidRPr="008E5E62">
        <w:rPr>
          <w:bCs/>
          <w:sz w:val="24"/>
          <w:szCs w:val="24"/>
        </w:rPr>
        <w:t xml:space="preserve">Administration of </w:t>
      </w:r>
      <w:r w:rsidR="001B6FE9">
        <w:rPr>
          <w:bCs/>
          <w:sz w:val="24"/>
          <w:szCs w:val="24"/>
        </w:rPr>
        <w:t>LORBRENA</w:t>
      </w:r>
      <w:r w:rsidR="001B6FE9" w:rsidRPr="008E5E62">
        <w:rPr>
          <w:bCs/>
          <w:sz w:val="24"/>
          <w:szCs w:val="24"/>
        </w:rPr>
        <w:t xml:space="preserve"> </w:t>
      </w:r>
      <w:r w:rsidRPr="008E5E62">
        <w:rPr>
          <w:bCs/>
          <w:sz w:val="24"/>
          <w:szCs w:val="24"/>
        </w:rPr>
        <w:t xml:space="preserve">with a high fat, high calorie meal </w:t>
      </w:r>
      <w:r w:rsidR="00E831EB">
        <w:rPr>
          <w:bCs/>
          <w:sz w:val="24"/>
          <w:szCs w:val="24"/>
        </w:rPr>
        <w:t>(approximately 1000 calories with 150</w:t>
      </w:r>
      <w:r w:rsidR="001D62D4">
        <w:rPr>
          <w:bCs/>
          <w:sz w:val="24"/>
          <w:szCs w:val="24"/>
        </w:rPr>
        <w:t> </w:t>
      </w:r>
      <w:r w:rsidR="00E831EB">
        <w:rPr>
          <w:bCs/>
          <w:sz w:val="24"/>
          <w:szCs w:val="24"/>
        </w:rPr>
        <w:t>calories from protein, 250 calories from carbohydrate, and 500 to 600 calories from fat)</w:t>
      </w:r>
      <w:r w:rsidR="001B6FE9">
        <w:rPr>
          <w:bCs/>
          <w:sz w:val="24"/>
          <w:szCs w:val="24"/>
        </w:rPr>
        <w:t xml:space="preserve"> had no clinically meaningful effect on lorlatinib pharmacokinetics</w:t>
      </w:r>
      <w:r w:rsidR="00D92A73">
        <w:rPr>
          <w:bCs/>
          <w:sz w:val="24"/>
          <w:szCs w:val="24"/>
        </w:rPr>
        <w:t>.</w:t>
      </w:r>
      <w:r w:rsidR="008D67B6">
        <w:rPr>
          <w:bCs/>
          <w:sz w:val="24"/>
          <w:szCs w:val="24"/>
        </w:rPr>
        <w:t xml:space="preserve"> </w:t>
      </w:r>
    </w:p>
    <w:p w:rsidR="0001656D" w:rsidRDefault="0001656D" w:rsidP="001E1D15">
      <w:pPr>
        <w:pStyle w:val="BodyTextIndent2"/>
        <w:keepNext/>
        <w:spacing w:after="0" w:line="240" w:lineRule="auto"/>
        <w:ind w:left="0"/>
        <w:rPr>
          <w:bCs/>
          <w:sz w:val="24"/>
          <w:szCs w:val="24"/>
        </w:rPr>
      </w:pPr>
    </w:p>
    <w:p w:rsidR="008E5E62" w:rsidRPr="00C353DD" w:rsidRDefault="008E5E62" w:rsidP="001E1D15">
      <w:pPr>
        <w:pStyle w:val="BodyTextIndent2"/>
        <w:keepNext/>
        <w:spacing w:after="0" w:line="240" w:lineRule="auto"/>
        <w:ind w:left="0"/>
        <w:rPr>
          <w:bCs/>
          <w:sz w:val="24"/>
          <w:szCs w:val="24"/>
          <w:u w:val="single"/>
        </w:rPr>
      </w:pPr>
      <w:r w:rsidRPr="00C353DD">
        <w:rPr>
          <w:bCs/>
          <w:sz w:val="24"/>
          <w:szCs w:val="24"/>
          <w:u w:val="single"/>
        </w:rPr>
        <w:t>Distribution</w:t>
      </w:r>
    </w:p>
    <w:p w:rsidR="008E5E62" w:rsidRDefault="008E5E62" w:rsidP="001E1D15">
      <w:pPr>
        <w:pStyle w:val="BodyTextIndent2"/>
        <w:keepNext/>
        <w:spacing w:after="0" w:line="240" w:lineRule="auto"/>
        <w:ind w:left="0"/>
        <w:rPr>
          <w:bCs/>
          <w:sz w:val="24"/>
          <w:szCs w:val="24"/>
        </w:rPr>
      </w:pPr>
      <w:r w:rsidRPr="009F1817">
        <w:rPr>
          <w:bCs/>
          <w:sz w:val="24"/>
          <w:szCs w:val="24"/>
        </w:rPr>
        <w:t>In vitro</w:t>
      </w:r>
      <w:r w:rsidR="005E3EE0">
        <w:rPr>
          <w:bCs/>
          <w:sz w:val="24"/>
          <w:szCs w:val="24"/>
        </w:rPr>
        <w:t xml:space="preserve">, </w:t>
      </w:r>
      <w:r w:rsidR="00A412C5">
        <w:rPr>
          <w:bCs/>
          <w:sz w:val="24"/>
          <w:szCs w:val="24"/>
        </w:rPr>
        <w:t xml:space="preserve">lorlatinib was </w:t>
      </w:r>
      <w:r w:rsidR="00A412C5" w:rsidRPr="008E5E62">
        <w:rPr>
          <w:bCs/>
          <w:sz w:val="24"/>
          <w:szCs w:val="24"/>
        </w:rPr>
        <w:t>66%</w:t>
      </w:r>
      <w:r w:rsidR="00A412C5">
        <w:rPr>
          <w:bCs/>
          <w:sz w:val="24"/>
          <w:szCs w:val="24"/>
        </w:rPr>
        <w:t xml:space="preserve"> bound to </w:t>
      </w:r>
      <w:r w:rsidRPr="008E5E62">
        <w:rPr>
          <w:bCs/>
          <w:sz w:val="24"/>
          <w:szCs w:val="24"/>
        </w:rPr>
        <w:t>plasma proteins</w:t>
      </w:r>
      <w:r w:rsidR="00A412C5">
        <w:rPr>
          <w:bCs/>
          <w:sz w:val="24"/>
          <w:szCs w:val="24"/>
        </w:rPr>
        <w:t xml:space="preserve"> </w:t>
      </w:r>
      <w:r w:rsidR="009812AF">
        <w:rPr>
          <w:bCs/>
          <w:sz w:val="24"/>
          <w:szCs w:val="24"/>
        </w:rPr>
        <w:t xml:space="preserve">at a </w:t>
      </w:r>
      <w:r w:rsidR="00257448">
        <w:rPr>
          <w:bCs/>
          <w:sz w:val="24"/>
          <w:szCs w:val="24"/>
        </w:rPr>
        <w:t xml:space="preserve">concentration </w:t>
      </w:r>
      <w:r w:rsidR="009812AF">
        <w:rPr>
          <w:bCs/>
          <w:sz w:val="24"/>
          <w:szCs w:val="24"/>
        </w:rPr>
        <w:t>of 2.4 µM</w:t>
      </w:r>
      <w:r w:rsidR="004759CE">
        <w:rPr>
          <w:bCs/>
          <w:sz w:val="24"/>
          <w:szCs w:val="24"/>
        </w:rPr>
        <w:t>.</w:t>
      </w:r>
      <w:r w:rsidR="009812AF">
        <w:rPr>
          <w:bCs/>
          <w:sz w:val="24"/>
          <w:szCs w:val="24"/>
        </w:rPr>
        <w:t xml:space="preserve"> </w:t>
      </w:r>
      <w:r w:rsidR="004759CE">
        <w:rPr>
          <w:bCs/>
          <w:sz w:val="24"/>
          <w:szCs w:val="24"/>
        </w:rPr>
        <w:t>T</w:t>
      </w:r>
      <w:r w:rsidR="009E1F77">
        <w:rPr>
          <w:bCs/>
          <w:sz w:val="24"/>
          <w:szCs w:val="24"/>
        </w:rPr>
        <w:t>he</w:t>
      </w:r>
      <w:r w:rsidR="006C25F3">
        <w:rPr>
          <w:bCs/>
          <w:sz w:val="24"/>
          <w:szCs w:val="24"/>
        </w:rPr>
        <w:t xml:space="preserve"> blood-</w:t>
      </w:r>
      <w:r w:rsidR="00257448">
        <w:rPr>
          <w:bCs/>
          <w:sz w:val="24"/>
          <w:szCs w:val="24"/>
        </w:rPr>
        <w:t>to</w:t>
      </w:r>
      <w:r w:rsidR="006C25F3">
        <w:rPr>
          <w:bCs/>
          <w:sz w:val="24"/>
          <w:szCs w:val="24"/>
        </w:rPr>
        <w:t xml:space="preserve">-plasma ratio </w:t>
      </w:r>
      <w:r w:rsidR="009E1F77">
        <w:rPr>
          <w:bCs/>
          <w:sz w:val="24"/>
          <w:szCs w:val="24"/>
        </w:rPr>
        <w:t>was</w:t>
      </w:r>
      <w:r w:rsidR="006C25F3">
        <w:rPr>
          <w:bCs/>
          <w:sz w:val="24"/>
          <w:szCs w:val="24"/>
        </w:rPr>
        <w:t xml:space="preserve"> 0.99</w:t>
      </w:r>
      <w:r w:rsidR="00257448">
        <w:rPr>
          <w:bCs/>
          <w:sz w:val="24"/>
          <w:szCs w:val="24"/>
        </w:rPr>
        <w:t xml:space="preserve">. </w:t>
      </w:r>
      <w:r w:rsidR="006C25F3" w:rsidRPr="008E5E62">
        <w:rPr>
          <w:bCs/>
          <w:sz w:val="24"/>
          <w:szCs w:val="24"/>
        </w:rPr>
        <w:t>The</w:t>
      </w:r>
      <w:r w:rsidR="006C25F3">
        <w:rPr>
          <w:bCs/>
          <w:sz w:val="24"/>
          <w:szCs w:val="24"/>
        </w:rPr>
        <w:t xml:space="preserve"> </w:t>
      </w:r>
      <w:r w:rsidR="006C25F3" w:rsidRPr="008E5E62">
        <w:rPr>
          <w:bCs/>
          <w:sz w:val="24"/>
          <w:szCs w:val="24"/>
        </w:rPr>
        <w:t xml:space="preserve">mean </w:t>
      </w:r>
      <w:r w:rsidR="00321158">
        <w:rPr>
          <w:bCs/>
          <w:sz w:val="24"/>
          <w:szCs w:val="24"/>
        </w:rPr>
        <w:t xml:space="preserve">(CV%) </w:t>
      </w:r>
      <w:r w:rsidR="006C25F3">
        <w:rPr>
          <w:bCs/>
          <w:sz w:val="24"/>
          <w:szCs w:val="24"/>
        </w:rPr>
        <w:t>steady state volume of distribution (V</w:t>
      </w:r>
      <w:r w:rsidR="006C25F3" w:rsidRPr="0099754B">
        <w:rPr>
          <w:sz w:val="24"/>
          <w:szCs w:val="24"/>
          <w:vertAlign w:val="subscript"/>
        </w:rPr>
        <w:t>ss</w:t>
      </w:r>
      <w:r w:rsidR="006C25F3">
        <w:rPr>
          <w:bCs/>
          <w:sz w:val="24"/>
          <w:szCs w:val="24"/>
        </w:rPr>
        <w:t>)</w:t>
      </w:r>
      <w:r w:rsidR="006C25F3" w:rsidRPr="008E5E62">
        <w:rPr>
          <w:bCs/>
          <w:sz w:val="24"/>
          <w:szCs w:val="24"/>
        </w:rPr>
        <w:t xml:space="preserve"> was </w:t>
      </w:r>
      <w:r w:rsidR="006C25F3">
        <w:rPr>
          <w:bCs/>
          <w:sz w:val="24"/>
          <w:szCs w:val="24"/>
        </w:rPr>
        <w:t>305 L (28%)</w:t>
      </w:r>
      <w:r w:rsidR="00BF686E">
        <w:rPr>
          <w:bCs/>
          <w:sz w:val="24"/>
          <w:szCs w:val="24"/>
        </w:rPr>
        <w:t xml:space="preserve"> following a single intravenous dose</w:t>
      </w:r>
      <w:r w:rsidR="006C25F3" w:rsidRPr="008E5E62">
        <w:rPr>
          <w:bCs/>
          <w:sz w:val="24"/>
          <w:szCs w:val="24"/>
        </w:rPr>
        <w:t>.</w:t>
      </w:r>
    </w:p>
    <w:p w:rsidR="0001656D" w:rsidRDefault="0001656D" w:rsidP="001E1D15">
      <w:pPr>
        <w:pStyle w:val="BodyTextIndent2"/>
        <w:keepNext/>
        <w:spacing w:after="0" w:line="240" w:lineRule="auto"/>
        <w:ind w:left="0"/>
        <w:rPr>
          <w:bCs/>
          <w:sz w:val="24"/>
          <w:szCs w:val="24"/>
        </w:rPr>
      </w:pPr>
    </w:p>
    <w:p w:rsidR="00C921D6" w:rsidRPr="00C353DD" w:rsidRDefault="00C921D6" w:rsidP="001E1D15">
      <w:pPr>
        <w:pStyle w:val="BodyTextIndent2"/>
        <w:keepNext/>
        <w:spacing w:after="0" w:line="240" w:lineRule="auto"/>
        <w:ind w:left="0"/>
        <w:rPr>
          <w:bCs/>
          <w:sz w:val="24"/>
          <w:szCs w:val="24"/>
          <w:u w:val="single"/>
        </w:rPr>
      </w:pPr>
      <w:r>
        <w:rPr>
          <w:bCs/>
          <w:sz w:val="24"/>
          <w:szCs w:val="24"/>
          <w:u w:val="single"/>
        </w:rPr>
        <w:t>E</w:t>
      </w:r>
      <w:r w:rsidRPr="00C353DD">
        <w:rPr>
          <w:bCs/>
          <w:sz w:val="24"/>
          <w:szCs w:val="24"/>
          <w:u w:val="single"/>
        </w:rPr>
        <w:t>limination</w:t>
      </w:r>
    </w:p>
    <w:p w:rsidR="00642439" w:rsidRDefault="00642439" w:rsidP="001E1D15">
      <w:pPr>
        <w:pStyle w:val="BodyTextIndent2"/>
        <w:keepNext/>
        <w:spacing w:after="0" w:line="240" w:lineRule="auto"/>
        <w:ind w:left="0"/>
        <w:rPr>
          <w:bCs/>
          <w:sz w:val="24"/>
          <w:szCs w:val="24"/>
        </w:rPr>
      </w:pPr>
      <w:r w:rsidRPr="008E5E62">
        <w:rPr>
          <w:bCs/>
          <w:sz w:val="24"/>
          <w:szCs w:val="24"/>
        </w:rPr>
        <w:t xml:space="preserve">The </w:t>
      </w:r>
      <w:r w:rsidR="00257448">
        <w:rPr>
          <w:bCs/>
          <w:sz w:val="24"/>
          <w:szCs w:val="24"/>
        </w:rPr>
        <w:t>mean</w:t>
      </w:r>
      <w:r w:rsidRPr="008E5E62">
        <w:rPr>
          <w:bCs/>
          <w:sz w:val="24"/>
          <w:szCs w:val="24"/>
        </w:rPr>
        <w:t xml:space="preserve"> plasma half</w:t>
      </w:r>
      <w:r>
        <w:rPr>
          <w:bCs/>
          <w:sz w:val="24"/>
          <w:szCs w:val="24"/>
        </w:rPr>
        <w:noBreakHyphen/>
      </w:r>
      <w:r w:rsidRPr="008E5E62">
        <w:rPr>
          <w:bCs/>
          <w:sz w:val="24"/>
          <w:szCs w:val="24"/>
        </w:rPr>
        <w:t xml:space="preserve">life </w:t>
      </w:r>
      <w:r w:rsidR="00BF686E">
        <w:rPr>
          <w:bCs/>
          <w:sz w:val="24"/>
          <w:szCs w:val="24"/>
        </w:rPr>
        <w:t>(t</w:t>
      </w:r>
      <w:r w:rsidR="001D62D4">
        <w:rPr>
          <w:sz w:val="24"/>
          <w:szCs w:val="24"/>
          <w:vertAlign w:val="subscript"/>
        </w:rPr>
        <w:t>½</w:t>
      </w:r>
      <w:r w:rsidR="00BF686E">
        <w:rPr>
          <w:bCs/>
          <w:sz w:val="24"/>
          <w:szCs w:val="24"/>
        </w:rPr>
        <w:t>)</w:t>
      </w:r>
      <w:r w:rsidRPr="008E5E62">
        <w:rPr>
          <w:bCs/>
          <w:sz w:val="24"/>
          <w:szCs w:val="24"/>
        </w:rPr>
        <w:t xml:space="preserve"> of lorlatinib </w:t>
      </w:r>
      <w:r w:rsidR="004256DA">
        <w:rPr>
          <w:bCs/>
          <w:sz w:val="24"/>
          <w:szCs w:val="24"/>
        </w:rPr>
        <w:t>was 24</w:t>
      </w:r>
      <w:r w:rsidR="004256DA" w:rsidRPr="008E5E62">
        <w:rPr>
          <w:bCs/>
          <w:sz w:val="24"/>
          <w:szCs w:val="24"/>
        </w:rPr>
        <w:t xml:space="preserve"> hours</w:t>
      </w:r>
      <w:r w:rsidR="005C0805">
        <w:rPr>
          <w:bCs/>
          <w:sz w:val="24"/>
          <w:szCs w:val="24"/>
        </w:rPr>
        <w:t xml:space="preserve"> </w:t>
      </w:r>
      <w:r w:rsidR="00ED6F43">
        <w:rPr>
          <w:bCs/>
          <w:sz w:val="24"/>
          <w:szCs w:val="24"/>
        </w:rPr>
        <w:t>(40%</w:t>
      </w:r>
      <w:r w:rsidR="005C0805">
        <w:rPr>
          <w:bCs/>
          <w:sz w:val="24"/>
          <w:szCs w:val="24"/>
        </w:rPr>
        <w:t>)</w:t>
      </w:r>
      <w:r w:rsidR="004256DA">
        <w:rPr>
          <w:bCs/>
          <w:sz w:val="24"/>
          <w:szCs w:val="24"/>
        </w:rPr>
        <w:t xml:space="preserve"> </w:t>
      </w:r>
      <w:r w:rsidRPr="008E5E62">
        <w:rPr>
          <w:bCs/>
          <w:sz w:val="24"/>
          <w:szCs w:val="24"/>
        </w:rPr>
        <w:t xml:space="preserve">after a single </w:t>
      </w:r>
      <w:r w:rsidR="004256DA">
        <w:rPr>
          <w:bCs/>
          <w:sz w:val="24"/>
          <w:szCs w:val="24"/>
        </w:rPr>
        <w:t xml:space="preserve">oral </w:t>
      </w:r>
      <w:r w:rsidR="001B6FE9">
        <w:rPr>
          <w:bCs/>
          <w:sz w:val="24"/>
          <w:szCs w:val="24"/>
        </w:rPr>
        <w:t xml:space="preserve">100 mg </w:t>
      </w:r>
      <w:r w:rsidRPr="008E5E62">
        <w:rPr>
          <w:bCs/>
          <w:sz w:val="24"/>
          <w:szCs w:val="24"/>
        </w:rPr>
        <w:t xml:space="preserve">dose </w:t>
      </w:r>
      <w:r w:rsidR="004256DA">
        <w:rPr>
          <w:bCs/>
          <w:sz w:val="24"/>
          <w:szCs w:val="24"/>
        </w:rPr>
        <w:t xml:space="preserve">of </w:t>
      </w:r>
      <w:r w:rsidR="001A2032">
        <w:rPr>
          <w:bCs/>
          <w:sz w:val="24"/>
          <w:szCs w:val="24"/>
        </w:rPr>
        <w:t>LORBRENA</w:t>
      </w:r>
      <w:r w:rsidR="004256DA">
        <w:rPr>
          <w:bCs/>
          <w:sz w:val="24"/>
          <w:szCs w:val="24"/>
        </w:rPr>
        <w:t xml:space="preserve">. </w:t>
      </w:r>
      <w:r w:rsidR="00257448" w:rsidRPr="008E5E62">
        <w:rPr>
          <w:bCs/>
          <w:sz w:val="24"/>
          <w:szCs w:val="24"/>
        </w:rPr>
        <w:t xml:space="preserve">The mean oral clearance </w:t>
      </w:r>
      <w:r w:rsidR="00BF686E">
        <w:rPr>
          <w:bCs/>
          <w:sz w:val="24"/>
          <w:szCs w:val="24"/>
        </w:rPr>
        <w:t>(CL/F)</w:t>
      </w:r>
      <w:r w:rsidR="00257448" w:rsidRPr="008E5E62">
        <w:rPr>
          <w:bCs/>
          <w:sz w:val="24"/>
          <w:szCs w:val="24"/>
        </w:rPr>
        <w:t xml:space="preserve"> </w:t>
      </w:r>
      <w:r w:rsidR="00A83DE8">
        <w:rPr>
          <w:bCs/>
          <w:sz w:val="24"/>
          <w:szCs w:val="24"/>
        </w:rPr>
        <w:t xml:space="preserve">was 11 L/h (35%) </w:t>
      </w:r>
      <w:r w:rsidR="00E91E70">
        <w:rPr>
          <w:bCs/>
          <w:sz w:val="24"/>
          <w:szCs w:val="24"/>
        </w:rPr>
        <w:t xml:space="preserve">following </w:t>
      </w:r>
      <w:r w:rsidR="00A83DE8">
        <w:rPr>
          <w:bCs/>
          <w:sz w:val="24"/>
          <w:szCs w:val="24"/>
        </w:rPr>
        <w:t xml:space="preserve">a single </w:t>
      </w:r>
      <w:r w:rsidR="001B6FE9">
        <w:rPr>
          <w:bCs/>
          <w:sz w:val="24"/>
          <w:szCs w:val="24"/>
        </w:rPr>
        <w:t>oral</w:t>
      </w:r>
      <w:r w:rsidR="004256DA">
        <w:rPr>
          <w:bCs/>
          <w:sz w:val="24"/>
          <w:szCs w:val="24"/>
        </w:rPr>
        <w:t xml:space="preserve"> 100 mg</w:t>
      </w:r>
      <w:r w:rsidR="00A83DE8">
        <w:rPr>
          <w:bCs/>
          <w:sz w:val="24"/>
          <w:szCs w:val="24"/>
        </w:rPr>
        <w:t xml:space="preserve"> dose</w:t>
      </w:r>
      <w:r w:rsidR="001B6FE9">
        <w:rPr>
          <w:bCs/>
          <w:sz w:val="24"/>
          <w:szCs w:val="24"/>
        </w:rPr>
        <w:t xml:space="preserve"> </w:t>
      </w:r>
      <w:r w:rsidR="00A83DE8">
        <w:rPr>
          <w:bCs/>
          <w:sz w:val="24"/>
          <w:szCs w:val="24"/>
        </w:rPr>
        <w:t>and</w:t>
      </w:r>
      <w:r w:rsidR="00A83DE8" w:rsidDel="001B6FE9">
        <w:rPr>
          <w:bCs/>
          <w:sz w:val="24"/>
          <w:szCs w:val="24"/>
        </w:rPr>
        <w:t xml:space="preserve"> </w:t>
      </w:r>
      <w:r w:rsidR="00A83DE8">
        <w:rPr>
          <w:bCs/>
          <w:sz w:val="24"/>
          <w:szCs w:val="24"/>
        </w:rPr>
        <w:t>increased to 18 </w:t>
      </w:r>
      <w:r w:rsidR="00A83DE8" w:rsidRPr="008E5E62">
        <w:rPr>
          <w:bCs/>
          <w:sz w:val="24"/>
          <w:szCs w:val="24"/>
        </w:rPr>
        <w:t>L/h</w:t>
      </w:r>
      <w:r w:rsidR="00A83DE8">
        <w:rPr>
          <w:bCs/>
          <w:sz w:val="24"/>
          <w:szCs w:val="24"/>
        </w:rPr>
        <w:t xml:space="preserve"> (39%)</w:t>
      </w:r>
      <w:r w:rsidR="00CB7EA3">
        <w:rPr>
          <w:bCs/>
          <w:sz w:val="24"/>
          <w:szCs w:val="24"/>
        </w:rPr>
        <w:t xml:space="preserve"> at steady state,</w:t>
      </w:r>
      <w:r w:rsidR="004256DA">
        <w:rPr>
          <w:bCs/>
          <w:sz w:val="24"/>
          <w:szCs w:val="24"/>
        </w:rPr>
        <w:t xml:space="preserve"> </w:t>
      </w:r>
      <w:r w:rsidR="00A83DE8">
        <w:rPr>
          <w:bCs/>
          <w:sz w:val="24"/>
          <w:szCs w:val="24"/>
        </w:rPr>
        <w:t>suggesting autoinduction</w:t>
      </w:r>
      <w:r w:rsidR="00257448" w:rsidRPr="008E5E62">
        <w:rPr>
          <w:bCs/>
          <w:sz w:val="24"/>
          <w:szCs w:val="24"/>
        </w:rPr>
        <w:t>.</w:t>
      </w:r>
      <w:r w:rsidR="00257448">
        <w:rPr>
          <w:bCs/>
          <w:sz w:val="24"/>
          <w:szCs w:val="24"/>
        </w:rPr>
        <w:t xml:space="preserve"> </w:t>
      </w:r>
    </w:p>
    <w:p w:rsidR="005E7B72" w:rsidRDefault="005E7B72" w:rsidP="001E1D15">
      <w:pPr>
        <w:pStyle w:val="BodyTextIndent2"/>
        <w:spacing w:after="0" w:line="240" w:lineRule="auto"/>
        <w:ind w:left="0"/>
        <w:rPr>
          <w:bCs/>
          <w:i/>
          <w:sz w:val="24"/>
          <w:szCs w:val="24"/>
        </w:rPr>
      </w:pPr>
    </w:p>
    <w:p w:rsidR="00C4150D" w:rsidRPr="00C4150D" w:rsidRDefault="00C4150D" w:rsidP="00C060CA">
      <w:pPr>
        <w:pStyle w:val="BodyTextIndent2"/>
        <w:spacing w:after="0" w:line="240" w:lineRule="auto"/>
        <w:ind w:left="0"/>
        <w:rPr>
          <w:bCs/>
          <w:i/>
          <w:sz w:val="24"/>
          <w:szCs w:val="24"/>
        </w:rPr>
      </w:pPr>
      <w:r w:rsidRPr="00C4150D">
        <w:rPr>
          <w:bCs/>
          <w:i/>
          <w:sz w:val="24"/>
          <w:szCs w:val="24"/>
        </w:rPr>
        <w:t>Metabolism</w:t>
      </w:r>
    </w:p>
    <w:p w:rsidR="001D7B28" w:rsidRDefault="008E5E62" w:rsidP="00C060CA">
      <w:pPr>
        <w:pStyle w:val="BodyTextIndent2"/>
        <w:spacing w:after="0" w:line="240" w:lineRule="auto"/>
        <w:ind w:left="0"/>
        <w:rPr>
          <w:bCs/>
          <w:sz w:val="24"/>
          <w:szCs w:val="24"/>
        </w:rPr>
      </w:pPr>
      <w:r w:rsidRPr="009F1817">
        <w:rPr>
          <w:bCs/>
          <w:sz w:val="24"/>
          <w:szCs w:val="24"/>
        </w:rPr>
        <w:t>In vitro</w:t>
      </w:r>
      <w:r w:rsidR="00072F87">
        <w:rPr>
          <w:bCs/>
          <w:sz w:val="24"/>
          <w:szCs w:val="24"/>
        </w:rPr>
        <w:t>,</w:t>
      </w:r>
      <w:r w:rsidRPr="008E5E62">
        <w:rPr>
          <w:bCs/>
          <w:sz w:val="24"/>
          <w:szCs w:val="24"/>
        </w:rPr>
        <w:t xml:space="preserve"> lorlatinib is metabolized primarily by CYP3A4 and UGT1A4</w:t>
      </w:r>
      <w:r w:rsidR="00C353DD">
        <w:rPr>
          <w:bCs/>
          <w:sz w:val="24"/>
          <w:szCs w:val="24"/>
        </w:rPr>
        <w:t xml:space="preserve">, with minor contribution from </w:t>
      </w:r>
      <w:r w:rsidRPr="008E5E62">
        <w:rPr>
          <w:bCs/>
          <w:sz w:val="24"/>
          <w:szCs w:val="24"/>
        </w:rPr>
        <w:t>CYP2C8</w:t>
      </w:r>
      <w:r w:rsidR="00C353DD">
        <w:rPr>
          <w:bCs/>
          <w:sz w:val="24"/>
          <w:szCs w:val="24"/>
        </w:rPr>
        <w:t xml:space="preserve">, CYP2C19, CYP3A5, and UGT1A3. </w:t>
      </w:r>
    </w:p>
    <w:p w:rsidR="0001656D" w:rsidRDefault="0001656D" w:rsidP="00C060CA">
      <w:pPr>
        <w:pStyle w:val="BodyTextIndent2"/>
        <w:spacing w:after="0" w:line="240" w:lineRule="auto"/>
        <w:ind w:left="0"/>
        <w:rPr>
          <w:bCs/>
          <w:sz w:val="24"/>
          <w:szCs w:val="24"/>
        </w:rPr>
      </w:pPr>
    </w:p>
    <w:p w:rsidR="00C921D6" w:rsidRDefault="00981C51" w:rsidP="001E1D15">
      <w:pPr>
        <w:pStyle w:val="BodyTextIndent2"/>
        <w:spacing w:after="0" w:line="240" w:lineRule="auto"/>
        <w:ind w:left="0"/>
        <w:rPr>
          <w:bCs/>
          <w:sz w:val="24"/>
          <w:szCs w:val="24"/>
        </w:rPr>
      </w:pPr>
      <w:r w:rsidRPr="008E5E62">
        <w:rPr>
          <w:bCs/>
          <w:sz w:val="24"/>
          <w:szCs w:val="24"/>
        </w:rPr>
        <w:t>In plasma, a benzoic acid metabolite</w:t>
      </w:r>
      <w:r w:rsidR="00FB247F">
        <w:rPr>
          <w:bCs/>
          <w:sz w:val="24"/>
          <w:szCs w:val="24"/>
        </w:rPr>
        <w:t xml:space="preserve"> (M8)</w:t>
      </w:r>
      <w:r w:rsidRPr="008E5E62">
        <w:rPr>
          <w:bCs/>
          <w:sz w:val="24"/>
          <w:szCs w:val="24"/>
        </w:rPr>
        <w:t xml:space="preserve"> of lorlatinib resulting from the oxidative cleavage of the amide and aromatic ether bonds of lorlatinib account</w:t>
      </w:r>
      <w:r w:rsidR="001B6FE9">
        <w:rPr>
          <w:bCs/>
          <w:sz w:val="24"/>
          <w:szCs w:val="24"/>
        </w:rPr>
        <w:t>ed</w:t>
      </w:r>
      <w:r w:rsidRPr="008E5E62">
        <w:rPr>
          <w:bCs/>
          <w:sz w:val="24"/>
          <w:szCs w:val="24"/>
        </w:rPr>
        <w:t xml:space="preserve"> for 21% of the circulating </w:t>
      </w:r>
      <w:r w:rsidR="00C921D6" w:rsidRPr="008E5E62">
        <w:rPr>
          <w:bCs/>
          <w:sz w:val="24"/>
          <w:szCs w:val="24"/>
        </w:rPr>
        <w:t>radioactivity</w:t>
      </w:r>
      <w:r w:rsidR="004759CE">
        <w:rPr>
          <w:bCs/>
          <w:sz w:val="24"/>
          <w:szCs w:val="24"/>
        </w:rPr>
        <w:t xml:space="preserve"> in a human [</w:t>
      </w:r>
      <w:r w:rsidR="004759CE" w:rsidRPr="004759CE">
        <w:rPr>
          <w:bCs/>
          <w:sz w:val="24"/>
          <w:szCs w:val="24"/>
          <w:vertAlign w:val="superscript"/>
        </w:rPr>
        <w:t>14</w:t>
      </w:r>
      <w:r w:rsidR="004759CE">
        <w:rPr>
          <w:bCs/>
          <w:sz w:val="24"/>
          <w:szCs w:val="24"/>
        </w:rPr>
        <w:t>C] mass balance study</w:t>
      </w:r>
      <w:r w:rsidR="00C921D6" w:rsidRPr="008E5E62">
        <w:rPr>
          <w:bCs/>
          <w:sz w:val="24"/>
          <w:szCs w:val="24"/>
        </w:rPr>
        <w:t>.</w:t>
      </w:r>
      <w:r w:rsidR="00077F5D">
        <w:rPr>
          <w:color w:val="0000FF"/>
          <w:sz w:val="24"/>
          <w:szCs w:val="24"/>
        </w:rPr>
        <w:t xml:space="preserve"> </w:t>
      </w:r>
      <w:r w:rsidRPr="008E5E62">
        <w:rPr>
          <w:bCs/>
          <w:sz w:val="24"/>
          <w:szCs w:val="24"/>
        </w:rPr>
        <w:t>The oxidative cleavage metabolite</w:t>
      </w:r>
      <w:r w:rsidR="00A412C5">
        <w:rPr>
          <w:bCs/>
          <w:sz w:val="24"/>
          <w:szCs w:val="24"/>
        </w:rPr>
        <w:t xml:space="preserve">, M8, </w:t>
      </w:r>
      <w:r w:rsidRPr="0004655E">
        <w:rPr>
          <w:bCs/>
          <w:sz w:val="24"/>
          <w:szCs w:val="24"/>
        </w:rPr>
        <w:t xml:space="preserve">is pharmacologically </w:t>
      </w:r>
      <w:r w:rsidR="00C921D6" w:rsidRPr="0004655E">
        <w:rPr>
          <w:bCs/>
          <w:sz w:val="24"/>
          <w:szCs w:val="24"/>
        </w:rPr>
        <w:t>inactive</w:t>
      </w:r>
      <w:r w:rsidR="00C921D6" w:rsidRPr="008E5E62">
        <w:rPr>
          <w:bCs/>
          <w:sz w:val="24"/>
          <w:szCs w:val="24"/>
        </w:rPr>
        <w:t>.</w:t>
      </w:r>
    </w:p>
    <w:p w:rsidR="0001656D" w:rsidRDefault="0001656D" w:rsidP="001E1D15">
      <w:pPr>
        <w:pStyle w:val="BodyTextIndent2"/>
        <w:spacing w:after="0" w:line="240" w:lineRule="auto"/>
        <w:ind w:left="0"/>
        <w:rPr>
          <w:bCs/>
          <w:sz w:val="24"/>
          <w:szCs w:val="24"/>
        </w:rPr>
      </w:pPr>
    </w:p>
    <w:p w:rsidR="00C921D6" w:rsidRPr="00981C51" w:rsidRDefault="00C921D6" w:rsidP="001E1D15">
      <w:pPr>
        <w:pStyle w:val="BodyTextIndent2"/>
        <w:keepNext/>
        <w:spacing w:after="0" w:line="240" w:lineRule="auto"/>
        <w:ind w:left="0"/>
        <w:rPr>
          <w:bCs/>
          <w:i/>
          <w:sz w:val="24"/>
          <w:szCs w:val="24"/>
        </w:rPr>
      </w:pPr>
      <w:r w:rsidRPr="00981C51">
        <w:rPr>
          <w:bCs/>
          <w:i/>
          <w:sz w:val="24"/>
          <w:szCs w:val="24"/>
        </w:rPr>
        <w:t>Excretion</w:t>
      </w:r>
    </w:p>
    <w:p w:rsidR="008E5E62" w:rsidRDefault="008E5E62" w:rsidP="001E1D15">
      <w:pPr>
        <w:pStyle w:val="BodyTextIndent2"/>
        <w:keepNext/>
        <w:spacing w:after="0" w:line="240" w:lineRule="auto"/>
        <w:ind w:left="0"/>
        <w:rPr>
          <w:bCs/>
          <w:sz w:val="24"/>
          <w:szCs w:val="24"/>
        </w:rPr>
      </w:pPr>
      <w:r w:rsidRPr="008E5E62">
        <w:rPr>
          <w:bCs/>
          <w:sz w:val="24"/>
          <w:szCs w:val="24"/>
        </w:rPr>
        <w:t xml:space="preserve">Following </w:t>
      </w:r>
      <w:r w:rsidR="000978A3">
        <w:rPr>
          <w:bCs/>
          <w:sz w:val="24"/>
          <w:szCs w:val="24"/>
        </w:rPr>
        <w:t xml:space="preserve">a single </w:t>
      </w:r>
      <w:r w:rsidRPr="008E5E62">
        <w:rPr>
          <w:bCs/>
          <w:sz w:val="24"/>
          <w:szCs w:val="24"/>
        </w:rPr>
        <w:t xml:space="preserve">oral </w:t>
      </w:r>
      <w:r w:rsidR="001B6FE9">
        <w:rPr>
          <w:bCs/>
          <w:sz w:val="24"/>
          <w:szCs w:val="24"/>
        </w:rPr>
        <w:t xml:space="preserve">100 mg </w:t>
      </w:r>
      <w:r w:rsidRPr="008E5E62">
        <w:rPr>
          <w:bCs/>
          <w:sz w:val="24"/>
          <w:szCs w:val="24"/>
        </w:rPr>
        <w:t xml:space="preserve">dose of </w:t>
      </w:r>
      <w:r w:rsidR="000978A3">
        <w:rPr>
          <w:bCs/>
          <w:sz w:val="24"/>
          <w:szCs w:val="24"/>
        </w:rPr>
        <w:t>radiolabeled</w:t>
      </w:r>
      <w:r w:rsidRPr="008E5E62">
        <w:rPr>
          <w:bCs/>
          <w:sz w:val="24"/>
          <w:szCs w:val="24"/>
        </w:rPr>
        <w:t xml:space="preserve"> lorlatinib, 4</w:t>
      </w:r>
      <w:r w:rsidR="00456D50">
        <w:rPr>
          <w:bCs/>
          <w:sz w:val="24"/>
          <w:szCs w:val="24"/>
        </w:rPr>
        <w:t>8</w:t>
      </w:r>
      <w:r w:rsidRPr="008E5E62">
        <w:rPr>
          <w:bCs/>
          <w:sz w:val="24"/>
          <w:szCs w:val="24"/>
        </w:rPr>
        <w:t xml:space="preserve">% of the radioactivity was recovered in urine </w:t>
      </w:r>
      <w:r w:rsidR="00D12761">
        <w:rPr>
          <w:bCs/>
          <w:sz w:val="24"/>
          <w:szCs w:val="24"/>
        </w:rPr>
        <w:t xml:space="preserve">(&lt;1% as unchanged) </w:t>
      </w:r>
      <w:r w:rsidRPr="008E5E62">
        <w:rPr>
          <w:bCs/>
          <w:sz w:val="24"/>
          <w:szCs w:val="24"/>
        </w:rPr>
        <w:t>and 4</w:t>
      </w:r>
      <w:r w:rsidR="00456D50">
        <w:rPr>
          <w:bCs/>
          <w:sz w:val="24"/>
          <w:szCs w:val="24"/>
        </w:rPr>
        <w:t>1</w:t>
      </w:r>
      <w:r w:rsidRPr="008E5E62">
        <w:rPr>
          <w:bCs/>
          <w:sz w:val="24"/>
          <w:szCs w:val="24"/>
        </w:rPr>
        <w:t>% in feces</w:t>
      </w:r>
      <w:r w:rsidR="00D12761">
        <w:rPr>
          <w:bCs/>
          <w:sz w:val="24"/>
          <w:szCs w:val="24"/>
        </w:rPr>
        <w:t xml:space="preserve"> (</w:t>
      </w:r>
      <w:r w:rsidR="005E3EE0">
        <w:rPr>
          <w:bCs/>
          <w:sz w:val="24"/>
          <w:szCs w:val="24"/>
        </w:rPr>
        <w:t xml:space="preserve">about </w:t>
      </w:r>
      <w:r w:rsidR="00D12761">
        <w:rPr>
          <w:bCs/>
          <w:sz w:val="24"/>
          <w:szCs w:val="24"/>
        </w:rPr>
        <w:t xml:space="preserve">9% as unchanged). </w:t>
      </w:r>
    </w:p>
    <w:p w:rsidR="0001656D" w:rsidRDefault="0001656D" w:rsidP="001E1D15">
      <w:pPr>
        <w:pStyle w:val="BodyTextIndent2"/>
        <w:keepNext/>
        <w:spacing w:after="0" w:line="240" w:lineRule="auto"/>
        <w:ind w:left="0"/>
        <w:rPr>
          <w:bCs/>
          <w:sz w:val="24"/>
          <w:szCs w:val="24"/>
        </w:rPr>
      </w:pPr>
    </w:p>
    <w:p w:rsidR="004E28E5" w:rsidRPr="003822E3" w:rsidRDefault="004E28E5" w:rsidP="001E1D15">
      <w:pPr>
        <w:pStyle w:val="BodyTextIndent2"/>
        <w:spacing w:after="0" w:line="240" w:lineRule="auto"/>
        <w:ind w:left="0"/>
        <w:jc w:val="both"/>
        <w:rPr>
          <w:bCs/>
          <w:sz w:val="24"/>
          <w:szCs w:val="24"/>
          <w:u w:val="single"/>
        </w:rPr>
      </w:pPr>
      <w:r w:rsidRPr="003822E3">
        <w:rPr>
          <w:bCs/>
          <w:sz w:val="24"/>
          <w:szCs w:val="24"/>
          <w:u w:val="single"/>
        </w:rPr>
        <w:t>Speci</w:t>
      </w:r>
      <w:r>
        <w:rPr>
          <w:bCs/>
          <w:sz w:val="24"/>
          <w:szCs w:val="24"/>
          <w:u w:val="single"/>
        </w:rPr>
        <w:t>fic</w:t>
      </w:r>
      <w:r w:rsidRPr="003822E3">
        <w:rPr>
          <w:bCs/>
          <w:sz w:val="24"/>
          <w:szCs w:val="24"/>
          <w:u w:val="single"/>
        </w:rPr>
        <w:t xml:space="preserve"> </w:t>
      </w:r>
      <w:r>
        <w:rPr>
          <w:bCs/>
          <w:sz w:val="24"/>
          <w:szCs w:val="24"/>
          <w:u w:val="single"/>
        </w:rPr>
        <w:t>P</w:t>
      </w:r>
      <w:r w:rsidRPr="003822E3">
        <w:rPr>
          <w:bCs/>
          <w:sz w:val="24"/>
          <w:szCs w:val="24"/>
          <w:u w:val="single"/>
        </w:rPr>
        <w:t>opulations</w:t>
      </w:r>
    </w:p>
    <w:p w:rsidR="004E28E5" w:rsidRDefault="004E28E5" w:rsidP="001E1D15">
      <w:pPr>
        <w:rPr>
          <w:sz w:val="24"/>
          <w:szCs w:val="24"/>
        </w:rPr>
      </w:pPr>
      <w:r>
        <w:rPr>
          <w:sz w:val="24"/>
          <w:szCs w:val="24"/>
        </w:rPr>
        <w:t xml:space="preserve">No clinically meaningful differences in lorlatinib pharmacokinetics were observed based on age (19 to 85 years), sex, race/ethnicity, body weight, </w:t>
      </w:r>
      <w:r>
        <w:rPr>
          <w:bCs/>
          <w:sz w:val="24"/>
          <w:szCs w:val="24"/>
        </w:rPr>
        <w:t xml:space="preserve">mild to moderate renal impairment </w:t>
      </w:r>
      <w:r w:rsidRPr="00A87849">
        <w:rPr>
          <w:sz w:val="24"/>
          <w:szCs w:val="24"/>
        </w:rPr>
        <w:t xml:space="preserve">(CLcr </w:t>
      </w:r>
      <w:r>
        <w:rPr>
          <w:sz w:val="24"/>
          <w:szCs w:val="24"/>
        </w:rPr>
        <w:t>30 to 89</w:t>
      </w:r>
      <w:r w:rsidRPr="00A87849">
        <w:rPr>
          <w:sz w:val="24"/>
          <w:szCs w:val="24"/>
        </w:rPr>
        <w:t xml:space="preserve"> mL/min)</w:t>
      </w:r>
      <w:r>
        <w:rPr>
          <w:bCs/>
          <w:sz w:val="24"/>
          <w:szCs w:val="24"/>
        </w:rPr>
        <w:t xml:space="preserve">, mild </w:t>
      </w:r>
      <w:r>
        <w:rPr>
          <w:bCs/>
          <w:sz w:val="24"/>
          <w:szCs w:val="24"/>
        </w:rPr>
        <w:lastRenderedPageBreak/>
        <w:t>hepatic impairment (total bilirubin ≤ ULN and AST &gt; ULN or total bilirubin &gt; 1.5 × ULN and any AST), or</w:t>
      </w:r>
      <w:r>
        <w:rPr>
          <w:sz w:val="24"/>
          <w:szCs w:val="24"/>
        </w:rPr>
        <w:t xml:space="preserve"> metabolizer </w:t>
      </w:r>
      <w:r>
        <w:rPr>
          <w:bCs/>
          <w:sz w:val="24"/>
          <w:szCs w:val="24"/>
        </w:rPr>
        <w:t xml:space="preserve">phenotypes for CYP3A5 and CYP2C19. </w:t>
      </w:r>
      <w:r>
        <w:rPr>
          <w:sz w:val="24"/>
          <w:szCs w:val="24"/>
        </w:rPr>
        <w:t xml:space="preserve">The effect of moderate to severe hepatic impairment or severe renal impairment on lorlatinib pharmacokinetics is unknown </w:t>
      </w:r>
      <w:r w:rsidRPr="00077F5D">
        <w:rPr>
          <w:i/>
          <w:iCs/>
          <w:color w:val="000000"/>
          <w:sz w:val="24"/>
          <w:szCs w:val="24"/>
        </w:rPr>
        <w:t>[see Use in Specific Populations (8.6</w:t>
      </w:r>
      <w:r>
        <w:rPr>
          <w:i/>
          <w:iCs/>
          <w:color w:val="000000"/>
          <w:sz w:val="24"/>
          <w:szCs w:val="24"/>
        </w:rPr>
        <w:t>, 8.7)</w:t>
      </w:r>
      <w:r w:rsidRPr="00077F5D">
        <w:rPr>
          <w:i/>
          <w:iCs/>
          <w:color w:val="000000"/>
          <w:sz w:val="24"/>
          <w:szCs w:val="24"/>
        </w:rPr>
        <w:t>]</w:t>
      </w:r>
      <w:r>
        <w:rPr>
          <w:sz w:val="24"/>
          <w:szCs w:val="24"/>
        </w:rPr>
        <w:t xml:space="preserve">. </w:t>
      </w:r>
    </w:p>
    <w:p w:rsidR="0001656D" w:rsidRDefault="0001656D" w:rsidP="001E1D15">
      <w:pPr>
        <w:rPr>
          <w:sz w:val="24"/>
          <w:szCs w:val="24"/>
        </w:rPr>
      </w:pPr>
    </w:p>
    <w:p w:rsidR="00981C51" w:rsidRDefault="00981C51" w:rsidP="0001656D">
      <w:pPr>
        <w:pStyle w:val="BodyTextIndent2"/>
        <w:keepNext/>
        <w:spacing w:after="0" w:line="240" w:lineRule="auto"/>
        <w:ind w:left="0"/>
        <w:rPr>
          <w:sz w:val="24"/>
          <w:szCs w:val="24"/>
          <w:u w:val="single"/>
        </w:rPr>
      </w:pPr>
      <w:r w:rsidRPr="002B51F9">
        <w:rPr>
          <w:sz w:val="24"/>
          <w:szCs w:val="24"/>
          <w:u w:val="single"/>
        </w:rPr>
        <w:t>Drug Interaction</w:t>
      </w:r>
      <w:r w:rsidR="00425EDB" w:rsidRPr="002B51F9">
        <w:rPr>
          <w:sz w:val="24"/>
          <w:szCs w:val="24"/>
          <w:u w:val="single"/>
        </w:rPr>
        <w:t xml:space="preserve"> Studie</w:t>
      </w:r>
      <w:r w:rsidRPr="002B51F9">
        <w:rPr>
          <w:sz w:val="24"/>
          <w:szCs w:val="24"/>
          <w:u w:val="single"/>
        </w:rPr>
        <w:t>s</w:t>
      </w:r>
    </w:p>
    <w:p w:rsidR="0001656D" w:rsidRPr="002B51F9" w:rsidRDefault="0001656D" w:rsidP="0001656D">
      <w:pPr>
        <w:pStyle w:val="BodyTextIndent2"/>
        <w:keepNext/>
        <w:spacing w:after="0" w:line="240" w:lineRule="auto"/>
        <w:ind w:left="0"/>
        <w:rPr>
          <w:sz w:val="24"/>
          <w:szCs w:val="24"/>
          <w:u w:val="single"/>
        </w:rPr>
      </w:pPr>
    </w:p>
    <w:p w:rsidR="00CA58EC" w:rsidRDefault="00BF686E" w:rsidP="0001656D">
      <w:pPr>
        <w:pStyle w:val="BodyTextIndent2"/>
        <w:keepNext/>
        <w:spacing w:after="0" w:line="240" w:lineRule="auto"/>
        <w:ind w:left="0"/>
        <w:rPr>
          <w:i/>
          <w:sz w:val="24"/>
          <w:szCs w:val="24"/>
        </w:rPr>
      </w:pPr>
      <w:r w:rsidRPr="0099754B">
        <w:rPr>
          <w:i/>
          <w:sz w:val="24"/>
          <w:szCs w:val="24"/>
        </w:rPr>
        <w:t>Clinical Studies</w:t>
      </w:r>
    </w:p>
    <w:p w:rsidR="00FB2F11" w:rsidRDefault="00FB2F11" w:rsidP="0001656D">
      <w:pPr>
        <w:pStyle w:val="BodyTextIndent2"/>
        <w:keepNext/>
        <w:spacing w:after="0" w:line="240" w:lineRule="auto"/>
        <w:ind w:left="0"/>
        <w:rPr>
          <w:i/>
          <w:sz w:val="24"/>
          <w:szCs w:val="24"/>
        </w:rPr>
      </w:pPr>
    </w:p>
    <w:p w:rsidR="004A3400" w:rsidRDefault="004A3400" w:rsidP="0001656D">
      <w:pPr>
        <w:pStyle w:val="BodyTextIndent2"/>
        <w:keepNext/>
        <w:spacing w:after="0" w:line="240" w:lineRule="auto"/>
        <w:ind w:left="0"/>
        <w:rPr>
          <w:sz w:val="24"/>
          <w:szCs w:val="24"/>
        </w:rPr>
      </w:pPr>
      <w:r>
        <w:rPr>
          <w:i/>
          <w:sz w:val="24"/>
          <w:szCs w:val="24"/>
        </w:rPr>
        <w:t xml:space="preserve">Effect of </w:t>
      </w:r>
      <w:r w:rsidRPr="00002B06">
        <w:rPr>
          <w:i/>
          <w:sz w:val="24"/>
          <w:szCs w:val="24"/>
        </w:rPr>
        <w:t>CYP3A Inducers</w:t>
      </w:r>
      <w:r>
        <w:rPr>
          <w:i/>
          <w:sz w:val="24"/>
          <w:szCs w:val="24"/>
        </w:rPr>
        <w:t xml:space="preserve"> on Lorlatinib: </w:t>
      </w:r>
      <w:r w:rsidR="00E43523" w:rsidRPr="00BE0BF2">
        <w:rPr>
          <w:sz w:val="24"/>
          <w:szCs w:val="24"/>
        </w:rPr>
        <w:t>Twelve healthy sub</w:t>
      </w:r>
      <w:r w:rsidR="00E43523">
        <w:rPr>
          <w:sz w:val="24"/>
          <w:szCs w:val="24"/>
        </w:rPr>
        <w:t>j</w:t>
      </w:r>
      <w:r w:rsidR="00E43523" w:rsidRPr="00BE0BF2">
        <w:rPr>
          <w:sz w:val="24"/>
          <w:szCs w:val="24"/>
        </w:rPr>
        <w:t>ects received r</w:t>
      </w:r>
      <w:r w:rsidRPr="00CC700C">
        <w:rPr>
          <w:bCs/>
          <w:sz w:val="24"/>
          <w:szCs w:val="24"/>
        </w:rPr>
        <w:t>ifampin</w:t>
      </w:r>
      <w:r w:rsidRPr="007300A9">
        <w:rPr>
          <w:bCs/>
          <w:sz w:val="24"/>
          <w:szCs w:val="24"/>
        </w:rPr>
        <w:t xml:space="preserve">, a strong </w:t>
      </w:r>
      <w:r>
        <w:rPr>
          <w:bCs/>
          <w:sz w:val="24"/>
          <w:szCs w:val="24"/>
        </w:rPr>
        <w:t xml:space="preserve">CYP3A </w:t>
      </w:r>
      <w:r w:rsidRPr="007300A9">
        <w:rPr>
          <w:bCs/>
          <w:sz w:val="24"/>
          <w:szCs w:val="24"/>
        </w:rPr>
        <w:t>inducer</w:t>
      </w:r>
      <w:r>
        <w:rPr>
          <w:bCs/>
          <w:sz w:val="24"/>
          <w:szCs w:val="24"/>
        </w:rPr>
        <w:t xml:space="preserve"> that also activates PXR</w:t>
      </w:r>
      <w:r w:rsidRPr="007300A9">
        <w:rPr>
          <w:bCs/>
          <w:sz w:val="24"/>
          <w:szCs w:val="24"/>
        </w:rPr>
        <w:t>, 600</w:t>
      </w:r>
      <w:r>
        <w:rPr>
          <w:bCs/>
          <w:sz w:val="24"/>
          <w:szCs w:val="24"/>
        </w:rPr>
        <w:t> </w:t>
      </w:r>
      <w:r w:rsidRPr="007300A9">
        <w:rPr>
          <w:bCs/>
          <w:sz w:val="24"/>
          <w:szCs w:val="24"/>
        </w:rPr>
        <w:t xml:space="preserve">mg once daily for </w:t>
      </w:r>
      <w:r w:rsidR="003F4037">
        <w:rPr>
          <w:bCs/>
          <w:sz w:val="24"/>
          <w:szCs w:val="24"/>
        </w:rPr>
        <w:t>8</w:t>
      </w:r>
      <w:r>
        <w:rPr>
          <w:bCs/>
          <w:sz w:val="24"/>
          <w:szCs w:val="24"/>
        </w:rPr>
        <w:t> </w:t>
      </w:r>
      <w:r w:rsidRPr="007300A9">
        <w:rPr>
          <w:bCs/>
          <w:sz w:val="24"/>
          <w:szCs w:val="24"/>
        </w:rPr>
        <w:t>days</w:t>
      </w:r>
      <w:r w:rsidR="00E43523">
        <w:rPr>
          <w:bCs/>
          <w:sz w:val="24"/>
          <w:szCs w:val="24"/>
        </w:rPr>
        <w:t xml:space="preserve"> (</w:t>
      </w:r>
      <w:r w:rsidR="00656921">
        <w:rPr>
          <w:bCs/>
          <w:sz w:val="24"/>
          <w:szCs w:val="24"/>
        </w:rPr>
        <w:t>D</w:t>
      </w:r>
      <w:r w:rsidR="00E43523">
        <w:rPr>
          <w:bCs/>
          <w:sz w:val="24"/>
          <w:szCs w:val="24"/>
        </w:rPr>
        <w:t>ays 1 to 8) and a single oral 100</w:t>
      </w:r>
      <w:r w:rsidR="00656921">
        <w:rPr>
          <w:bCs/>
          <w:sz w:val="24"/>
          <w:szCs w:val="24"/>
        </w:rPr>
        <w:t> </w:t>
      </w:r>
      <w:r w:rsidR="00E43523">
        <w:rPr>
          <w:bCs/>
          <w:sz w:val="24"/>
          <w:szCs w:val="24"/>
        </w:rPr>
        <w:t xml:space="preserve">mg dose </w:t>
      </w:r>
      <w:r w:rsidR="007144AC">
        <w:rPr>
          <w:bCs/>
          <w:sz w:val="24"/>
          <w:szCs w:val="24"/>
        </w:rPr>
        <w:t xml:space="preserve">of </w:t>
      </w:r>
      <w:r w:rsidR="00E43523">
        <w:rPr>
          <w:bCs/>
          <w:sz w:val="24"/>
          <w:szCs w:val="24"/>
        </w:rPr>
        <w:t xml:space="preserve">LORBRENA on </w:t>
      </w:r>
      <w:r w:rsidR="00656921">
        <w:rPr>
          <w:bCs/>
          <w:sz w:val="24"/>
          <w:szCs w:val="24"/>
        </w:rPr>
        <w:t>D</w:t>
      </w:r>
      <w:r w:rsidR="00E43523">
        <w:rPr>
          <w:bCs/>
          <w:sz w:val="24"/>
          <w:szCs w:val="24"/>
        </w:rPr>
        <w:t>ay 8.</w:t>
      </w:r>
      <w:r w:rsidRPr="007300A9">
        <w:rPr>
          <w:bCs/>
          <w:sz w:val="24"/>
          <w:szCs w:val="24"/>
        </w:rPr>
        <w:t xml:space="preserve"> </w:t>
      </w:r>
      <w:r w:rsidR="00E43523">
        <w:rPr>
          <w:bCs/>
          <w:sz w:val="24"/>
          <w:szCs w:val="24"/>
        </w:rPr>
        <w:t xml:space="preserve">The coadministration of rifampin with LORBRENA </w:t>
      </w:r>
      <w:r w:rsidRPr="007300A9">
        <w:rPr>
          <w:bCs/>
          <w:sz w:val="24"/>
          <w:szCs w:val="24"/>
        </w:rPr>
        <w:t>reduced the mean lorlatinib AUC</w:t>
      </w:r>
      <w:r>
        <w:rPr>
          <w:sz w:val="24"/>
          <w:szCs w:val="24"/>
          <w:vertAlign w:val="subscript"/>
        </w:rPr>
        <w:t>inf</w:t>
      </w:r>
      <w:r w:rsidRPr="007300A9">
        <w:rPr>
          <w:bCs/>
          <w:sz w:val="24"/>
          <w:szCs w:val="24"/>
        </w:rPr>
        <w:t xml:space="preserve"> by 85% and C</w:t>
      </w:r>
      <w:r w:rsidRPr="00585059">
        <w:rPr>
          <w:bCs/>
          <w:sz w:val="24"/>
          <w:szCs w:val="24"/>
          <w:vertAlign w:val="subscript"/>
        </w:rPr>
        <w:t>max</w:t>
      </w:r>
      <w:r w:rsidRPr="007300A9">
        <w:rPr>
          <w:bCs/>
          <w:sz w:val="24"/>
          <w:szCs w:val="24"/>
        </w:rPr>
        <w:t xml:space="preserve"> by 76%</w:t>
      </w:r>
      <w:r w:rsidR="00D93B87">
        <w:rPr>
          <w:bCs/>
          <w:sz w:val="24"/>
          <w:szCs w:val="24"/>
        </w:rPr>
        <w:t>.</w:t>
      </w:r>
      <w:r w:rsidR="002C3903" w:rsidRPr="004256DA">
        <w:rPr>
          <w:bCs/>
          <w:sz w:val="24"/>
          <w:szCs w:val="24"/>
        </w:rPr>
        <w:t xml:space="preserve"> </w:t>
      </w:r>
      <w:r w:rsidR="002C3903" w:rsidRPr="006854B5">
        <w:rPr>
          <w:bCs/>
          <w:sz w:val="24"/>
          <w:szCs w:val="24"/>
        </w:rPr>
        <w:t xml:space="preserve">Grade </w:t>
      </w:r>
      <w:r w:rsidR="002C3903">
        <w:rPr>
          <w:bCs/>
          <w:sz w:val="24"/>
          <w:szCs w:val="24"/>
        </w:rPr>
        <w:t>2</w:t>
      </w:r>
      <w:r w:rsidR="003E5DDE">
        <w:rPr>
          <w:bCs/>
          <w:sz w:val="24"/>
          <w:szCs w:val="24"/>
        </w:rPr>
        <w:t xml:space="preserve"> to </w:t>
      </w:r>
      <w:r w:rsidR="002C3903">
        <w:rPr>
          <w:bCs/>
          <w:sz w:val="24"/>
          <w:szCs w:val="24"/>
        </w:rPr>
        <w:t>4</w:t>
      </w:r>
      <w:r w:rsidR="002C3903" w:rsidRPr="006854B5">
        <w:rPr>
          <w:bCs/>
          <w:sz w:val="24"/>
          <w:szCs w:val="24"/>
        </w:rPr>
        <w:t xml:space="preserve"> </w:t>
      </w:r>
      <w:r w:rsidR="002C3903">
        <w:rPr>
          <w:bCs/>
          <w:sz w:val="24"/>
          <w:szCs w:val="24"/>
        </w:rPr>
        <w:t>increases</w:t>
      </w:r>
      <w:r w:rsidR="002C3903" w:rsidRPr="006854B5">
        <w:rPr>
          <w:bCs/>
          <w:sz w:val="24"/>
          <w:szCs w:val="24"/>
        </w:rPr>
        <w:t xml:space="preserve"> in</w:t>
      </w:r>
      <w:r w:rsidR="002C3903" w:rsidRPr="007300A9">
        <w:rPr>
          <w:bCs/>
          <w:sz w:val="24"/>
          <w:szCs w:val="24"/>
        </w:rPr>
        <w:t xml:space="preserve"> </w:t>
      </w:r>
      <w:r w:rsidR="002C3903">
        <w:rPr>
          <w:bCs/>
          <w:sz w:val="24"/>
          <w:szCs w:val="24"/>
        </w:rPr>
        <w:t>AL</w:t>
      </w:r>
      <w:r w:rsidR="002C3903" w:rsidRPr="007300A9">
        <w:rPr>
          <w:bCs/>
          <w:sz w:val="24"/>
          <w:szCs w:val="24"/>
        </w:rPr>
        <w:t>T</w:t>
      </w:r>
      <w:r w:rsidR="00656921">
        <w:rPr>
          <w:bCs/>
          <w:sz w:val="24"/>
          <w:szCs w:val="24"/>
        </w:rPr>
        <w:t xml:space="preserve"> </w:t>
      </w:r>
      <w:r w:rsidR="006B7A1E">
        <w:rPr>
          <w:bCs/>
          <w:sz w:val="24"/>
          <w:szCs w:val="24"/>
        </w:rPr>
        <w:t xml:space="preserve">or </w:t>
      </w:r>
      <w:r w:rsidR="002C3903" w:rsidRPr="007300A9">
        <w:rPr>
          <w:bCs/>
          <w:sz w:val="24"/>
          <w:szCs w:val="24"/>
        </w:rPr>
        <w:t>A</w:t>
      </w:r>
      <w:r w:rsidR="002C3903">
        <w:rPr>
          <w:bCs/>
          <w:sz w:val="24"/>
          <w:szCs w:val="24"/>
        </w:rPr>
        <w:t>S</w:t>
      </w:r>
      <w:r w:rsidR="002C3903" w:rsidRPr="007300A9">
        <w:rPr>
          <w:bCs/>
          <w:sz w:val="24"/>
          <w:szCs w:val="24"/>
        </w:rPr>
        <w:t xml:space="preserve">T </w:t>
      </w:r>
      <w:r w:rsidR="002C3903">
        <w:rPr>
          <w:bCs/>
          <w:sz w:val="24"/>
          <w:szCs w:val="24"/>
        </w:rPr>
        <w:t xml:space="preserve">occurred within </w:t>
      </w:r>
      <w:r w:rsidR="00784449">
        <w:rPr>
          <w:bCs/>
          <w:sz w:val="24"/>
          <w:szCs w:val="24"/>
        </w:rPr>
        <w:t>3</w:t>
      </w:r>
      <w:r w:rsidR="002C3903">
        <w:rPr>
          <w:bCs/>
          <w:sz w:val="24"/>
          <w:szCs w:val="24"/>
        </w:rPr>
        <w:t xml:space="preserve"> </w:t>
      </w:r>
      <w:r w:rsidR="00784449">
        <w:rPr>
          <w:bCs/>
          <w:sz w:val="24"/>
          <w:szCs w:val="24"/>
        </w:rPr>
        <w:t>days</w:t>
      </w:r>
      <w:r w:rsidR="00D93B87">
        <w:rPr>
          <w:bCs/>
          <w:sz w:val="24"/>
          <w:szCs w:val="24"/>
        </w:rPr>
        <w:t>.</w:t>
      </w:r>
      <w:r w:rsidR="008C35AB">
        <w:rPr>
          <w:bCs/>
          <w:sz w:val="24"/>
          <w:szCs w:val="24"/>
        </w:rPr>
        <w:t xml:space="preserve"> G</w:t>
      </w:r>
      <w:r w:rsidR="008C35AB" w:rsidRPr="004256DA">
        <w:rPr>
          <w:bCs/>
          <w:sz w:val="24"/>
          <w:szCs w:val="24"/>
        </w:rPr>
        <w:t>rade</w:t>
      </w:r>
      <w:r w:rsidR="00656921">
        <w:rPr>
          <w:bCs/>
          <w:sz w:val="24"/>
          <w:szCs w:val="24"/>
        </w:rPr>
        <w:t> </w:t>
      </w:r>
      <w:r w:rsidR="008C35AB">
        <w:rPr>
          <w:bCs/>
          <w:sz w:val="24"/>
          <w:szCs w:val="24"/>
        </w:rPr>
        <w:t xml:space="preserve">4 </w:t>
      </w:r>
      <w:r w:rsidR="008C35AB" w:rsidRPr="004256DA">
        <w:rPr>
          <w:bCs/>
          <w:sz w:val="24"/>
          <w:szCs w:val="24"/>
        </w:rPr>
        <w:t>A</w:t>
      </w:r>
      <w:r w:rsidR="008C35AB">
        <w:rPr>
          <w:bCs/>
          <w:sz w:val="24"/>
          <w:szCs w:val="24"/>
        </w:rPr>
        <w:t>L</w:t>
      </w:r>
      <w:r w:rsidR="008C35AB" w:rsidRPr="004256DA">
        <w:rPr>
          <w:bCs/>
          <w:sz w:val="24"/>
          <w:szCs w:val="24"/>
        </w:rPr>
        <w:t>T</w:t>
      </w:r>
      <w:r w:rsidR="006B7A1E">
        <w:rPr>
          <w:bCs/>
          <w:sz w:val="24"/>
          <w:szCs w:val="24"/>
        </w:rPr>
        <w:t xml:space="preserve"> or </w:t>
      </w:r>
      <w:r w:rsidR="008C35AB" w:rsidRPr="004256DA">
        <w:rPr>
          <w:bCs/>
          <w:sz w:val="24"/>
          <w:szCs w:val="24"/>
        </w:rPr>
        <w:t>A</w:t>
      </w:r>
      <w:r w:rsidR="008C35AB">
        <w:rPr>
          <w:bCs/>
          <w:sz w:val="24"/>
          <w:szCs w:val="24"/>
        </w:rPr>
        <w:t>S</w:t>
      </w:r>
      <w:r w:rsidR="008C35AB" w:rsidRPr="004256DA">
        <w:rPr>
          <w:bCs/>
          <w:sz w:val="24"/>
          <w:szCs w:val="24"/>
        </w:rPr>
        <w:t xml:space="preserve">T elevations occurred in </w:t>
      </w:r>
      <w:r w:rsidR="00B40E8D">
        <w:rPr>
          <w:bCs/>
          <w:sz w:val="24"/>
          <w:szCs w:val="24"/>
        </w:rPr>
        <w:t>50</w:t>
      </w:r>
      <w:r w:rsidR="008C35AB" w:rsidRPr="004256DA">
        <w:rPr>
          <w:bCs/>
          <w:sz w:val="24"/>
          <w:szCs w:val="24"/>
        </w:rPr>
        <w:t>%</w:t>
      </w:r>
      <w:r w:rsidR="008C35AB">
        <w:rPr>
          <w:bCs/>
          <w:sz w:val="24"/>
          <w:szCs w:val="24"/>
        </w:rPr>
        <w:t>, Grade 3 ALT</w:t>
      </w:r>
      <w:r w:rsidR="006B7A1E">
        <w:rPr>
          <w:bCs/>
          <w:sz w:val="24"/>
          <w:szCs w:val="24"/>
        </w:rPr>
        <w:t xml:space="preserve"> or </w:t>
      </w:r>
      <w:r w:rsidR="008C35AB">
        <w:rPr>
          <w:bCs/>
          <w:sz w:val="24"/>
          <w:szCs w:val="24"/>
        </w:rPr>
        <w:t xml:space="preserve">AST elevations in </w:t>
      </w:r>
      <w:r w:rsidR="00B40E8D">
        <w:rPr>
          <w:bCs/>
          <w:sz w:val="24"/>
          <w:szCs w:val="24"/>
        </w:rPr>
        <w:t>33</w:t>
      </w:r>
      <w:r w:rsidR="008C35AB">
        <w:rPr>
          <w:bCs/>
          <w:sz w:val="24"/>
          <w:szCs w:val="24"/>
        </w:rPr>
        <w:t>%,</w:t>
      </w:r>
      <w:r w:rsidR="008C35AB" w:rsidRPr="004256DA">
        <w:rPr>
          <w:bCs/>
          <w:sz w:val="24"/>
          <w:szCs w:val="24"/>
        </w:rPr>
        <w:t xml:space="preserve"> </w:t>
      </w:r>
      <w:r w:rsidR="008C35AB">
        <w:rPr>
          <w:bCs/>
          <w:sz w:val="24"/>
          <w:szCs w:val="24"/>
        </w:rPr>
        <w:t xml:space="preserve">and </w:t>
      </w:r>
      <w:r w:rsidR="008C35AB" w:rsidRPr="004256DA">
        <w:rPr>
          <w:bCs/>
          <w:sz w:val="24"/>
          <w:szCs w:val="24"/>
        </w:rPr>
        <w:t>Grade 2 A</w:t>
      </w:r>
      <w:r w:rsidR="008C35AB">
        <w:rPr>
          <w:bCs/>
          <w:sz w:val="24"/>
          <w:szCs w:val="24"/>
        </w:rPr>
        <w:t>L</w:t>
      </w:r>
      <w:r w:rsidR="008C35AB" w:rsidRPr="004256DA">
        <w:rPr>
          <w:bCs/>
          <w:sz w:val="24"/>
          <w:szCs w:val="24"/>
        </w:rPr>
        <w:t>T</w:t>
      </w:r>
      <w:r w:rsidR="006B7A1E">
        <w:rPr>
          <w:bCs/>
          <w:sz w:val="24"/>
          <w:szCs w:val="24"/>
        </w:rPr>
        <w:t xml:space="preserve"> or </w:t>
      </w:r>
      <w:r w:rsidR="008C35AB" w:rsidRPr="004256DA">
        <w:rPr>
          <w:bCs/>
          <w:sz w:val="24"/>
          <w:szCs w:val="24"/>
        </w:rPr>
        <w:t>A</w:t>
      </w:r>
      <w:r w:rsidR="008C35AB">
        <w:rPr>
          <w:bCs/>
          <w:sz w:val="24"/>
          <w:szCs w:val="24"/>
        </w:rPr>
        <w:t>S</w:t>
      </w:r>
      <w:r w:rsidR="008C35AB" w:rsidRPr="004256DA">
        <w:rPr>
          <w:bCs/>
          <w:sz w:val="24"/>
          <w:szCs w:val="24"/>
        </w:rPr>
        <w:t xml:space="preserve">T elevations occurred in </w:t>
      </w:r>
      <w:r w:rsidR="005B3DCB">
        <w:rPr>
          <w:bCs/>
          <w:sz w:val="24"/>
          <w:szCs w:val="24"/>
        </w:rPr>
        <w:t>8</w:t>
      </w:r>
      <w:r w:rsidR="008C35AB" w:rsidRPr="004256DA">
        <w:rPr>
          <w:bCs/>
          <w:sz w:val="24"/>
          <w:szCs w:val="24"/>
        </w:rPr>
        <w:t>% of subjects.</w:t>
      </w:r>
      <w:r w:rsidR="002C3903">
        <w:rPr>
          <w:bCs/>
          <w:sz w:val="24"/>
          <w:szCs w:val="24"/>
        </w:rPr>
        <w:t xml:space="preserve"> </w:t>
      </w:r>
      <w:r w:rsidR="004B1382" w:rsidRPr="004B1382">
        <w:rPr>
          <w:bCs/>
          <w:sz w:val="24"/>
          <w:szCs w:val="24"/>
        </w:rPr>
        <w:t xml:space="preserve">ALT </w:t>
      </w:r>
      <w:r w:rsidR="008C35AB">
        <w:rPr>
          <w:bCs/>
          <w:sz w:val="24"/>
          <w:szCs w:val="24"/>
        </w:rPr>
        <w:t>and</w:t>
      </w:r>
      <w:r w:rsidR="004B1382" w:rsidRPr="004B1382">
        <w:rPr>
          <w:bCs/>
          <w:sz w:val="24"/>
          <w:szCs w:val="24"/>
        </w:rPr>
        <w:t xml:space="preserve"> AST </w:t>
      </w:r>
      <w:r w:rsidR="004B1382" w:rsidRPr="002B6CBC">
        <w:rPr>
          <w:bCs/>
          <w:sz w:val="24"/>
          <w:szCs w:val="24"/>
        </w:rPr>
        <w:t xml:space="preserve">returned to </w:t>
      </w:r>
      <w:r w:rsidR="001B6FE9">
        <w:rPr>
          <w:bCs/>
          <w:sz w:val="24"/>
          <w:szCs w:val="24"/>
        </w:rPr>
        <w:t xml:space="preserve">within </w:t>
      </w:r>
      <w:r w:rsidR="004B1382" w:rsidRPr="002B6CBC">
        <w:rPr>
          <w:bCs/>
          <w:sz w:val="24"/>
          <w:szCs w:val="24"/>
        </w:rPr>
        <w:t>normal</w:t>
      </w:r>
      <w:r w:rsidR="004B1382" w:rsidRPr="004B1382">
        <w:rPr>
          <w:bCs/>
          <w:sz w:val="24"/>
          <w:szCs w:val="24"/>
        </w:rPr>
        <w:t xml:space="preserve"> </w:t>
      </w:r>
      <w:r w:rsidR="008C35AB">
        <w:rPr>
          <w:bCs/>
          <w:sz w:val="24"/>
          <w:szCs w:val="24"/>
        </w:rPr>
        <w:t>limits within 7 to 34 days (</w:t>
      </w:r>
      <w:r w:rsidR="004B1382" w:rsidRPr="004B1382">
        <w:rPr>
          <w:bCs/>
          <w:sz w:val="24"/>
          <w:szCs w:val="24"/>
        </w:rPr>
        <w:t xml:space="preserve">median </w:t>
      </w:r>
      <w:r w:rsidR="00784449">
        <w:rPr>
          <w:bCs/>
          <w:sz w:val="24"/>
          <w:szCs w:val="24"/>
        </w:rPr>
        <w:t>15</w:t>
      </w:r>
      <w:r w:rsidR="004B1382" w:rsidRPr="004B1382">
        <w:rPr>
          <w:bCs/>
          <w:sz w:val="24"/>
          <w:szCs w:val="24"/>
        </w:rPr>
        <w:t xml:space="preserve"> days</w:t>
      </w:r>
      <w:r w:rsidR="008C35AB">
        <w:rPr>
          <w:bCs/>
          <w:sz w:val="24"/>
          <w:szCs w:val="24"/>
        </w:rPr>
        <w:t xml:space="preserve">). </w:t>
      </w:r>
      <w:r w:rsidR="002C3903" w:rsidRPr="00D856F8">
        <w:rPr>
          <w:sz w:val="24"/>
          <w:szCs w:val="24"/>
        </w:rPr>
        <w:t xml:space="preserve">The effect of </w:t>
      </w:r>
      <w:r w:rsidR="002C3903">
        <w:rPr>
          <w:sz w:val="24"/>
          <w:szCs w:val="24"/>
        </w:rPr>
        <w:t>the</w:t>
      </w:r>
      <w:r w:rsidR="002C3903" w:rsidRPr="00D856F8">
        <w:rPr>
          <w:sz w:val="24"/>
          <w:szCs w:val="24"/>
        </w:rPr>
        <w:t xml:space="preserve"> concomitant </w:t>
      </w:r>
      <w:r w:rsidR="002C3903">
        <w:rPr>
          <w:sz w:val="24"/>
          <w:szCs w:val="24"/>
        </w:rPr>
        <w:t xml:space="preserve">use of </w:t>
      </w:r>
      <w:r w:rsidR="002C3903" w:rsidRPr="00D856F8">
        <w:rPr>
          <w:sz w:val="24"/>
          <w:szCs w:val="24"/>
        </w:rPr>
        <w:t>moderate CYP3A inducer</w:t>
      </w:r>
      <w:r w:rsidR="002C3903">
        <w:rPr>
          <w:sz w:val="24"/>
          <w:szCs w:val="24"/>
        </w:rPr>
        <w:t>s</w:t>
      </w:r>
      <w:r w:rsidR="002C3903" w:rsidRPr="00D856F8">
        <w:rPr>
          <w:sz w:val="24"/>
          <w:szCs w:val="24"/>
        </w:rPr>
        <w:t xml:space="preserve"> </w:t>
      </w:r>
      <w:r w:rsidR="002C3903">
        <w:rPr>
          <w:sz w:val="24"/>
          <w:szCs w:val="24"/>
        </w:rPr>
        <w:t xml:space="preserve">on </w:t>
      </w:r>
      <w:r w:rsidR="002C3903" w:rsidRPr="00D856F8">
        <w:rPr>
          <w:sz w:val="24"/>
          <w:szCs w:val="24"/>
        </w:rPr>
        <w:t xml:space="preserve">lorlatinib pharmacokinetics </w:t>
      </w:r>
      <w:r w:rsidR="002C3903">
        <w:rPr>
          <w:sz w:val="24"/>
          <w:szCs w:val="24"/>
        </w:rPr>
        <w:t xml:space="preserve">or the risk of hepatotoxicity with the concomitant use of moderate CYP3A inducers </w:t>
      </w:r>
      <w:r w:rsidR="002C3903" w:rsidRPr="00D856F8">
        <w:rPr>
          <w:sz w:val="24"/>
          <w:szCs w:val="24"/>
        </w:rPr>
        <w:t>is unknown</w:t>
      </w:r>
      <w:r w:rsidR="002C3903">
        <w:rPr>
          <w:i/>
          <w:sz w:val="24"/>
          <w:szCs w:val="24"/>
        </w:rPr>
        <w:t xml:space="preserve"> </w:t>
      </w:r>
      <w:r>
        <w:rPr>
          <w:i/>
          <w:sz w:val="24"/>
          <w:szCs w:val="24"/>
        </w:rPr>
        <w:t>[see Drug Interactions (7.1)]</w:t>
      </w:r>
      <w:r>
        <w:rPr>
          <w:sz w:val="24"/>
          <w:szCs w:val="24"/>
        </w:rPr>
        <w:t>.</w:t>
      </w:r>
    </w:p>
    <w:p w:rsidR="0001656D" w:rsidRDefault="0001656D" w:rsidP="0001656D">
      <w:pPr>
        <w:pStyle w:val="BodyTextIndent2"/>
        <w:keepNext/>
        <w:spacing w:after="0" w:line="240" w:lineRule="auto"/>
        <w:ind w:left="0"/>
        <w:rPr>
          <w:sz w:val="24"/>
          <w:szCs w:val="24"/>
        </w:rPr>
      </w:pPr>
    </w:p>
    <w:p w:rsidR="00C921D6" w:rsidRDefault="00E72C5A" w:rsidP="001E1D15">
      <w:pPr>
        <w:pStyle w:val="BodyTextIndent2"/>
        <w:spacing w:after="0" w:line="240" w:lineRule="auto"/>
        <w:ind w:left="0"/>
        <w:rPr>
          <w:sz w:val="24"/>
          <w:szCs w:val="24"/>
        </w:rPr>
      </w:pPr>
      <w:r>
        <w:rPr>
          <w:i/>
          <w:sz w:val="24"/>
          <w:szCs w:val="24"/>
        </w:rPr>
        <w:t xml:space="preserve">Effect of </w:t>
      </w:r>
      <w:r w:rsidR="004030CC" w:rsidRPr="00002B06">
        <w:rPr>
          <w:i/>
          <w:sz w:val="24"/>
          <w:szCs w:val="24"/>
        </w:rPr>
        <w:t>Strong</w:t>
      </w:r>
      <w:r w:rsidR="007300A9" w:rsidRPr="00002B06">
        <w:rPr>
          <w:i/>
          <w:sz w:val="24"/>
          <w:szCs w:val="24"/>
        </w:rPr>
        <w:t xml:space="preserve"> CYP3A Inhibitors</w:t>
      </w:r>
      <w:r>
        <w:rPr>
          <w:i/>
          <w:sz w:val="24"/>
          <w:szCs w:val="24"/>
        </w:rPr>
        <w:t xml:space="preserve"> on Lorlatinib</w:t>
      </w:r>
      <w:r w:rsidR="004030CC" w:rsidRPr="00002B06">
        <w:rPr>
          <w:i/>
          <w:sz w:val="24"/>
          <w:szCs w:val="24"/>
        </w:rPr>
        <w:t>:</w:t>
      </w:r>
      <w:r w:rsidRPr="00002B06">
        <w:rPr>
          <w:i/>
          <w:sz w:val="24"/>
          <w:szCs w:val="24"/>
        </w:rPr>
        <w:t xml:space="preserve"> </w:t>
      </w:r>
      <w:r w:rsidR="007300A9" w:rsidRPr="00704B1B">
        <w:rPr>
          <w:sz w:val="24"/>
          <w:szCs w:val="24"/>
        </w:rPr>
        <w:t xml:space="preserve">Itraconazole, a strong </w:t>
      </w:r>
      <w:r w:rsidR="00A5307C">
        <w:rPr>
          <w:sz w:val="24"/>
          <w:szCs w:val="24"/>
        </w:rPr>
        <w:t xml:space="preserve">CYP3A </w:t>
      </w:r>
      <w:r w:rsidR="007300A9" w:rsidRPr="00704B1B">
        <w:rPr>
          <w:sz w:val="24"/>
          <w:szCs w:val="24"/>
        </w:rPr>
        <w:t>inhibitor, increase</w:t>
      </w:r>
      <w:r w:rsidR="00F03049">
        <w:rPr>
          <w:sz w:val="24"/>
          <w:szCs w:val="24"/>
        </w:rPr>
        <w:t>d</w:t>
      </w:r>
      <w:r w:rsidR="0004655E">
        <w:rPr>
          <w:sz w:val="24"/>
          <w:szCs w:val="24"/>
        </w:rPr>
        <w:t xml:space="preserve"> </w:t>
      </w:r>
      <w:r w:rsidR="007300A9" w:rsidRPr="00704B1B">
        <w:rPr>
          <w:sz w:val="24"/>
          <w:szCs w:val="24"/>
        </w:rPr>
        <w:t>AUC</w:t>
      </w:r>
      <w:r w:rsidR="004030CC">
        <w:rPr>
          <w:sz w:val="24"/>
          <w:szCs w:val="24"/>
          <w:vertAlign w:val="subscript"/>
        </w:rPr>
        <w:t>inf</w:t>
      </w:r>
      <w:r w:rsidR="00174972" w:rsidRPr="006C0D43">
        <w:rPr>
          <w:sz w:val="24"/>
          <w:szCs w:val="24"/>
        </w:rPr>
        <w:t xml:space="preserve"> </w:t>
      </w:r>
      <w:r w:rsidR="00F03049">
        <w:rPr>
          <w:sz w:val="24"/>
          <w:szCs w:val="24"/>
        </w:rPr>
        <w:t xml:space="preserve">by 42% </w:t>
      </w:r>
      <w:r w:rsidR="007300A9" w:rsidRPr="00704B1B">
        <w:rPr>
          <w:sz w:val="24"/>
          <w:szCs w:val="24"/>
        </w:rPr>
        <w:t xml:space="preserve">and </w:t>
      </w:r>
      <w:r w:rsidR="0004655E">
        <w:rPr>
          <w:sz w:val="24"/>
          <w:szCs w:val="24"/>
        </w:rPr>
        <w:t>increase</w:t>
      </w:r>
      <w:r w:rsidR="00F03049">
        <w:rPr>
          <w:sz w:val="24"/>
          <w:szCs w:val="24"/>
        </w:rPr>
        <w:t>d</w:t>
      </w:r>
      <w:r w:rsidR="0004655E">
        <w:rPr>
          <w:sz w:val="24"/>
          <w:szCs w:val="24"/>
        </w:rPr>
        <w:t xml:space="preserve"> </w:t>
      </w:r>
      <w:r w:rsidR="007300A9" w:rsidRPr="00704B1B">
        <w:rPr>
          <w:sz w:val="24"/>
          <w:szCs w:val="24"/>
        </w:rPr>
        <w:t>C</w:t>
      </w:r>
      <w:r w:rsidR="007300A9" w:rsidRPr="007300A9">
        <w:rPr>
          <w:sz w:val="24"/>
          <w:szCs w:val="24"/>
          <w:vertAlign w:val="subscript"/>
        </w:rPr>
        <w:t>max</w:t>
      </w:r>
      <w:r w:rsidR="007300A9" w:rsidRPr="00704B1B">
        <w:rPr>
          <w:sz w:val="24"/>
          <w:szCs w:val="24"/>
        </w:rPr>
        <w:t xml:space="preserve"> </w:t>
      </w:r>
      <w:r w:rsidR="00F03049">
        <w:rPr>
          <w:sz w:val="24"/>
          <w:szCs w:val="24"/>
        </w:rPr>
        <w:t xml:space="preserve">by 24% </w:t>
      </w:r>
      <w:r w:rsidR="007300A9" w:rsidRPr="00704B1B">
        <w:rPr>
          <w:sz w:val="24"/>
          <w:szCs w:val="24"/>
        </w:rPr>
        <w:t>of a single oral</w:t>
      </w:r>
      <w:r w:rsidR="008C35AB">
        <w:rPr>
          <w:sz w:val="24"/>
          <w:szCs w:val="24"/>
        </w:rPr>
        <w:t xml:space="preserve"> 100 mg</w:t>
      </w:r>
      <w:r w:rsidR="007300A9" w:rsidRPr="00704B1B">
        <w:rPr>
          <w:sz w:val="24"/>
          <w:szCs w:val="24"/>
        </w:rPr>
        <w:t xml:space="preserve"> dose</w:t>
      </w:r>
      <w:r w:rsidR="004A3400">
        <w:rPr>
          <w:sz w:val="24"/>
          <w:szCs w:val="24"/>
        </w:rPr>
        <w:t xml:space="preserve"> </w:t>
      </w:r>
      <w:r w:rsidR="006C4C6B">
        <w:rPr>
          <w:sz w:val="24"/>
          <w:szCs w:val="24"/>
        </w:rPr>
        <w:t xml:space="preserve">of </w:t>
      </w:r>
      <w:r w:rsidR="001A2032">
        <w:rPr>
          <w:sz w:val="24"/>
          <w:szCs w:val="24"/>
        </w:rPr>
        <w:t>LORBRENA</w:t>
      </w:r>
      <w:r w:rsidR="008C35AB">
        <w:rPr>
          <w:sz w:val="24"/>
          <w:szCs w:val="24"/>
        </w:rPr>
        <w:t xml:space="preserve"> </w:t>
      </w:r>
      <w:r w:rsidR="007300A9" w:rsidRPr="00077F5D">
        <w:rPr>
          <w:i/>
          <w:iCs/>
          <w:color w:val="000000"/>
          <w:sz w:val="24"/>
          <w:szCs w:val="24"/>
        </w:rPr>
        <w:t>[see Drug Interactions (7.1</w:t>
      </w:r>
      <w:r w:rsidR="00C921D6" w:rsidRPr="00077F5D">
        <w:rPr>
          <w:i/>
          <w:iCs/>
          <w:color w:val="000000"/>
          <w:sz w:val="24"/>
          <w:szCs w:val="24"/>
        </w:rPr>
        <w:t>)]</w:t>
      </w:r>
      <w:r w:rsidR="00C921D6" w:rsidRPr="00077F5D">
        <w:rPr>
          <w:sz w:val="24"/>
          <w:szCs w:val="24"/>
        </w:rPr>
        <w:t>.</w:t>
      </w:r>
    </w:p>
    <w:p w:rsidR="0001656D" w:rsidRDefault="0001656D" w:rsidP="001E1D15">
      <w:pPr>
        <w:pStyle w:val="BodyTextIndent2"/>
        <w:spacing w:after="0" w:line="240" w:lineRule="auto"/>
        <w:ind w:left="0"/>
        <w:rPr>
          <w:sz w:val="24"/>
          <w:szCs w:val="24"/>
        </w:rPr>
      </w:pPr>
    </w:p>
    <w:p w:rsidR="003706E4" w:rsidRDefault="000978A3" w:rsidP="001E1D15">
      <w:pPr>
        <w:pStyle w:val="BodyTextIndent2"/>
        <w:spacing w:after="0" w:line="240" w:lineRule="auto"/>
        <w:ind w:left="0"/>
        <w:rPr>
          <w:sz w:val="24"/>
          <w:szCs w:val="24"/>
        </w:rPr>
      </w:pPr>
      <w:r>
        <w:rPr>
          <w:i/>
          <w:sz w:val="24"/>
          <w:szCs w:val="24"/>
        </w:rPr>
        <w:t xml:space="preserve">Effect of </w:t>
      </w:r>
      <w:r w:rsidR="006D7DFE">
        <w:rPr>
          <w:i/>
          <w:sz w:val="24"/>
          <w:szCs w:val="24"/>
        </w:rPr>
        <w:t>Lorlatinib</w:t>
      </w:r>
      <w:r>
        <w:rPr>
          <w:i/>
          <w:sz w:val="24"/>
          <w:szCs w:val="24"/>
        </w:rPr>
        <w:t xml:space="preserve"> on </w:t>
      </w:r>
      <w:r w:rsidR="00A917B9" w:rsidRPr="002B51F9">
        <w:rPr>
          <w:i/>
          <w:sz w:val="24"/>
          <w:szCs w:val="24"/>
        </w:rPr>
        <w:t>CYP</w:t>
      </w:r>
      <w:r w:rsidR="00A5307C" w:rsidRPr="002B51F9">
        <w:rPr>
          <w:i/>
          <w:sz w:val="24"/>
          <w:szCs w:val="24"/>
        </w:rPr>
        <w:t>3A</w:t>
      </w:r>
      <w:r w:rsidR="00A917B9" w:rsidRPr="002B51F9">
        <w:rPr>
          <w:i/>
          <w:sz w:val="24"/>
          <w:szCs w:val="24"/>
        </w:rPr>
        <w:t xml:space="preserve"> Substrates</w:t>
      </w:r>
      <w:r w:rsidR="00A5307C">
        <w:rPr>
          <w:bCs/>
          <w:i/>
          <w:sz w:val="24"/>
          <w:szCs w:val="24"/>
        </w:rPr>
        <w:t>:</w:t>
      </w:r>
      <w:r w:rsidR="00302868">
        <w:rPr>
          <w:sz w:val="24"/>
          <w:szCs w:val="24"/>
        </w:rPr>
        <w:t xml:space="preserve"> </w:t>
      </w:r>
      <w:r w:rsidR="001A2032">
        <w:rPr>
          <w:sz w:val="24"/>
          <w:szCs w:val="24"/>
        </w:rPr>
        <w:t>LORBRENA</w:t>
      </w:r>
      <w:r w:rsidR="00360EEA">
        <w:rPr>
          <w:sz w:val="24"/>
          <w:szCs w:val="24"/>
        </w:rPr>
        <w:t xml:space="preserve"> 150 mg </w:t>
      </w:r>
      <w:r w:rsidR="006C4C6B">
        <w:rPr>
          <w:sz w:val="24"/>
          <w:szCs w:val="24"/>
        </w:rPr>
        <w:t xml:space="preserve">orally </w:t>
      </w:r>
      <w:r w:rsidR="00360EEA">
        <w:rPr>
          <w:sz w:val="24"/>
          <w:szCs w:val="24"/>
        </w:rPr>
        <w:t xml:space="preserve">once daily for 15 days </w:t>
      </w:r>
      <w:r w:rsidR="00165DE0">
        <w:rPr>
          <w:sz w:val="24"/>
          <w:szCs w:val="24"/>
        </w:rPr>
        <w:t>decreased</w:t>
      </w:r>
      <w:r w:rsidR="00165DE0" w:rsidRPr="008010BB">
        <w:rPr>
          <w:sz w:val="24"/>
          <w:szCs w:val="24"/>
        </w:rPr>
        <w:t xml:space="preserve"> AUC</w:t>
      </w:r>
      <w:r w:rsidR="00302868">
        <w:rPr>
          <w:sz w:val="24"/>
          <w:szCs w:val="24"/>
          <w:vertAlign w:val="subscript"/>
        </w:rPr>
        <w:t>inf</w:t>
      </w:r>
      <w:r w:rsidR="00174972">
        <w:rPr>
          <w:sz w:val="24"/>
          <w:szCs w:val="24"/>
          <w:vertAlign w:val="subscript"/>
        </w:rPr>
        <w:t xml:space="preserve"> </w:t>
      </w:r>
      <w:r w:rsidR="00302868" w:rsidRPr="007300A9">
        <w:rPr>
          <w:bCs/>
          <w:sz w:val="24"/>
          <w:szCs w:val="24"/>
        </w:rPr>
        <w:t xml:space="preserve">by </w:t>
      </w:r>
      <w:r w:rsidR="006B7A1E">
        <w:rPr>
          <w:bCs/>
          <w:sz w:val="24"/>
          <w:szCs w:val="24"/>
        </w:rPr>
        <w:t>64</w:t>
      </w:r>
      <w:r w:rsidR="00302868" w:rsidRPr="007300A9">
        <w:rPr>
          <w:bCs/>
          <w:sz w:val="24"/>
          <w:szCs w:val="24"/>
        </w:rPr>
        <w:t>% and C</w:t>
      </w:r>
      <w:r w:rsidR="00302868" w:rsidRPr="00585059">
        <w:rPr>
          <w:bCs/>
          <w:sz w:val="24"/>
          <w:szCs w:val="24"/>
          <w:vertAlign w:val="subscript"/>
        </w:rPr>
        <w:t>max</w:t>
      </w:r>
      <w:r w:rsidR="00302868" w:rsidRPr="007300A9">
        <w:rPr>
          <w:bCs/>
          <w:sz w:val="24"/>
          <w:szCs w:val="24"/>
        </w:rPr>
        <w:t xml:space="preserve"> by </w:t>
      </w:r>
      <w:r w:rsidR="00302868">
        <w:rPr>
          <w:bCs/>
          <w:sz w:val="24"/>
          <w:szCs w:val="24"/>
        </w:rPr>
        <w:t>50</w:t>
      </w:r>
      <w:r w:rsidR="00302868" w:rsidRPr="007300A9">
        <w:rPr>
          <w:bCs/>
          <w:sz w:val="24"/>
          <w:szCs w:val="24"/>
        </w:rPr>
        <w:t xml:space="preserve">% </w:t>
      </w:r>
      <w:r w:rsidR="00302868">
        <w:rPr>
          <w:sz w:val="24"/>
          <w:szCs w:val="24"/>
        </w:rPr>
        <w:t xml:space="preserve">of a single </w:t>
      </w:r>
      <w:r w:rsidR="006C4C6B">
        <w:rPr>
          <w:sz w:val="24"/>
          <w:szCs w:val="24"/>
        </w:rPr>
        <w:t xml:space="preserve">oral </w:t>
      </w:r>
      <w:r w:rsidR="00302868">
        <w:rPr>
          <w:sz w:val="24"/>
          <w:szCs w:val="24"/>
        </w:rPr>
        <w:t xml:space="preserve">2 mg dose of </w:t>
      </w:r>
      <w:r w:rsidR="00165DE0" w:rsidRPr="009960EE">
        <w:rPr>
          <w:sz w:val="24"/>
          <w:szCs w:val="24"/>
        </w:rPr>
        <w:t>midazolam</w:t>
      </w:r>
      <w:r w:rsidR="006C4C6B">
        <w:rPr>
          <w:sz w:val="24"/>
          <w:szCs w:val="24"/>
        </w:rPr>
        <w:t xml:space="preserve"> (</w:t>
      </w:r>
      <w:r w:rsidR="00302868">
        <w:rPr>
          <w:sz w:val="24"/>
          <w:szCs w:val="24"/>
        </w:rPr>
        <w:t xml:space="preserve">a </w:t>
      </w:r>
      <w:r w:rsidR="006C4C6B">
        <w:rPr>
          <w:sz w:val="24"/>
          <w:szCs w:val="24"/>
        </w:rPr>
        <w:t xml:space="preserve">sensitive </w:t>
      </w:r>
      <w:r w:rsidR="00302868">
        <w:rPr>
          <w:sz w:val="24"/>
          <w:szCs w:val="24"/>
        </w:rPr>
        <w:t>CYP3A substrate</w:t>
      </w:r>
      <w:r w:rsidR="006C4C6B">
        <w:rPr>
          <w:sz w:val="24"/>
          <w:szCs w:val="24"/>
        </w:rPr>
        <w:t>)</w:t>
      </w:r>
      <w:r w:rsidR="00165DE0" w:rsidRPr="009960EE">
        <w:rPr>
          <w:sz w:val="24"/>
          <w:szCs w:val="24"/>
        </w:rPr>
        <w:t xml:space="preserve"> </w:t>
      </w:r>
      <w:r w:rsidR="003706E4" w:rsidRPr="00077F5D">
        <w:rPr>
          <w:i/>
          <w:iCs/>
          <w:color w:val="000000"/>
          <w:sz w:val="24"/>
          <w:szCs w:val="24"/>
        </w:rPr>
        <w:t>[see Drug Interactions (7.</w:t>
      </w:r>
      <w:r w:rsidR="006C4C6B">
        <w:rPr>
          <w:i/>
          <w:iCs/>
          <w:color w:val="000000"/>
          <w:sz w:val="24"/>
          <w:szCs w:val="24"/>
        </w:rPr>
        <w:t>2</w:t>
      </w:r>
      <w:r w:rsidR="003706E4" w:rsidRPr="00077F5D">
        <w:rPr>
          <w:i/>
          <w:iCs/>
          <w:color w:val="000000"/>
          <w:sz w:val="24"/>
          <w:szCs w:val="24"/>
        </w:rPr>
        <w:t>)]</w:t>
      </w:r>
      <w:r w:rsidR="003706E4" w:rsidRPr="00077F5D">
        <w:rPr>
          <w:sz w:val="24"/>
          <w:szCs w:val="24"/>
        </w:rPr>
        <w:t>.</w:t>
      </w:r>
    </w:p>
    <w:p w:rsidR="0001656D" w:rsidRDefault="0001656D" w:rsidP="001E1D15">
      <w:pPr>
        <w:pStyle w:val="BodyTextIndent2"/>
        <w:spacing w:after="0" w:line="240" w:lineRule="auto"/>
        <w:ind w:left="0"/>
        <w:rPr>
          <w:sz w:val="24"/>
          <w:szCs w:val="24"/>
        </w:rPr>
      </w:pPr>
    </w:p>
    <w:p w:rsidR="00CB42AF" w:rsidRDefault="00E72C5A" w:rsidP="001E1D15">
      <w:pPr>
        <w:pStyle w:val="BodyTextIndent2"/>
        <w:spacing w:after="0" w:line="240" w:lineRule="auto"/>
        <w:ind w:left="0"/>
        <w:rPr>
          <w:bCs/>
          <w:sz w:val="24"/>
          <w:szCs w:val="24"/>
        </w:rPr>
      </w:pPr>
      <w:r>
        <w:rPr>
          <w:i/>
          <w:sz w:val="24"/>
          <w:szCs w:val="24"/>
        </w:rPr>
        <w:t>Effect of Acid-Reducing Agents on Lorlatinib</w:t>
      </w:r>
      <w:r w:rsidR="00CB42AF">
        <w:rPr>
          <w:bCs/>
          <w:sz w:val="24"/>
          <w:szCs w:val="24"/>
        </w:rPr>
        <w:t>: Concomitant use</w:t>
      </w:r>
      <w:r w:rsidR="006C4C6B">
        <w:rPr>
          <w:bCs/>
          <w:sz w:val="24"/>
          <w:szCs w:val="24"/>
        </w:rPr>
        <w:t xml:space="preserve"> of</w:t>
      </w:r>
      <w:r w:rsidR="00CB42AF">
        <w:rPr>
          <w:bCs/>
          <w:sz w:val="24"/>
          <w:szCs w:val="24"/>
        </w:rPr>
        <w:t xml:space="preserve"> </w:t>
      </w:r>
      <w:r w:rsidR="002B51F9">
        <w:rPr>
          <w:bCs/>
          <w:sz w:val="24"/>
          <w:szCs w:val="24"/>
        </w:rPr>
        <w:t>a proton pump inhibitor,</w:t>
      </w:r>
      <w:r w:rsidR="00CB42AF">
        <w:rPr>
          <w:bCs/>
          <w:sz w:val="24"/>
          <w:szCs w:val="24"/>
        </w:rPr>
        <w:t xml:space="preserve"> rabeprazole, did not </w:t>
      </w:r>
      <w:r w:rsidR="006C4C6B">
        <w:rPr>
          <w:bCs/>
          <w:sz w:val="24"/>
          <w:szCs w:val="24"/>
        </w:rPr>
        <w:t xml:space="preserve">have a </w:t>
      </w:r>
      <w:r w:rsidR="00CB42AF">
        <w:rPr>
          <w:bCs/>
          <w:sz w:val="24"/>
          <w:szCs w:val="24"/>
        </w:rPr>
        <w:t xml:space="preserve">clinically </w:t>
      </w:r>
      <w:r w:rsidR="008C35AB">
        <w:rPr>
          <w:bCs/>
          <w:sz w:val="24"/>
          <w:szCs w:val="24"/>
        </w:rPr>
        <w:t xml:space="preserve">meaningful </w:t>
      </w:r>
      <w:r w:rsidR="006C4C6B">
        <w:rPr>
          <w:bCs/>
          <w:sz w:val="24"/>
          <w:szCs w:val="24"/>
        </w:rPr>
        <w:t xml:space="preserve">effect </w:t>
      </w:r>
      <w:r w:rsidR="00CB42AF">
        <w:rPr>
          <w:bCs/>
          <w:sz w:val="24"/>
          <w:szCs w:val="24"/>
        </w:rPr>
        <w:t>on lorlatinib pharmacokinetics.</w:t>
      </w:r>
    </w:p>
    <w:p w:rsidR="0001656D" w:rsidRDefault="0001656D" w:rsidP="001E1D15">
      <w:pPr>
        <w:pStyle w:val="BodyTextIndent2"/>
        <w:spacing w:after="0" w:line="240" w:lineRule="auto"/>
        <w:ind w:left="0"/>
        <w:rPr>
          <w:bCs/>
          <w:sz w:val="24"/>
          <w:szCs w:val="24"/>
        </w:rPr>
      </w:pPr>
    </w:p>
    <w:p w:rsidR="00592655" w:rsidRDefault="00592655" w:rsidP="001E1D15">
      <w:pPr>
        <w:pStyle w:val="BodyTextIndent2"/>
        <w:keepNext/>
        <w:spacing w:after="0" w:line="240" w:lineRule="auto"/>
        <w:ind w:left="0"/>
        <w:rPr>
          <w:bCs/>
          <w:i/>
          <w:sz w:val="24"/>
          <w:szCs w:val="24"/>
        </w:rPr>
      </w:pPr>
      <w:r w:rsidRPr="00A7678A">
        <w:rPr>
          <w:bCs/>
          <w:i/>
          <w:sz w:val="24"/>
          <w:szCs w:val="24"/>
        </w:rPr>
        <w:t>In Vitro Studies</w:t>
      </w:r>
    </w:p>
    <w:p w:rsidR="00FB2F11" w:rsidRDefault="00FB2F11" w:rsidP="001E1D15">
      <w:pPr>
        <w:pStyle w:val="BodyTextIndent2"/>
        <w:keepNext/>
        <w:spacing w:after="0" w:line="240" w:lineRule="auto"/>
        <w:ind w:left="0"/>
        <w:rPr>
          <w:bCs/>
          <w:i/>
          <w:sz w:val="24"/>
          <w:szCs w:val="24"/>
        </w:rPr>
      </w:pPr>
    </w:p>
    <w:p w:rsidR="004E28E5" w:rsidRDefault="00E72C5A" w:rsidP="001E1D15">
      <w:pPr>
        <w:pStyle w:val="BodyTextIndent2"/>
        <w:keepNext/>
        <w:spacing w:after="0" w:line="240" w:lineRule="auto"/>
        <w:ind w:left="0"/>
        <w:rPr>
          <w:bCs/>
          <w:sz w:val="24"/>
          <w:szCs w:val="24"/>
        </w:rPr>
      </w:pPr>
      <w:r>
        <w:rPr>
          <w:bCs/>
          <w:i/>
          <w:sz w:val="24"/>
          <w:szCs w:val="24"/>
        </w:rPr>
        <w:t xml:space="preserve">Effect of Lorlatinib on </w:t>
      </w:r>
      <w:r w:rsidR="00592655" w:rsidRPr="00002B06">
        <w:rPr>
          <w:i/>
          <w:sz w:val="24"/>
          <w:szCs w:val="24"/>
        </w:rPr>
        <w:t>CYP Enzymes:</w:t>
      </w:r>
      <w:r w:rsidR="00592655">
        <w:rPr>
          <w:bCs/>
          <w:sz w:val="24"/>
          <w:szCs w:val="24"/>
        </w:rPr>
        <w:t xml:space="preserve"> </w:t>
      </w:r>
      <w:r w:rsidR="00165DE0" w:rsidRPr="009F1817">
        <w:rPr>
          <w:bCs/>
          <w:sz w:val="24"/>
          <w:szCs w:val="24"/>
        </w:rPr>
        <w:t>In vitro</w:t>
      </w:r>
      <w:r w:rsidR="00165DE0" w:rsidRPr="00A917B9">
        <w:rPr>
          <w:bCs/>
          <w:sz w:val="24"/>
          <w:szCs w:val="24"/>
        </w:rPr>
        <w:t xml:space="preserve"> studies indicate that lorlatinib is a time-dependent inhibitor as well as an inducer of CYP3A</w:t>
      </w:r>
      <w:r>
        <w:rPr>
          <w:bCs/>
          <w:sz w:val="24"/>
          <w:szCs w:val="24"/>
        </w:rPr>
        <w:t xml:space="preserve"> </w:t>
      </w:r>
      <w:r w:rsidR="00165DE0" w:rsidRPr="00A917B9">
        <w:rPr>
          <w:bCs/>
          <w:sz w:val="24"/>
          <w:szCs w:val="24"/>
        </w:rPr>
        <w:t xml:space="preserve">and </w:t>
      </w:r>
      <w:r>
        <w:rPr>
          <w:bCs/>
          <w:sz w:val="24"/>
          <w:szCs w:val="24"/>
        </w:rPr>
        <w:t xml:space="preserve">that </w:t>
      </w:r>
      <w:r w:rsidR="00165DE0" w:rsidRPr="00A917B9">
        <w:rPr>
          <w:bCs/>
          <w:sz w:val="24"/>
          <w:szCs w:val="24"/>
        </w:rPr>
        <w:t xml:space="preserve">it activates PXR, with the net effect </w:t>
      </w:r>
      <w:r w:rsidR="00165DE0" w:rsidRPr="009F1817">
        <w:rPr>
          <w:bCs/>
          <w:sz w:val="24"/>
          <w:szCs w:val="24"/>
        </w:rPr>
        <w:t>in vivo</w:t>
      </w:r>
      <w:r w:rsidR="00165DE0" w:rsidRPr="00A917B9">
        <w:rPr>
          <w:bCs/>
          <w:sz w:val="24"/>
          <w:szCs w:val="24"/>
        </w:rPr>
        <w:t xml:space="preserve"> being induction. </w:t>
      </w:r>
      <w:r w:rsidR="00716896">
        <w:rPr>
          <w:bCs/>
          <w:sz w:val="24"/>
          <w:szCs w:val="24"/>
        </w:rPr>
        <w:t xml:space="preserve">Lorlatinib </w:t>
      </w:r>
      <w:r w:rsidR="00165DE0" w:rsidRPr="00A917B9">
        <w:rPr>
          <w:bCs/>
          <w:sz w:val="24"/>
          <w:szCs w:val="24"/>
        </w:rPr>
        <w:t>induce</w:t>
      </w:r>
      <w:r>
        <w:rPr>
          <w:bCs/>
          <w:sz w:val="24"/>
          <w:szCs w:val="24"/>
        </w:rPr>
        <w:t>s</w:t>
      </w:r>
      <w:r w:rsidR="00165DE0" w:rsidRPr="00A917B9">
        <w:rPr>
          <w:bCs/>
          <w:sz w:val="24"/>
          <w:szCs w:val="24"/>
        </w:rPr>
        <w:t xml:space="preserve"> CYP2B6 and activates the human </w:t>
      </w:r>
      <w:r w:rsidR="00165DE0">
        <w:rPr>
          <w:bCs/>
          <w:sz w:val="24"/>
          <w:szCs w:val="24"/>
        </w:rPr>
        <w:t>c</w:t>
      </w:r>
      <w:r w:rsidR="00165DE0" w:rsidRPr="00A917B9">
        <w:rPr>
          <w:bCs/>
          <w:sz w:val="24"/>
          <w:szCs w:val="24"/>
        </w:rPr>
        <w:t xml:space="preserve">onstitutive </w:t>
      </w:r>
      <w:r w:rsidR="00165DE0">
        <w:rPr>
          <w:bCs/>
          <w:sz w:val="24"/>
          <w:szCs w:val="24"/>
        </w:rPr>
        <w:t>a</w:t>
      </w:r>
      <w:r w:rsidR="00165DE0" w:rsidRPr="00A917B9">
        <w:rPr>
          <w:bCs/>
          <w:sz w:val="24"/>
          <w:szCs w:val="24"/>
        </w:rPr>
        <w:t xml:space="preserve">ndrostane </w:t>
      </w:r>
      <w:r w:rsidR="00165DE0">
        <w:rPr>
          <w:bCs/>
          <w:sz w:val="24"/>
          <w:szCs w:val="24"/>
        </w:rPr>
        <w:t>r</w:t>
      </w:r>
      <w:r w:rsidR="00165DE0" w:rsidRPr="00A917B9">
        <w:rPr>
          <w:bCs/>
          <w:sz w:val="24"/>
          <w:szCs w:val="24"/>
        </w:rPr>
        <w:t xml:space="preserve">eceptor (CAR). </w:t>
      </w:r>
      <w:r w:rsidR="00716896">
        <w:rPr>
          <w:bCs/>
          <w:sz w:val="24"/>
          <w:szCs w:val="24"/>
        </w:rPr>
        <w:t>Lorlatinib</w:t>
      </w:r>
      <w:r w:rsidR="00FB247F">
        <w:rPr>
          <w:bCs/>
          <w:sz w:val="24"/>
          <w:szCs w:val="24"/>
        </w:rPr>
        <w:t xml:space="preserve"> and t</w:t>
      </w:r>
      <w:r w:rsidR="00FB247F" w:rsidRPr="00A917B9">
        <w:rPr>
          <w:bCs/>
          <w:sz w:val="24"/>
          <w:szCs w:val="24"/>
        </w:rPr>
        <w:t>he major circulating metabolite</w:t>
      </w:r>
      <w:r w:rsidR="00FB247F">
        <w:rPr>
          <w:bCs/>
          <w:sz w:val="24"/>
          <w:szCs w:val="24"/>
        </w:rPr>
        <w:t>, M8,</w:t>
      </w:r>
      <w:r w:rsidR="00A917B9" w:rsidRPr="00A917B9">
        <w:rPr>
          <w:bCs/>
          <w:sz w:val="24"/>
          <w:szCs w:val="24"/>
        </w:rPr>
        <w:t xml:space="preserve"> </w:t>
      </w:r>
      <w:r w:rsidR="00FB247F">
        <w:rPr>
          <w:bCs/>
          <w:sz w:val="24"/>
          <w:szCs w:val="24"/>
        </w:rPr>
        <w:t>do</w:t>
      </w:r>
      <w:r w:rsidR="00592655">
        <w:rPr>
          <w:bCs/>
          <w:sz w:val="24"/>
          <w:szCs w:val="24"/>
        </w:rPr>
        <w:t xml:space="preserve"> not</w:t>
      </w:r>
      <w:r w:rsidR="00A917B9" w:rsidRPr="00A917B9">
        <w:rPr>
          <w:bCs/>
          <w:sz w:val="24"/>
          <w:szCs w:val="24"/>
        </w:rPr>
        <w:t xml:space="preserve"> inhibit CYP1A2, CYP2B6, CYP2C8, CYP2C9, CYP2C19</w:t>
      </w:r>
      <w:r w:rsidR="009B7D2D">
        <w:rPr>
          <w:bCs/>
          <w:sz w:val="24"/>
          <w:szCs w:val="24"/>
        </w:rPr>
        <w:t>,</w:t>
      </w:r>
      <w:r w:rsidR="00A917B9" w:rsidRPr="00A917B9">
        <w:rPr>
          <w:bCs/>
          <w:sz w:val="24"/>
          <w:szCs w:val="24"/>
        </w:rPr>
        <w:t xml:space="preserve"> </w:t>
      </w:r>
      <w:r w:rsidR="004E28E5" w:rsidRPr="00A917B9">
        <w:rPr>
          <w:bCs/>
          <w:sz w:val="24"/>
          <w:szCs w:val="24"/>
        </w:rPr>
        <w:t>and CYP2D6</w:t>
      </w:r>
      <w:r w:rsidR="004E28E5">
        <w:rPr>
          <w:bCs/>
          <w:sz w:val="24"/>
          <w:szCs w:val="24"/>
        </w:rPr>
        <w:t xml:space="preserve">. </w:t>
      </w:r>
      <w:r w:rsidR="00B55E7E" w:rsidRPr="00B55E7E">
        <w:rPr>
          <w:bCs/>
          <w:sz w:val="24"/>
          <w:szCs w:val="24"/>
        </w:rPr>
        <w:t>M8 does not inhibit CYP3A.</w:t>
      </w:r>
    </w:p>
    <w:p w:rsidR="0001656D" w:rsidRDefault="0001656D" w:rsidP="001E1D15">
      <w:pPr>
        <w:pStyle w:val="BodyTextIndent2"/>
        <w:keepNext/>
        <w:spacing w:after="0" w:line="240" w:lineRule="auto"/>
        <w:ind w:left="0"/>
        <w:rPr>
          <w:bCs/>
          <w:sz w:val="24"/>
          <w:szCs w:val="24"/>
        </w:rPr>
      </w:pPr>
    </w:p>
    <w:p w:rsidR="004E28E5" w:rsidRDefault="004E28E5" w:rsidP="001E1D15">
      <w:pPr>
        <w:pStyle w:val="BodyTextIndent2"/>
        <w:spacing w:after="0" w:line="240" w:lineRule="auto"/>
        <w:ind w:left="0"/>
        <w:rPr>
          <w:bCs/>
          <w:sz w:val="24"/>
          <w:szCs w:val="24"/>
        </w:rPr>
      </w:pPr>
      <w:r>
        <w:rPr>
          <w:bCs/>
          <w:sz w:val="24"/>
          <w:szCs w:val="24"/>
        </w:rPr>
        <w:t>M8</w:t>
      </w:r>
      <w:r w:rsidRPr="00A917B9">
        <w:rPr>
          <w:bCs/>
          <w:sz w:val="24"/>
          <w:szCs w:val="24"/>
        </w:rPr>
        <w:t xml:space="preserve"> </w:t>
      </w:r>
      <w:r>
        <w:rPr>
          <w:bCs/>
          <w:sz w:val="24"/>
          <w:szCs w:val="24"/>
        </w:rPr>
        <w:t>does not induce</w:t>
      </w:r>
      <w:r w:rsidRPr="00A917B9">
        <w:rPr>
          <w:bCs/>
          <w:sz w:val="24"/>
          <w:szCs w:val="24"/>
        </w:rPr>
        <w:t xml:space="preserve"> CYP1A2, CYP2B6, and CYP3A.</w:t>
      </w:r>
    </w:p>
    <w:p w:rsidR="0001656D" w:rsidRDefault="0001656D" w:rsidP="001E1D15">
      <w:pPr>
        <w:pStyle w:val="BodyTextIndent2"/>
        <w:spacing w:after="0" w:line="240" w:lineRule="auto"/>
        <w:ind w:left="0"/>
        <w:rPr>
          <w:bCs/>
          <w:sz w:val="24"/>
          <w:szCs w:val="24"/>
        </w:rPr>
      </w:pPr>
    </w:p>
    <w:p w:rsidR="006D36CF" w:rsidRDefault="00E72C5A" w:rsidP="00C060CA">
      <w:pPr>
        <w:pStyle w:val="BodyTextIndent2"/>
        <w:spacing w:after="0" w:line="240" w:lineRule="auto"/>
        <w:ind w:left="0"/>
        <w:rPr>
          <w:bCs/>
          <w:sz w:val="24"/>
          <w:szCs w:val="24"/>
        </w:rPr>
      </w:pPr>
      <w:r>
        <w:rPr>
          <w:i/>
          <w:sz w:val="24"/>
          <w:szCs w:val="24"/>
        </w:rPr>
        <w:t xml:space="preserve">Effects of Lorlatinib on </w:t>
      </w:r>
      <w:r w:rsidR="00A917B9" w:rsidRPr="00002B06">
        <w:rPr>
          <w:i/>
          <w:sz w:val="24"/>
          <w:szCs w:val="24"/>
        </w:rPr>
        <w:t>UDP-</w:t>
      </w:r>
      <w:r w:rsidR="008C3AF5" w:rsidRPr="00002B06">
        <w:rPr>
          <w:i/>
          <w:sz w:val="24"/>
          <w:szCs w:val="24"/>
        </w:rPr>
        <w:t>glucuronosyltransferase</w:t>
      </w:r>
      <w:r w:rsidR="00A917B9" w:rsidRPr="00002B06">
        <w:rPr>
          <w:i/>
          <w:sz w:val="24"/>
          <w:szCs w:val="24"/>
        </w:rPr>
        <w:t xml:space="preserve"> (UGT)</w:t>
      </w:r>
      <w:r w:rsidR="00592655" w:rsidRPr="009B4653">
        <w:rPr>
          <w:i/>
          <w:sz w:val="24"/>
          <w:szCs w:val="24"/>
        </w:rPr>
        <w:t>:</w:t>
      </w:r>
      <w:r w:rsidR="009B4653">
        <w:rPr>
          <w:i/>
          <w:sz w:val="24"/>
          <w:szCs w:val="24"/>
        </w:rPr>
        <w:t xml:space="preserve"> </w:t>
      </w:r>
      <w:r w:rsidR="00592655">
        <w:rPr>
          <w:bCs/>
          <w:sz w:val="24"/>
          <w:szCs w:val="24"/>
        </w:rPr>
        <w:t>L</w:t>
      </w:r>
      <w:r w:rsidR="00A917B9" w:rsidRPr="00A917B9">
        <w:rPr>
          <w:bCs/>
          <w:sz w:val="24"/>
          <w:szCs w:val="24"/>
        </w:rPr>
        <w:t>orlatinib</w:t>
      </w:r>
      <w:r w:rsidR="00FB247F">
        <w:rPr>
          <w:bCs/>
          <w:sz w:val="24"/>
          <w:szCs w:val="24"/>
        </w:rPr>
        <w:t xml:space="preserve"> and M8</w:t>
      </w:r>
      <w:r w:rsidR="00A917B9" w:rsidRPr="00A917B9">
        <w:rPr>
          <w:bCs/>
          <w:sz w:val="24"/>
          <w:szCs w:val="24"/>
        </w:rPr>
        <w:t xml:space="preserve"> </w:t>
      </w:r>
      <w:r w:rsidR="00592655">
        <w:rPr>
          <w:bCs/>
          <w:sz w:val="24"/>
          <w:szCs w:val="24"/>
        </w:rPr>
        <w:t>do not inhibit</w:t>
      </w:r>
      <w:r w:rsidR="00A917B9" w:rsidRPr="00A917B9">
        <w:rPr>
          <w:bCs/>
          <w:sz w:val="24"/>
          <w:szCs w:val="24"/>
        </w:rPr>
        <w:t xml:space="preserve"> UGT1A1, UGT1A4, UGT1A6, UGT1A9, UGT2B7</w:t>
      </w:r>
      <w:r w:rsidR="00B23C4A">
        <w:rPr>
          <w:bCs/>
          <w:sz w:val="24"/>
          <w:szCs w:val="24"/>
        </w:rPr>
        <w:t>,</w:t>
      </w:r>
      <w:r w:rsidR="00A917B9" w:rsidRPr="00A917B9">
        <w:rPr>
          <w:bCs/>
          <w:sz w:val="24"/>
          <w:szCs w:val="24"/>
        </w:rPr>
        <w:t xml:space="preserve"> and UGT2B15</w:t>
      </w:r>
      <w:r w:rsidR="00A917B9">
        <w:rPr>
          <w:bCs/>
          <w:sz w:val="24"/>
          <w:szCs w:val="24"/>
        </w:rPr>
        <w:t>.</w:t>
      </w:r>
      <w:r w:rsidR="009B4653">
        <w:rPr>
          <w:bCs/>
          <w:sz w:val="24"/>
          <w:szCs w:val="24"/>
        </w:rPr>
        <w:t xml:space="preserve"> </w:t>
      </w:r>
    </w:p>
    <w:p w:rsidR="0001656D" w:rsidRPr="00A917B9" w:rsidRDefault="0001656D" w:rsidP="00C060CA">
      <w:pPr>
        <w:pStyle w:val="BodyTextIndent2"/>
        <w:spacing w:after="0" w:line="240" w:lineRule="auto"/>
        <w:ind w:left="0"/>
        <w:rPr>
          <w:bCs/>
          <w:sz w:val="24"/>
          <w:szCs w:val="24"/>
        </w:rPr>
      </w:pPr>
    </w:p>
    <w:p w:rsidR="00A2063D" w:rsidRDefault="00002B06" w:rsidP="001E1D15">
      <w:pPr>
        <w:pStyle w:val="BodyTextIndent2"/>
        <w:spacing w:after="0" w:line="240" w:lineRule="auto"/>
        <w:ind w:left="0"/>
        <w:rPr>
          <w:bCs/>
          <w:sz w:val="24"/>
          <w:szCs w:val="24"/>
        </w:rPr>
      </w:pPr>
      <w:r w:rsidRPr="002B51F9">
        <w:rPr>
          <w:i/>
          <w:sz w:val="24"/>
          <w:szCs w:val="24"/>
        </w:rPr>
        <w:t>Effect of Lorlatinib on</w:t>
      </w:r>
      <w:r w:rsidR="00A917B9" w:rsidRPr="002B51F9">
        <w:rPr>
          <w:i/>
          <w:sz w:val="24"/>
          <w:szCs w:val="24"/>
        </w:rPr>
        <w:t xml:space="preserve"> Transporters</w:t>
      </w:r>
      <w:r w:rsidR="009B4653" w:rsidRPr="004030CC">
        <w:rPr>
          <w:bCs/>
          <w:i/>
          <w:sz w:val="24"/>
          <w:szCs w:val="24"/>
        </w:rPr>
        <w:t>:</w:t>
      </w:r>
      <w:r w:rsidR="004030CC" w:rsidRPr="00EC0980">
        <w:rPr>
          <w:i/>
          <w:sz w:val="24"/>
          <w:szCs w:val="24"/>
        </w:rPr>
        <w:t xml:space="preserve"> </w:t>
      </w:r>
      <w:r w:rsidR="007D2888">
        <w:rPr>
          <w:bCs/>
          <w:sz w:val="24"/>
          <w:szCs w:val="24"/>
        </w:rPr>
        <w:t>L</w:t>
      </w:r>
      <w:r w:rsidR="00A917B9" w:rsidRPr="00A917B9">
        <w:rPr>
          <w:bCs/>
          <w:sz w:val="24"/>
          <w:szCs w:val="24"/>
        </w:rPr>
        <w:t>orlatinib inhibit</w:t>
      </w:r>
      <w:r w:rsidR="00705515">
        <w:rPr>
          <w:bCs/>
          <w:sz w:val="24"/>
          <w:szCs w:val="24"/>
        </w:rPr>
        <w:t>s</w:t>
      </w:r>
      <w:r w:rsidR="00A917B9" w:rsidRPr="00A917B9">
        <w:rPr>
          <w:bCs/>
          <w:sz w:val="24"/>
          <w:szCs w:val="24"/>
        </w:rPr>
        <w:t xml:space="preserve"> P</w:t>
      </w:r>
      <w:r w:rsidR="00A917B9">
        <w:rPr>
          <w:bCs/>
          <w:sz w:val="24"/>
          <w:szCs w:val="24"/>
        </w:rPr>
        <w:noBreakHyphen/>
      </w:r>
      <w:r w:rsidR="00A917B9" w:rsidRPr="00A917B9">
        <w:rPr>
          <w:bCs/>
          <w:sz w:val="24"/>
          <w:szCs w:val="24"/>
        </w:rPr>
        <w:t>glycoprotein (P</w:t>
      </w:r>
      <w:r w:rsidR="00A917B9">
        <w:rPr>
          <w:bCs/>
          <w:sz w:val="24"/>
          <w:szCs w:val="24"/>
        </w:rPr>
        <w:noBreakHyphen/>
      </w:r>
      <w:r w:rsidR="00A917B9" w:rsidRPr="00A917B9">
        <w:rPr>
          <w:bCs/>
          <w:sz w:val="24"/>
          <w:szCs w:val="24"/>
        </w:rPr>
        <w:t xml:space="preserve">gp), </w:t>
      </w:r>
      <w:r w:rsidR="00705515" w:rsidRPr="00A917B9">
        <w:rPr>
          <w:bCs/>
          <w:sz w:val="24"/>
          <w:szCs w:val="24"/>
        </w:rPr>
        <w:t xml:space="preserve">organic cation transporter </w:t>
      </w:r>
      <w:r w:rsidR="00705515">
        <w:rPr>
          <w:bCs/>
          <w:sz w:val="24"/>
          <w:szCs w:val="24"/>
        </w:rPr>
        <w:t>(</w:t>
      </w:r>
      <w:r w:rsidR="006D36CF">
        <w:rPr>
          <w:bCs/>
          <w:sz w:val="24"/>
          <w:szCs w:val="24"/>
        </w:rPr>
        <w:t>OCT</w:t>
      </w:r>
      <w:r w:rsidR="00705515">
        <w:rPr>
          <w:bCs/>
          <w:sz w:val="24"/>
          <w:szCs w:val="24"/>
        </w:rPr>
        <w:t>)</w:t>
      </w:r>
      <w:r w:rsidR="006D36CF">
        <w:rPr>
          <w:bCs/>
          <w:sz w:val="24"/>
          <w:szCs w:val="24"/>
        </w:rPr>
        <w:t xml:space="preserve">1, </w:t>
      </w:r>
      <w:r w:rsidR="00705515" w:rsidRPr="00A917B9">
        <w:rPr>
          <w:bCs/>
          <w:sz w:val="24"/>
          <w:szCs w:val="24"/>
        </w:rPr>
        <w:t>o</w:t>
      </w:r>
      <w:r w:rsidR="00705515">
        <w:rPr>
          <w:bCs/>
          <w:sz w:val="24"/>
          <w:szCs w:val="24"/>
        </w:rPr>
        <w:t>rganic anion transporter (</w:t>
      </w:r>
      <w:r w:rsidR="00A917B9" w:rsidRPr="00A917B9">
        <w:rPr>
          <w:bCs/>
          <w:sz w:val="24"/>
          <w:szCs w:val="24"/>
        </w:rPr>
        <w:t>OAT</w:t>
      </w:r>
      <w:r w:rsidR="00705515">
        <w:rPr>
          <w:bCs/>
          <w:sz w:val="24"/>
          <w:szCs w:val="24"/>
        </w:rPr>
        <w:t>)</w:t>
      </w:r>
      <w:r w:rsidR="00A917B9" w:rsidRPr="00A917B9">
        <w:rPr>
          <w:bCs/>
          <w:sz w:val="24"/>
          <w:szCs w:val="24"/>
        </w:rPr>
        <w:t>3</w:t>
      </w:r>
      <w:r w:rsidR="007C13F1">
        <w:rPr>
          <w:bCs/>
          <w:sz w:val="24"/>
          <w:szCs w:val="24"/>
        </w:rPr>
        <w:t xml:space="preserve">, </w:t>
      </w:r>
      <w:r w:rsidR="00705515">
        <w:rPr>
          <w:bCs/>
          <w:sz w:val="24"/>
          <w:szCs w:val="24"/>
        </w:rPr>
        <w:t>multidrug and toxin extrusion (</w:t>
      </w:r>
      <w:r w:rsidR="007C13F1">
        <w:rPr>
          <w:bCs/>
          <w:sz w:val="24"/>
          <w:szCs w:val="24"/>
        </w:rPr>
        <w:t>MATE</w:t>
      </w:r>
      <w:r w:rsidR="00705515">
        <w:rPr>
          <w:bCs/>
          <w:sz w:val="24"/>
          <w:szCs w:val="24"/>
        </w:rPr>
        <w:t>)</w:t>
      </w:r>
      <w:r w:rsidR="009812AF">
        <w:rPr>
          <w:bCs/>
          <w:sz w:val="24"/>
          <w:szCs w:val="24"/>
        </w:rPr>
        <w:t>1</w:t>
      </w:r>
      <w:r w:rsidR="00784449">
        <w:rPr>
          <w:bCs/>
          <w:sz w:val="24"/>
          <w:szCs w:val="24"/>
        </w:rPr>
        <w:t>,</w:t>
      </w:r>
      <w:r w:rsidR="00784449" w:rsidRPr="00784449">
        <w:rPr>
          <w:bCs/>
          <w:sz w:val="24"/>
          <w:szCs w:val="24"/>
        </w:rPr>
        <w:t xml:space="preserve"> </w:t>
      </w:r>
      <w:r w:rsidR="00784449">
        <w:rPr>
          <w:bCs/>
          <w:sz w:val="24"/>
          <w:szCs w:val="24"/>
        </w:rPr>
        <w:t xml:space="preserve">and intestinal </w:t>
      </w:r>
      <w:r w:rsidR="00784449" w:rsidRPr="00A917B9">
        <w:rPr>
          <w:bCs/>
          <w:sz w:val="24"/>
          <w:szCs w:val="24"/>
        </w:rPr>
        <w:t xml:space="preserve">breast cancer resistance protein </w:t>
      </w:r>
      <w:r w:rsidR="00784449">
        <w:rPr>
          <w:bCs/>
          <w:sz w:val="24"/>
          <w:szCs w:val="24"/>
        </w:rPr>
        <w:t>(</w:t>
      </w:r>
      <w:r w:rsidR="00784449" w:rsidRPr="00A917B9">
        <w:rPr>
          <w:bCs/>
          <w:sz w:val="24"/>
          <w:szCs w:val="24"/>
        </w:rPr>
        <w:t>BCRP</w:t>
      </w:r>
      <w:r w:rsidR="00784449">
        <w:rPr>
          <w:bCs/>
          <w:sz w:val="24"/>
          <w:szCs w:val="24"/>
        </w:rPr>
        <w:t>)</w:t>
      </w:r>
      <w:r w:rsidR="00A917B9" w:rsidRPr="00A917B9">
        <w:rPr>
          <w:bCs/>
          <w:sz w:val="24"/>
          <w:szCs w:val="24"/>
        </w:rPr>
        <w:t>.</w:t>
      </w:r>
      <w:r w:rsidR="00705515" w:rsidRPr="00705515">
        <w:rPr>
          <w:bCs/>
          <w:sz w:val="24"/>
          <w:szCs w:val="24"/>
        </w:rPr>
        <w:t xml:space="preserve"> </w:t>
      </w:r>
      <w:r w:rsidR="00705515">
        <w:rPr>
          <w:bCs/>
          <w:sz w:val="24"/>
          <w:szCs w:val="24"/>
        </w:rPr>
        <w:t>L</w:t>
      </w:r>
      <w:r w:rsidR="00705515" w:rsidRPr="00A917B9">
        <w:rPr>
          <w:bCs/>
          <w:sz w:val="24"/>
          <w:szCs w:val="24"/>
        </w:rPr>
        <w:t>orlatinib</w:t>
      </w:r>
      <w:r w:rsidR="00705515">
        <w:rPr>
          <w:bCs/>
          <w:sz w:val="24"/>
          <w:szCs w:val="24"/>
        </w:rPr>
        <w:t xml:space="preserve"> does not</w:t>
      </w:r>
      <w:r w:rsidR="00705515" w:rsidRPr="00A917B9">
        <w:rPr>
          <w:bCs/>
          <w:sz w:val="24"/>
          <w:szCs w:val="24"/>
        </w:rPr>
        <w:t xml:space="preserve"> inhibit organic anion transporting polypeptide (OATP)1B1, OATP1B3, </w:t>
      </w:r>
      <w:r w:rsidR="00705515">
        <w:rPr>
          <w:bCs/>
          <w:sz w:val="24"/>
          <w:szCs w:val="24"/>
        </w:rPr>
        <w:t>OAT1, OCT</w:t>
      </w:r>
      <w:r w:rsidR="00705515" w:rsidRPr="00A917B9">
        <w:rPr>
          <w:bCs/>
          <w:sz w:val="24"/>
          <w:szCs w:val="24"/>
        </w:rPr>
        <w:t>2</w:t>
      </w:r>
      <w:r w:rsidR="00705515">
        <w:rPr>
          <w:sz w:val="24"/>
          <w:szCs w:val="24"/>
        </w:rPr>
        <w:t>,</w:t>
      </w:r>
      <w:r w:rsidR="00705515" w:rsidRPr="007D2888">
        <w:rPr>
          <w:sz w:val="24"/>
          <w:szCs w:val="24"/>
        </w:rPr>
        <w:t xml:space="preserve"> </w:t>
      </w:r>
      <w:r w:rsidR="00705515">
        <w:rPr>
          <w:bCs/>
          <w:sz w:val="24"/>
          <w:szCs w:val="24"/>
        </w:rPr>
        <w:t>MATE2K</w:t>
      </w:r>
      <w:r w:rsidR="00FB247F">
        <w:rPr>
          <w:bCs/>
          <w:sz w:val="24"/>
          <w:szCs w:val="24"/>
        </w:rPr>
        <w:t>,</w:t>
      </w:r>
      <w:r w:rsidR="00784449" w:rsidRPr="00784449">
        <w:rPr>
          <w:bCs/>
          <w:sz w:val="24"/>
          <w:szCs w:val="24"/>
        </w:rPr>
        <w:t xml:space="preserve"> </w:t>
      </w:r>
      <w:r w:rsidR="00786B42">
        <w:rPr>
          <w:bCs/>
          <w:sz w:val="24"/>
          <w:szCs w:val="24"/>
        </w:rPr>
        <w:t>and</w:t>
      </w:r>
      <w:r w:rsidR="00784449">
        <w:rPr>
          <w:bCs/>
          <w:sz w:val="24"/>
          <w:szCs w:val="24"/>
        </w:rPr>
        <w:t xml:space="preserve"> systemic BCRP</w:t>
      </w:r>
      <w:r w:rsidR="00705515" w:rsidRPr="00A917B9">
        <w:rPr>
          <w:bCs/>
          <w:sz w:val="24"/>
          <w:szCs w:val="24"/>
        </w:rPr>
        <w:t>.</w:t>
      </w:r>
      <w:r w:rsidR="00C67FFB">
        <w:rPr>
          <w:bCs/>
          <w:sz w:val="24"/>
          <w:szCs w:val="24"/>
        </w:rPr>
        <w:t xml:space="preserve"> </w:t>
      </w:r>
      <w:r w:rsidR="00FB247F">
        <w:rPr>
          <w:bCs/>
          <w:sz w:val="24"/>
          <w:szCs w:val="24"/>
        </w:rPr>
        <w:t>M8</w:t>
      </w:r>
      <w:r w:rsidR="00A917B9" w:rsidRPr="00A917B9">
        <w:rPr>
          <w:bCs/>
          <w:sz w:val="24"/>
          <w:szCs w:val="24"/>
        </w:rPr>
        <w:t xml:space="preserve"> </w:t>
      </w:r>
      <w:r w:rsidR="00C67FFB">
        <w:rPr>
          <w:bCs/>
          <w:sz w:val="24"/>
          <w:szCs w:val="24"/>
        </w:rPr>
        <w:t xml:space="preserve">does not inhibit </w:t>
      </w:r>
      <w:r w:rsidR="00A917B9" w:rsidRPr="00A917B9">
        <w:rPr>
          <w:bCs/>
          <w:sz w:val="24"/>
          <w:szCs w:val="24"/>
        </w:rPr>
        <w:t>P</w:t>
      </w:r>
      <w:r w:rsidR="00A917B9">
        <w:rPr>
          <w:bCs/>
          <w:sz w:val="24"/>
          <w:szCs w:val="24"/>
        </w:rPr>
        <w:noBreakHyphen/>
      </w:r>
      <w:r w:rsidR="00A917B9" w:rsidRPr="00A917B9">
        <w:rPr>
          <w:bCs/>
          <w:sz w:val="24"/>
          <w:szCs w:val="24"/>
        </w:rPr>
        <w:t xml:space="preserve">gp, BCRP, OATP1B1, OATP1B3, OAT1, OAT3, OCT1, OCT2, MATE1, </w:t>
      </w:r>
      <w:r w:rsidR="00786B42">
        <w:rPr>
          <w:bCs/>
          <w:sz w:val="24"/>
          <w:szCs w:val="24"/>
        </w:rPr>
        <w:t>and</w:t>
      </w:r>
      <w:r w:rsidR="00E72C5A">
        <w:rPr>
          <w:bCs/>
          <w:sz w:val="24"/>
          <w:szCs w:val="24"/>
        </w:rPr>
        <w:t xml:space="preserve"> </w:t>
      </w:r>
      <w:r w:rsidR="00A917B9" w:rsidRPr="00A917B9">
        <w:rPr>
          <w:bCs/>
          <w:sz w:val="24"/>
          <w:szCs w:val="24"/>
        </w:rPr>
        <w:t>MATE2K.</w:t>
      </w:r>
    </w:p>
    <w:p w:rsidR="0001656D" w:rsidRDefault="0001656D" w:rsidP="001E1D15">
      <w:pPr>
        <w:pStyle w:val="BodyTextIndent2"/>
        <w:spacing w:after="0" w:line="240" w:lineRule="auto"/>
        <w:ind w:left="0"/>
        <w:rPr>
          <w:sz w:val="24"/>
          <w:szCs w:val="24"/>
        </w:rPr>
      </w:pPr>
    </w:p>
    <w:p w:rsidR="00DD0D9A" w:rsidRPr="00BA102E" w:rsidRDefault="00F71420" w:rsidP="005E3000">
      <w:pPr>
        <w:pStyle w:val="Heading1"/>
        <w:jc w:val="left"/>
        <w:rPr>
          <w:sz w:val="24"/>
          <w:szCs w:val="24"/>
        </w:rPr>
      </w:pPr>
      <w:bookmarkStart w:id="21" w:name="_Toc128065040"/>
      <w:r>
        <w:rPr>
          <w:sz w:val="24"/>
          <w:szCs w:val="24"/>
        </w:rPr>
        <w:lastRenderedPageBreak/>
        <w:t>13</w:t>
      </w:r>
      <w:r w:rsidR="00DC60E3">
        <w:rPr>
          <w:sz w:val="24"/>
          <w:szCs w:val="24"/>
        </w:rPr>
        <w:tab/>
      </w:r>
      <w:r w:rsidR="00DC60E3">
        <w:rPr>
          <w:sz w:val="24"/>
          <w:szCs w:val="24"/>
        </w:rPr>
        <w:tab/>
      </w:r>
      <w:r w:rsidR="00DD0D9A" w:rsidRPr="00BA102E">
        <w:rPr>
          <w:sz w:val="24"/>
          <w:szCs w:val="24"/>
        </w:rPr>
        <w:t>NONCLINICAL TOXICOLOGY</w:t>
      </w:r>
      <w:bookmarkEnd w:id="21"/>
    </w:p>
    <w:p w:rsidR="0001656D" w:rsidRDefault="0001656D" w:rsidP="005E3000">
      <w:pPr>
        <w:pStyle w:val="Heading2"/>
        <w:rPr>
          <w:sz w:val="24"/>
          <w:szCs w:val="24"/>
        </w:rPr>
      </w:pPr>
      <w:bookmarkStart w:id="22" w:name="_Toc128065041"/>
    </w:p>
    <w:p w:rsidR="00DD0D9A" w:rsidRPr="00C0057E" w:rsidRDefault="00780E8C" w:rsidP="005E3000">
      <w:pPr>
        <w:keepNext/>
        <w:tabs>
          <w:tab w:val="left" w:pos="540"/>
        </w:tabs>
        <w:rPr>
          <w:b/>
          <w:sz w:val="24"/>
          <w:szCs w:val="24"/>
        </w:rPr>
      </w:pPr>
      <w:r w:rsidRPr="00C0057E">
        <w:rPr>
          <w:b/>
          <w:sz w:val="24"/>
          <w:szCs w:val="24"/>
        </w:rPr>
        <w:t>13.1</w:t>
      </w:r>
      <w:r w:rsidRPr="00C0057E">
        <w:rPr>
          <w:b/>
          <w:sz w:val="24"/>
          <w:szCs w:val="24"/>
        </w:rPr>
        <w:tab/>
      </w:r>
      <w:r w:rsidR="00DD0D9A" w:rsidRPr="00C0057E">
        <w:rPr>
          <w:b/>
          <w:sz w:val="24"/>
          <w:szCs w:val="24"/>
        </w:rPr>
        <w:t>Carcinogenesis, Mutagenesis, Impairment of Fertility</w:t>
      </w:r>
      <w:bookmarkEnd w:id="22"/>
    </w:p>
    <w:p w:rsidR="0001656D" w:rsidRDefault="0001656D" w:rsidP="005E3000">
      <w:pPr>
        <w:pStyle w:val="Paragraph"/>
        <w:keepNext/>
        <w:spacing w:after="0"/>
      </w:pPr>
    </w:p>
    <w:p w:rsidR="00082E2A" w:rsidRDefault="00FB35D0" w:rsidP="005E3000">
      <w:pPr>
        <w:pStyle w:val="Paragraph"/>
        <w:keepNext/>
        <w:spacing w:after="0"/>
      </w:pPr>
      <w:r w:rsidRPr="00D275EA">
        <w:t>Carcinogenic</w:t>
      </w:r>
      <w:r>
        <w:t>i</w:t>
      </w:r>
      <w:r w:rsidRPr="00D275EA">
        <w:t>ty studies have not been conducted with lorlatinib.</w:t>
      </w:r>
      <w:r>
        <w:t xml:space="preserve"> Lorlatinib was aneugenic in an </w:t>
      </w:r>
      <w:r w:rsidRPr="009F1817">
        <w:t>in vitro</w:t>
      </w:r>
      <w:r>
        <w:t xml:space="preserve"> assay in human lymphoblastoid TK6 cells and positive for micronuclei formation </w:t>
      </w:r>
      <w:r w:rsidRPr="009F1817">
        <w:t>in vivo</w:t>
      </w:r>
      <w:r>
        <w:t xml:space="preserve"> in the bone marrow of rats. </w:t>
      </w:r>
      <w:r w:rsidR="00082E2A" w:rsidRPr="00D275EA">
        <w:t>Lorlatinib was not mutagenic in a</w:t>
      </w:r>
      <w:r w:rsidR="00082E2A">
        <w:t xml:space="preserve">n </w:t>
      </w:r>
      <w:r w:rsidR="00082E2A" w:rsidRPr="009F1817">
        <w:t>in vitro</w:t>
      </w:r>
      <w:r w:rsidR="00082E2A" w:rsidRPr="00D275EA">
        <w:t xml:space="preserve"> bacterial reverse mutation (Ames) assay.</w:t>
      </w:r>
    </w:p>
    <w:p w:rsidR="0001656D" w:rsidRDefault="0001656D" w:rsidP="001E1D15">
      <w:pPr>
        <w:pStyle w:val="Paragraph"/>
        <w:keepNext/>
        <w:spacing w:after="0"/>
      </w:pPr>
    </w:p>
    <w:p w:rsidR="00082E2A" w:rsidRDefault="00FE21C8" w:rsidP="001E1D15">
      <w:pPr>
        <w:pStyle w:val="Paragraph"/>
        <w:spacing w:after="0"/>
      </w:pPr>
      <w:r>
        <w:t xml:space="preserve">Dedicated fertility studies were not conducted with lorlatinib. </w:t>
      </w:r>
      <w:r w:rsidR="00082E2A">
        <w:t>Findings in male reproductive organs occurred in repeat-dose toxicity studies and included lower testicular, e</w:t>
      </w:r>
      <w:r w:rsidR="00316032">
        <w:t>pididymal, and prostate weights;</w:t>
      </w:r>
      <w:r w:rsidR="00082E2A">
        <w:t xml:space="preserve"> testicul</w:t>
      </w:r>
      <w:r w:rsidR="00316032">
        <w:t>ar tubular degeneration/atrophy;</w:t>
      </w:r>
      <w:r w:rsidR="00082E2A">
        <w:t xml:space="preserve"> prostatic atrophy</w:t>
      </w:r>
      <w:r w:rsidR="00316032">
        <w:t>;</w:t>
      </w:r>
      <w:r w:rsidR="00082E2A">
        <w:t xml:space="preserve"> and/or epididymal inflammation at</w:t>
      </w:r>
      <w:r w:rsidR="00B56A43">
        <w:t xml:space="preserve"> </w:t>
      </w:r>
      <w:r w:rsidR="00EF6F10">
        <w:t>15</w:t>
      </w:r>
      <w:r w:rsidR="00802F7D">
        <w:t xml:space="preserve"> </w:t>
      </w:r>
      <w:r w:rsidR="00CC700C">
        <w:t xml:space="preserve">mg/kg/day </w:t>
      </w:r>
      <w:r w:rsidR="00B56A43">
        <w:t xml:space="preserve">and </w:t>
      </w:r>
      <w:r w:rsidR="00B3138C">
        <w:t>7</w:t>
      </w:r>
      <w:r w:rsidR="0055340F">
        <w:t> </w:t>
      </w:r>
      <w:r w:rsidR="00B56A43">
        <w:t>mg/kg/day in rats and dogs, respectively</w:t>
      </w:r>
      <w:r w:rsidR="00316032" w:rsidRPr="00D275EA">
        <w:t xml:space="preserve"> </w:t>
      </w:r>
      <w:r w:rsidR="00B56A43" w:rsidRPr="00D275EA">
        <w:t>(</w:t>
      </w:r>
      <w:r w:rsidR="00FB35D0" w:rsidRPr="00D275EA">
        <w:t xml:space="preserve">approximately </w:t>
      </w:r>
      <w:r w:rsidR="00FB35D0">
        <w:t>8</w:t>
      </w:r>
      <w:r w:rsidR="008B3E7C">
        <w:t xml:space="preserve"> </w:t>
      </w:r>
      <w:r w:rsidR="00FB35D0">
        <w:t xml:space="preserve">and 2 </w:t>
      </w:r>
      <w:r w:rsidR="00FB35D0" w:rsidRPr="00D275EA">
        <w:t>times</w:t>
      </w:r>
      <w:r w:rsidR="00316032">
        <w:t>, respectively,</w:t>
      </w:r>
      <w:r w:rsidR="00082E2A" w:rsidRPr="00D275EA">
        <w:t xml:space="preserve"> the human </w:t>
      </w:r>
      <w:r w:rsidR="0055340F">
        <w:t>exposure at</w:t>
      </w:r>
      <w:r w:rsidR="00D759BF">
        <w:t xml:space="preserve"> the recommended dose of</w:t>
      </w:r>
      <w:r w:rsidR="0055340F">
        <w:t xml:space="preserve"> 100 </w:t>
      </w:r>
      <w:r w:rsidR="00316032">
        <w:t xml:space="preserve">mg based on </w:t>
      </w:r>
      <w:r w:rsidR="001D7E6F">
        <w:t>AUC)</w:t>
      </w:r>
      <w:r w:rsidR="006C6C6E">
        <w:t>.</w:t>
      </w:r>
      <w:r w:rsidR="00082E2A" w:rsidRPr="00D275EA">
        <w:t xml:space="preserve"> The effects on male reproductive organs </w:t>
      </w:r>
      <w:r w:rsidR="00082E2A">
        <w:t>were</w:t>
      </w:r>
      <w:r w:rsidR="00082E2A" w:rsidRPr="00D275EA">
        <w:t xml:space="preserve"> reversible</w:t>
      </w:r>
      <w:r w:rsidR="006C6C6E">
        <w:t>.</w:t>
      </w:r>
    </w:p>
    <w:p w:rsidR="0001656D" w:rsidRDefault="0001656D" w:rsidP="001E1D15">
      <w:pPr>
        <w:pStyle w:val="Paragraph"/>
        <w:spacing w:after="0"/>
      </w:pPr>
    </w:p>
    <w:p w:rsidR="008E3688" w:rsidRPr="00C0057E" w:rsidRDefault="00195E01" w:rsidP="00C0057E">
      <w:pPr>
        <w:tabs>
          <w:tab w:val="left" w:pos="540"/>
        </w:tabs>
        <w:rPr>
          <w:b/>
          <w:sz w:val="24"/>
          <w:szCs w:val="24"/>
        </w:rPr>
      </w:pPr>
      <w:r w:rsidRPr="00C0057E">
        <w:rPr>
          <w:b/>
          <w:sz w:val="24"/>
          <w:szCs w:val="24"/>
        </w:rPr>
        <w:t>13.2</w:t>
      </w:r>
      <w:r w:rsidRPr="00C0057E">
        <w:rPr>
          <w:b/>
          <w:sz w:val="24"/>
          <w:szCs w:val="24"/>
        </w:rPr>
        <w:tab/>
        <w:t>Animal Toxicology and/or Pharmacology</w:t>
      </w:r>
    </w:p>
    <w:p w:rsidR="0001656D" w:rsidRDefault="0001656D" w:rsidP="001E1D15">
      <w:pPr>
        <w:rPr>
          <w:sz w:val="24"/>
        </w:rPr>
      </w:pPr>
    </w:p>
    <w:p w:rsidR="008E3688" w:rsidRDefault="00FB35D0" w:rsidP="001E1D15">
      <w:pPr>
        <w:rPr>
          <w:sz w:val="24"/>
        </w:rPr>
      </w:pPr>
      <w:r>
        <w:rPr>
          <w:sz w:val="24"/>
        </w:rPr>
        <w:t>Distended abdomen, skin rash, and increased cholesterol and triglycerides occurred in animals. These findings were accompanied by hyperplasia and dilation of the bile ducts in the liver and acinar atrophy of the pancreas in rats at 15 mg/kg/day and in dogs at 2 mg/kg/day (approximately 8 and 0.5 times</w:t>
      </w:r>
      <w:r w:rsidR="007F1D34">
        <w:rPr>
          <w:sz w:val="24"/>
        </w:rPr>
        <w:t>, respectively,</w:t>
      </w:r>
      <w:r>
        <w:rPr>
          <w:sz w:val="24"/>
        </w:rPr>
        <w:t xml:space="preserve"> the human exposure at the recommended dose of 100 mg based on AUC).</w:t>
      </w:r>
      <w:r w:rsidR="004D614F">
        <w:rPr>
          <w:sz w:val="24"/>
        </w:rPr>
        <w:t xml:space="preserve"> All effects were reversible within the recovery period.</w:t>
      </w:r>
    </w:p>
    <w:p w:rsidR="0001656D" w:rsidRPr="00AB0B97" w:rsidRDefault="0001656D" w:rsidP="001E1D15">
      <w:pPr>
        <w:rPr>
          <w:sz w:val="24"/>
        </w:rPr>
      </w:pPr>
    </w:p>
    <w:p w:rsidR="00DD0D9A" w:rsidRPr="00BA5277" w:rsidRDefault="007A2306" w:rsidP="001E1D15">
      <w:pPr>
        <w:pStyle w:val="Heading1"/>
        <w:jc w:val="left"/>
        <w:rPr>
          <w:b w:val="0"/>
          <w:sz w:val="24"/>
          <w:szCs w:val="24"/>
        </w:rPr>
      </w:pPr>
      <w:bookmarkStart w:id="23" w:name="_Toc128065042"/>
      <w:r>
        <w:rPr>
          <w:sz w:val="24"/>
          <w:szCs w:val="24"/>
        </w:rPr>
        <w:t>14</w:t>
      </w:r>
      <w:r>
        <w:rPr>
          <w:sz w:val="24"/>
          <w:szCs w:val="24"/>
        </w:rPr>
        <w:tab/>
      </w:r>
      <w:r w:rsidR="00DC60E3">
        <w:rPr>
          <w:sz w:val="24"/>
          <w:szCs w:val="24"/>
        </w:rPr>
        <w:tab/>
      </w:r>
      <w:r w:rsidR="00DD0D9A" w:rsidRPr="00BA102E">
        <w:rPr>
          <w:sz w:val="24"/>
          <w:szCs w:val="24"/>
        </w:rPr>
        <w:t>CLINICAL STUDIES</w:t>
      </w:r>
      <w:bookmarkEnd w:id="23"/>
    </w:p>
    <w:p w:rsidR="0001656D" w:rsidRDefault="0001656D" w:rsidP="001E1D15">
      <w:pPr>
        <w:keepNext/>
        <w:rPr>
          <w:b/>
          <w:sz w:val="24"/>
          <w:szCs w:val="24"/>
        </w:rPr>
      </w:pPr>
    </w:p>
    <w:p w:rsidR="00BA5277" w:rsidRPr="005557B3" w:rsidRDefault="00BA5277" w:rsidP="00537838">
      <w:pPr>
        <w:tabs>
          <w:tab w:val="left" w:pos="540"/>
        </w:tabs>
        <w:rPr>
          <w:b/>
          <w:sz w:val="24"/>
          <w:szCs w:val="24"/>
        </w:rPr>
      </w:pPr>
      <w:r w:rsidRPr="005557B3">
        <w:rPr>
          <w:b/>
          <w:sz w:val="24"/>
          <w:szCs w:val="24"/>
        </w:rPr>
        <w:t xml:space="preserve">14.1 </w:t>
      </w:r>
      <w:r w:rsidRPr="005557B3">
        <w:rPr>
          <w:b/>
          <w:sz w:val="24"/>
          <w:szCs w:val="24"/>
        </w:rPr>
        <w:tab/>
        <w:t xml:space="preserve">ALK-Positive Metastatic NSCLC Previously Treated with an ALK Kinase Inhibitor </w:t>
      </w:r>
    </w:p>
    <w:p w:rsidR="0001656D" w:rsidRDefault="0001656D" w:rsidP="001E1D15">
      <w:pPr>
        <w:keepNext/>
        <w:tabs>
          <w:tab w:val="left" w:pos="5580"/>
        </w:tabs>
        <w:rPr>
          <w:sz w:val="24"/>
          <w:szCs w:val="24"/>
        </w:rPr>
      </w:pPr>
    </w:p>
    <w:p w:rsidR="00BA5277" w:rsidRDefault="00BA5277" w:rsidP="001E1D15">
      <w:pPr>
        <w:keepNext/>
        <w:tabs>
          <w:tab w:val="left" w:pos="5580"/>
        </w:tabs>
        <w:rPr>
          <w:sz w:val="24"/>
          <w:szCs w:val="24"/>
        </w:rPr>
      </w:pPr>
      <w:r w:rsidRPr="005557B3">
        <w:rPr>
          <w:sz w:val="24"/>
          <w:szCs w:val="24"/>
        </w:rPr>
        <w:t>The efficacy of LORBRENA was demonstrated in a subgroup of patients with ALK-positive metastatic non</w:t>
      </w:r>
      <w:r w:rsidR="0061014B">
        <w:rPr>
          <w:sz w:val="24"/>
          <w:szCs w:val="24"/>
        </w:rPr>
        <w:noBreakHyphen/>
      </w:r>
      <w:r w:rsidRPr="005557B3">
        <w:rPr>
          <w:sz w:val="24"/>
          <w:szCs w:val="24"/>
        </w:rPr>
        <w:t>small cell lung cancer (NSCLC) previously treated with one or more ALK kinase inhibitors who were enrolled in a non</w:t>
      </w:r>
      <w:r w:rsidRPr="005557B3">
        <w:rPr>
          <w:sz w:val="24"/>
          <w:szCs w:val="24"/>
        </w:rPr>
        <w:noBreakHyphen/>
        <w:t>randomized, dose-ranging and activity-estimating, multi</w:t>
      </w:r>
      <w:r w:rsidR="000574DD">
        <w:rPr>
          <w:sz w:val="24"/>
          <w:szCs w:val="24"/>
        </w:rPr>
        <w:noBreakHyphen/>
      </w:r>
      <w:r w:rsidRPr="005557B3">
        <w:rPr>
          <w:sz w:val="24"/>
          <w:szCs w:val="24"/>
        </w:rPr>
        <w:t xml:space="preserve">cohort, multicenter study (Study B7461001; </w:t>
      </w:r>
      <w:r w:rsidRPr="005557B3">
        <w:rPr>
          <w:bCs/>
          <w:sz w:val="24"/>
          <w:szCs w:val="24"/>
        </w:rPr>
        <w:t>NCT01970865</w:t>
      </w:r>
      <w:r w:rsidRPr="005557B3">
        <w:rPr>
          <w:sz w:val="24"/>
          <w:szCs w:val="24"/>
        </w:rPr>
        <w:t>). Patients included in this subgroup were required to have metastatic disease with at least 1 measurable target lesion according to Response Evaluation Criteria in Solid Tumors (RECIST) version 1.1 (v1.1), ECOG performance status of 0 to 2, and documented ALK rearrangement in tumor tissue as determined by fluorescence in situ hybridization (FISH) assay or by Immunohistochemistry (IHC), and received LORBRENA 100 mg orally once daily.</w:t>
      </w:r>
      <w:r>
        <w:rPr>
          <w:sz w:val="24"/>
          <w:szCs w:val="24"/>
        </w:rPr>
        <w:t xml:space="preserve"> </w:t>
      </w:r>
      <w:r w:rsidRPr="005557B3">
        <w:rPr>
          <w:sz w:val="24"/>
          <w:szCs w:val="24"/>
        </w:rPr>
        <w:t>Patients with asymptomatic CNS metastases, including patients with stable or decreasing steroid use within 2 weeks prior to study entry, were eligible. Patients with severe</w:t>
      </w:r>
      <w:r>
        <w:rPr>
          <w:sz w:val="24"/>
          <w:szCs w:val="24"/>
        </w:rPr>
        <w:t>,</w:t>
      </w:r>
      <w:r w:rsidRPr="005557B3">
        <w:rPr>
          <w:sz w:val="24"/>
          <w:szCs w:val="24"/>
        </w:rPr>
        <w:t xml:space="preserve"> acute</w:t>
      </w:r>
      <w:r w:rsidR="007F1D34">
        <w:rPr>
          <w:sz w:val="24"/>
          <w:szCs w:val="24"/>
        </w:rPr>
        <w:t>,</w:t>
      </w:r>
      <w:r w:rsidRPr="005557B3">
        <w:rPr>
          <w:sz w:val="24"/>
          <w:szCs w:val="24"/>
        </w:rPr>
        <w:t xml:space="preserve"> or chronic psychiatric conditions including suicidal ideation o</w:t>
      </w:r>
      <w:r>
        <w:rPr>
          <w:sz w:val="24"/>
          <w:szCs w:val="24"/>
        </w:rPr>
        <w:t>r</w:t>
      </w:r>
      <w:r w:rsidRPr="005557B3">
        <w:rPr>
          <w:sz w:val="24"/>
          <w:szCs w:val="24"/>
        </w:rPr>
        <w:t xml:space="preserve"> behavior were excluded. In addition, for patients with ALK-positive metastatic NSCLC, the extent and type of prior treatment was specified for each individual cohort </w:t>
      </w:r>
      <w:r w:rsidR="0067702D">
        <w:rPr>
          <w:sz w:val="24"/>
          <w:szCs w:val="24"/>
        </w:rPr>
        <w:t>(</w:t>
      </w:r>
      <w:r w:rsidRPr="005557B3">
        <w:rPr>
          <w:sz w:val="24"/>
          <w:szCs w:val="24"/>
        </w:rPr>
        <w:t xml:space="preserve">see </w:t>
      </w:r>
      <w:r w:rsidR="00F07361">
        <w:rPr>
          <w:sz w:val="24"/>
          <w:szCs w:val="24"/>
        </w:rPr>
        <w:t>T</w:t>
      </w:r>
      <w:r w:rsidRPr="005557B3">
        <w:rPr>
          <w:sz w:val="24"/>
          <w:szCs w:val="24"/>
        </w:rPr>
        <w:t xml:space="preserve">able </w:t>
      </w:r>
      <w:r w:rsidR="00492D1D">
        <w:rPr>
          <w:sz w:val="24"/>
          <w:szCs w:val="24"/>
        </w:rPr>
        <w:t>4</w:t>
      </w:r>
      <w:r w:rsidR="0067702D">
        <w:rPr>
          <w:sz w:val="24"/>
          <w:szCs w:val="24"/>
        </w:rPr>
        <w:t>)</w:t>
      </w:r>
      <w:r w:rsidRPr="005557B3">
        <w:rPr>
          <w:sz w:val="24"/>
          <w:szCs w:val="24"/>
        </w:rPr>
        <w:t>. The major efficacy outcome measures were overall response rate (ORR) and intracranial ORR, according to RECIST v1.1, as assessed by Independent Central Review (ICR) committee</w:t>
      </w:r>
      <w:r w:rsidR="00F07361">
        <w:rPr>
          <w:sz w:val="24"/>
          <w:szCs w:val="24"/>
        </w:rPr>
        <w:t>.</w:t>
      </w:r>
      <w:r w:rsidRPr="00A3075A">
        <w:rPr>
          <w:sz w:val="24"/>
          <w:szCs w:val="24"/>
        </w:rPr>
        <w:t xml:space="preserve"> </w:t>
      </w:r>
      <w:r w:rsidR="00F07361">
        <w:rPr>
          <w:sz w:val="24"/>
          <w:szCs w:val="24"/>
        </w:rPr>
        <w:t>D</w:t>
      </w:r>
      <w:r>
        <w:rPr>
          <w:sz w:val="24"/>
          <w:szCs w:val="24"/>
        </w:rPr>
        <w:t>ata</w:t>
      </w:r>
      <w:r w:rsidRPr="005557B3">
        <w:rPr>
          <w:sz w:val="24"/>
          <w:szCs w:val="24"/>
        </w:rPr>
        <w:t xml:space="preserve"> </w:t>
      </w:r>
      <w:r w:rsidR="00F07361">
        <w:rPr>
          <w:sz w:val="24"/>
          <w:szCs w:val="24"/>
        </w:rPr>
        <w:t xml:space="preserve">were pooled </w:t>
      </w:r>
      <w:r w:rsidRPr="005557B3">
        <w:rPr>
          <w:sz w:val="24"/>
          <w:szCs w:val="24"/>
        </w:rPr>
        <w:t xml:space="preserve">across </w:t>
      </w:r>
      <w:r>
        <w:rPr>
          <w:sz w:val="24"/>
          <w:szCs w:val="24"/>
        </w:rPr>
        <w:t>all</w:t>
      </w:r>
      <w:r w:rsidRPr="005557B3">
        <w:rPr>
          <w:sz w:val="24"/>
          <w:szCs w:val="24"/>
        </w:rPr>
        <w:t xml:space="preserve"> subgroups listed in Table </w:t>
      </w:r>
      <w:r w:rsidR="005025EA">
        <w:rPr>
          <w:sz w:val="24"/>
          <w:szCs w:val="24"/>
        </w:rPr>
        <w:t>4</w:t>
      </w:r>
      <w:r w:rsidRPr="005557B3">
        <w:rPr>
          <w:sz w:val="24"/>
          <w:szCs w:val="24"/>
        </w:rPr>
        <w:t>. Additional efficacy outcome measures included duration of response (DOR), and</w:t>
      </w:r>
      <w:r>
        <w:rPr>
          <w:sz w:val="24"/>
          <w:szCs w:val="24"/>
        </w:rPr>
        <w:t xml:space="preserve"> </w:t>
      </w:r>
      <w:r w:rsidRPr="005557B3">
        <w:rPr>
          <w:sz w:val="24"/>
          <w:szCs w:val="24"/>
        </w:rPr>
        <w:t>intracranial DOR.</w:t>
      </w:r>
    </w:p>
    <w:p w:rsidR="0001656D" w:rsidRPr="005557B3" w:rsidRDefault="0001656D" w:rsidP="001E1D15">
      <w:pPr>
        <w:keepNext/>
        <w:tabs>
          <w:tab w:val="left" w:pos="5580"/>
        </w:tabs>
        <w:rPr>
          <w:sz w:val="24"/>
          <w:szCs w:val="24"/>
        </w:rPr>
      </w:pPr>
    </w:p>
    <w:p w:rsidR="00BA5277" w:rsidRPr="005557B3" w:rsidRDefault="00BA5277" w:rsidP="001E1D15">
      <w:pPr>
        <w:pStyle w:val="CommentText"/>
        <w:rPr>
          <w:sz w:val="24"/>
          <w:szCs w:val="24"/>
        </w:rPr>
      </w:pPr>
      <w:r w:rsidRPr="005557B3">
        <w:rPr>
          <w:sz w:val="24"/>
          <w:szCs w:val="24"/>
        </w:rPr>
        <w:t>A total of 215 patients were enrolled</w:t>
      </w:r>
      <w:r>
        <w:rPr>
          <w:sz w:val="24"/>
          <w:szCs w:val="24"/>
        </w:rPr>
        <w:t xml:space="preserve"> across the</w:t>
      </w:r>
      <w:r w:rsidRPr="005557B3">
        <w:rPr>
          <w:sz w:val="24"/>
          <w:szCs w:val="24"/>
        </w:rPr>
        <w:t xml:space="preserve"> subgroup</w:t>
      </w:r>
      <w:r>
        <w:rPr>
          <w:sz w:val="24"/>
          <w:szCs w:val="24"/>
        </w:rPr>
        <w:t xml:space="preserve">s in Table </w:t>
      </w:r>
      <w:r w:rsidR="00492D1D">
        <w:rPr>
          <w:sz w:val="24"/>
          <w:szCs w:val="24"/>
        </w:rPr>
        <w:t>4</w:t>
      </w:r>
      <w:r w:rsidRPr="005557B3">
        <w:rPr>
          <w:sz w:val="24"/>
          <w:szCs w:val="24"/>
        </w:rPr>
        <w:t xml:space="preserve">. The distribution of patients by type and extent of prior therapy is provided in Table </w:t>
      </w:r>
      <w:r w:rsidR="00492D1D">
        <w:rPr>
          <w:sz w:val="24"/>
          <w:szCs w:val="24"/>
        </w:rPr>
        <w:t>4</w:t>
      </w:r>
      <w:r w:rsidRPr="005557B3">
        <w:rPr>
          <w:sz w:val="24"/>
          <w:szCs w:val="24"/>
        </w:rPr>
        <w:t xml:space="preserve">. The demographic characteristics </w:t>
      </w:r>
      <w:r>
        <w:rPr>
          <w:sz w:val="24"/>
          <w:szCs w:val="24"/>
        </w:rPr>
        <w:t xml:space="preserve">across all 215 patients </w:t>
      </w:r>
      <w:r w:rsidRPr="005557B3">
        <w:rPr>
          <w:sz w:val="24"/>
          <w:szCs w:val="24"/>
        </w:rPr>
        <w:t>were</w:t>
      </w:r>
      <w:r>
        <w:rPr>
          <w:sz w:val="24"/>
          <w:szCs w:val="24"/>
        </w:rPr>
        <w:t xml:space="preserve">: </w:t>
      </w:r>
      <w:r w:rsidRPr="005557B3">
        <w:rPr>
          <w:sz w:val="24"/>
          <w:szCs w:val="24"/>
        </w:rPr>
        <w:t>59% female,</w:t>
      </w:r>
      <w:r w:rsidRPr="005557B3">
        <w:rPr>
          <w:bCs/>
          <w:sz w:val="24"/>
          <w:szCs w:val="24"/>
        </w:rPr>
        <w:t xml:space="preserve"> </w:t>
      </w:r>
      <w:r w:rsidRPr="005557B3">
        <w:rPr>
          <w:sz w:val="24"/>
          <w:szCs w:val="24"/>
        </w:rPr>
        <w:t xml:space="preserve">51% White, 34% Asian, and the median age was 53 years (29 to 85 years) with 18% of patients ≥65 years. The ECOG performance status at baseline was 0 or 1 in 96% of patients. All patients had metastatic disease and 95% had adenocarcinoma. Brain metastases as identified by ICR were present in 69% of patients; of these, 60% had received prior radiation to the </w:t>
      </w:r>
      <w:r w:rsidR="00437A1A" w:rsidRPr="005557B3">
        <w:rPr>
          <w:sz w:val="24"/>
          <w:szCs w:val="24"/>
        </w:rPr>
        <w:t>brain</w:t>
      </w:r>
      <w:r w:rsidR="00437A1A">
        <w:rPr>
          <w:sz w:val="24"/>
          <w:szCs w:val="24"/>
        </w:rPr>
        <w:t xml:space="preserve"> and </w:t>
      </w:r>
      <w:r w:rsidR="0027509E">
        <w:rPr>
          <w:sz w:val="24"/>
          <w:szCs w:val="24"/>
        </w:rPr>
        <w:t>60</w:t>
      </w:r>
      <w:r w:rsidR="00437A1A">
        <w:rPr>
          <w:sz w:val="24"/>
          <w:szCs w:val="24"/>
        </w:rPr>
        <w:t>% (n=</w:t>
      </w:r>
      <w:r w:rsidR="00722A0B">
        <w:rPr>
          <w:sz w:val="24"/>
          <w:szCs w:val="24"/>
        </w:rPr>
        <w:t>89</w:t>
      </w:r>
      <w:r w:rsidR="00437A1A">
        <w:rPr>
          <w:sz w:val="24"/>
          <w:szCs w:val="24"/>
        </w:rPr>
        <w:t xml:space="preserve">) </w:t>
      </w:r>
      <w:r>
        <w:rPr>
          <w:sz w:val="24"/>
          <w:szCs w:val="24"/>
        </w:rPr>
        <w:t>had measurable disease per ICR</w:t>
      </w:r>
      <w:r w:rsidRPr="005557B3">
        <w:rPr>
          <w:sz w:val="24"/>
          <w:szCs w:val="24"/>
        </w:rPr>
        <w:t>.</w:t>
      </w:r>
    </w:p>
    <w:p w:rsidR="00BA5277" w:rsidRPr="005557B3" w:rsidRDefault="00BA5277" w:rsidP="001E1D15">
      <w:pPr>
        <w:pStyle w:val="CommentText"/>
        <w:keepNext/>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818"/>
      </w:tblGrid>
      <w:tr w:rsidR="00BA5277" w:rsidRPr="005557B3" w:rsidTr="00C731EA">
        <w:tc>
          <w:tcPr>
            <w:tcW w:w="9468" w:type="dxa"/>
            <w:gridSpan w:val="2"/>
            <w:tcBorders>
              <w:top w:val="nil"/>
              <w:left w:val="nil"/>
              <w:bottom w:val="single" w:sz="4" w:space="0" w:color="auto"/>
              <w:right w:val="nil"/>
            </w:tcBorders>
            <w:hideMark/>
          </w:tcPr>
          <w:p w:rsidR="00BA5277" w:rsidRPr="005557B3" w:rsidRDefault="00BA5277" w:rsidP="00AB31FD">
            <w:pPr>
              <w:keepNext/>
              <w:keepLines/>
              <w:tabs>
                <w:tab w:val="left" w:pos="1062"/>
              </w:tabs>
              <w:ind w:left="1062" w:hanging="1062"/>
              <w:rPr>
                <w:b/>
                <w:sz w:val="24"/>
                <w:szCs w:val="24"/>
              </w:rPr>
            </w:pPr>
            <w:r w:rsidRPr="005557B3">
              <w:rPr>
                <w:b/>
                <w:sz w:val="24"/>
                <w:szCs w:val="24"/>
              </w:rPr>
              <w:t xml:space="preserve">Table </w:t>
            </w:r>
            <w:r w:rsidR="00492D1D">
              <w:rPr>
                <w:b/>
                <w:sz w:val="24"/>
                <w:szCs w:val="24"/>
              </w:rPr>
              <w:t>4</w:t>
            </w:r>
            <w:r w:rsidRPr="005557B3">
              <w:rPr>
                <w:b/>
                <w:sz w:val="24"/>
                <w:szCs w:val="24"/>
              </w:rPr>
              <w:tab/>
              <w:t>Extent of Prior Therapy in the Subgroup of Patients with Previously Treated ALK-Positive Metastatic NSCLC in Study B7461001</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b/>
                <w:sz w:val="24"/>
                <w:szCs w:val="24"/>
              </w:rPr>
            </w:pPr>
            <w:r w:rsidRPr="005557B3">
              <w:rPr>
                <w:b/>
                <w:sz w:val="24"/>
                <w:szCs w:val="24"/>
              </w:rPr>
              <w:t>Extent of prior therapy</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b/>
                <w:sz w:val="24"/>
                <w:szCs w:val="24"/>
              </w:rPr>
            </w:pPr>
            <w:r w:rsidRPr="005557B3">
              <w:rPr>
                <w:b/>
                <w:sz w:val="24"/>
                <w:szCs w:val="24"/>
              </w:rPr>
              <w:t>Number of patients</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Prior crizotinib and no prior chemotherapy</w:t>
            </w:r>
            <w:r w:rsidR="00005869">
              <w:rPr>
                <w:sz w:val="24"/>
                <w:szCs w:val="24"/>
                <w:vertAlign w:val="superscript"/>
              </w:rPr>
              <w:t>a</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29</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Prior crizotinib and 1-2 lines of prior chemotherapy</w:t>
            </w:r>
            <w:r w:rsidR="00005869" w:rsidRPr="00005869">
              <w:rPr>
                <w:sz w:val="24"/>
                <w:szCs w:val="24"/>
                <w:vertAlign w:val="superscript"/>
              </w:rPr>
              <w:t>a</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35</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 xml:space="preserve">Prior ALK inhibitor (not crizotinib) </w:t>
            </w:r>
            <w:r>
              <w:rPr>
                <w:sz w:val="24"/>
                <w:szCs w:val="24"/>
              </w:rPr>
              <w:t xml:space="preserve">with or without </w:t>
            </w:r>
            <w:r w:rsidRPr="005557B3">
              <w:rPr>
                <w:sz w:val="24"/>
                <w:szCs w:val="24"/>
              </w:rPr>
              <w:t>prior chemotherapy</w:t>
            </w:r>
            <w:r w:rsidR="00005869" w:rsidRPr="00005869">
              <w:rPr>
                <w:sz w:val="24"/>
                <w:szCs w:val="24"/>
                <w:vertAlign w:val="superscript"/>
              </w:rPr>
              <w:t>a</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28</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 xml:space="preserve">Two prior ALK inhibitors </w:t>
            </w:r>
            <w:r>
              <w:rPr>
                <w:sz w:val="24"/>
                <w:szCs w:val="24"/>
              </w:rPr>
              <w:t>with or without</w:t>
            </w:r>
            <w:r w:rsidRPr="005557B3">
              <w:rPr>
                <w:sz w:val="24"/>
                <w:szCs w:val="24"/>
              </w:rPr>
              <w:t xml:space="preserve"> prior chemotherapy</w:t>
            </w:r>
            <w:r w:rsidR="00005869" w:rsidRPr="00005869">
              <w:rPr>
                <w:sz w:val="24"/>
                <w:szCs w:val="24"/>
                <w:vertAlign w:val="superscript"/>
              </w:rPr>
              <w:t>a</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75</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 xml:space="preserve">Three prior ALK inhibitors </w:t>
            </w:r>
            <w:r>
              <w:rPr>
                <w:sz w:val="24"/>
                <w:szCs w:val="24"/>
              </w:rPr>
              <w:t>with or without</w:t>
            </w:r>
            <w:r w:rsidRPr="005557B3">
              <w:rPr>
                <w:sz w:val="24"/>
                <w:szCs w:val="24"/>
              </w:rPr>
              <w:t xml:space="preserve"> prior chemotherapy</w:t>
            </w:r>
            <w:r w:rsidR="00005869" w:rsidRPr="00005869">
              <w:rPr>
                <w:sz w:val="24"/>
                <w:szCs w:val="24"/>
                <w:vertAlign w:val="superscript"/>
              </w:rPr>
              <w:t>a</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48</w:t>
            </w:r>
          </w:p>
        </w:tc>
      </w:tr>
      <w:tr w:rsidR="00BA5277" w:rsidRPr="005557B3" w:rsidTr="00005869">
        <w:tc>
          <w:tcPr>
            <w:tcW w:w="7650"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rPr>
                <w:sz w:val="24"/>
                <w:szCs w:val="24"/>
              </w:rPr>
            </w:pPr>
            <w:r w:rsidRPr="005557B3">
              <w:rPr>
                <w:sz w:val="24"/>
                <w:szCs w:val="24"/>
              </w:rPr>
              <w:t>Total</w:t>
            </w:r>
          </w:p>
        </w:tc>
        <w:tc>
          <w:tcPr>
            <w:tcW w:w="1818" w:type="dxa"/>
            <w:tcBorders>
              <w:top w:val="single" w:sz="4" w:space="0" w:color="auto"/>
              <w:left w:val="single" w:sz="4" w:space="0" w:color="auto"/>
              <w:bottom w:val="single" w:sz="4" w:space="0" w:color="auto"/>
              <w:right w:val="single" w:sz="4" w:space="0" w:color="auto"/>
            </w:tcBorders>
            <w:hideMark/>
          </w:tcPr>
          <w:p w:rsidR="00BA5277" w:rsidRPr="005557B3" w:rsidRDefault="00BA5277" w:rsidP="001E1D15">
            <w:pPr>
              <w:keepNext/>
              <w:jc w:val="center"/>
              <w:rPr>
                <w:sz w:val="24"/>
                <w:szCs w:val="24"/>
              </w:rPr>
            </w:pPr>
            <w:r w:rsidRPr="005557B3">
              <w:rPr>
                <w:sz w:val="24"/>
                <w:szCs w:val="24"/>
              </w:rPr>
              <w:t>215</w:t>
            </w:r>
          </w:p>
        </w:tc>
      </w:tr>
      <w:tr w:rsidR="00FC7182" w:rsidRPr="005557B3" w:rsidTr="00F07361">
        <w:trPr>
          <w:trHeight w:val="287"/>
        </w:trPr>
        <w:tc>
          <w:tcPr>
            <w:tcW w:w="9468" w:type="dxa"/>
            <w:gridSpan w:val="2"/>
            <w:tcBorders>
              <w:top w:val="single" w:sz="4" w:space="0" w:color="auto"/>
              <w:left w:val="nil"/>
              <w:bottom w:val="nil"/>
              <w:right w:val="nil"/>
            </w:tcBorders>
          </w:tcPr>
          <w:p w:rsidR="006845AE" w:rsidRPr="00C060CA" w:rsidRDefault="006845AE" w:rsidP="00FB2F11">
            <w:pPr>
              <w:keepNext/>
              <w:tabs>
                <w:tab w:val="left" w:pos="180"/>
              </w:tabs>
            </w:pPr>
            <w:r w:rsidRPr="00C060CA">
              <w:t xml:space="preserve">Abbreviations: </w:t>
            </w:r>
            <w:r>
              <w:t>ALK=</w:t>
            </w:r>
            <w:r w:rsidR="00550D59">
              <w:t>anaplastic lymphoma kinase; NSCLC=non</w:t>
            </w:r>
            <w:r w:rsidR="00550D59">
              <w:noBreakHyphen/>
              <w:t>small cell lung cancer.</w:t>
            </w:r>
          </w:p>
          <w:p w:rsidR="00FC7182" w:rsidRPr="005557B3" w:rsidRDefault="00005869" w:rsidP="00FB2F11">
            <w:pPr>
              <w:keepNext/>
              <w:tabs>
                <w:tab w:val="left" w:pos="180"/>
              </w:tabs>
              <w:rPr>
                <w:sz w:val="24"/>
                <w:szCs w:val="24"/>
              </w:rPr>
            </w:pPr>
            <w:r>
              <w:rPr>
                <w:vertAlign w:val="superscript"/>
              </w:rPr>
              <w:t>a</w:t>
            </w:r>
            <w:r w:rsidR="00FB2F11">
              <w:rPr>
                <w:vertAlign w:val="superscript"/>
              </w:rPr>
              <w:tab/>
            </w:r>
            <w:r w:rsidR="00FC7182" w:rsidRPr="00005869">
              <w:t>Chemotherapy administered in the metastatic setting</w:t>
            </w:r>
            <w:r w:rsidR="00794C35">
              <w:t>.</w:t>
            </w:r>
          </w:p>
        </w:tc>
      </w:tr>
    </w:tbl>
    <w:p w:rsidR="005B7232" w:rsidRDefault="005B7232" w:rsidP="001E1D15">
      <w:pPr>
        <w:rPr>
          <w:sz w:val="24"/>
          <w:szCs w:val="24"/>
        </w:rPr>
      </w:pPr>
    </w:p>
    <w:p w:rsidR="00BA5277" w:rsidRDefault="00BA5277" w:rsidP="001E1D15">
      <w:pPr>
        <w:rPr>
          <w:sz w:val="24"/>
          <w:szCs w:val="24"/>
        </w:rPr>
      </w:pPr>
      <w:r>
        <w:rPr>
          <w:sz w:val="24"/>
          <w:szCs w:val="24"/>
        </w:rPr>
        <w:t>E</w:t>
      </w:r>
      <w:r w:rsidRPr="005557B3">
        <w:rPr>
          <w:sz w:val="24"/>
          <w:szCs w:val="24"/>
        </w:rPr>
        <w:t xml:space="preserve">fficacy results for Study B7461001 are </w:t>
      </w:r>
      <w:r>
        <w:rPr>
          <w:sz w:val="24"/>
          <w:szCs w:val="24"/>
        </w:rPr>
        <w:t>summarized</w:t>
      </w:r>
      <w:r w:rsidRPr="005557B3">
        <w:rPr>
          <w:sz w:val="24"/>
          <w:szCs w:val="24"/>
        </w:rPr>
        <w:t xml:space="preserve"> in Table</w:t>
      </w:r>
      <w:r w:rsidR="00436783">
        <w:rPr>
          <w:sz w:val="24"/>
          <w:szCs w:val="24"/>
        </w:rPr>
        <w:t>s</w:t>
      </w:r>
      <w:r w:rsidRPr="005557B3">
        <w:rPr>
          <w:sz w:val="24"/>
          <w:szCs w:val="24"/>
        </w:rPr>
        <w:t> </w:t>
      </w:r>
      <w:r w:rsidR="00492D1D">
        <w:rPr>
          <w:sz w:val="24"/>
          <w:szCs w:val="24"/>
        </w:rPr>
        <w:t>5</w:t>
      </w:r>
      <w:r w:rsidR="00436783">
        <w:rPr>
          <w:sz w:val="24"/>
          <w:szCs w:val="24"/>
        </w:rPr>
        <w:t xml:space="preserve"> and </w:t>
      </w:r>
      <w:r w:rsidR="00492D1D">
        <w:rPr>
          <w:sz w:val="24"/>
          <w:szCs w:val="24"/>
        </w:rPr>
        <w:t>6</w:t>
      </w:r>
      <w:r w:rsidRPr="005557B3">
        <w:rPr>
          <w:sz w:val="24"/>
          <w:szCs w:val="24"/>
        </w:rPr>
        <w:t xml:space="preserve">. </w:t>
      </w:r>
    </w:p>
    <w:p w:rsidR="00FB2F11" w:rsidRPr="005557B3" w:rsidRDefault="00FB2F11" w:rsidP="001E1D15">
      <w:pPr>
        <w:rPr>
          <w:sz w:val="24"/>
          <w:szCs w:val="24"/>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4230"/>
      </w:tblGrid>
      <w:tr w:rsidR="00BA5277" w:rsidRPr="005557B3" w:rsidTr="00AB31FD">
        <w:tc>
          <w:tcPr>
            <w:tcW w:w="9450" w:type="dxa"/>
            <w:gridSpan w:val="2"/>
            <w:tcBorders>
              <w:top w:val="nil"/>
              <w:left w:val="nil"/>
              <w:bottom w:val="single" w:sz="4" w:space="0" w:color="auto"/>
              <w:right w:val="nil"/>
            </w:tcBorders>
            <w:vAlign w:val="center"/>
            <w:hideMark/>
          </w:tcPr>
          <w:p w:rsidR="00BA5277" w:rsidRPr="005557B3" w:rsidRDefault="00BA5277" w:rsidP="00AB31FD">
            <w:pPr>
              <w:keepNext/>
              <w:keepLines/>
              <w:tabs>
                <w:tab w:val="left" w:pos="1062"/>
              </w:tabs>
              <w:ind w:left="1062" w:hanging="1062"/>
              <w:rPr>
                <w:b/>
                <w:sz w:val="24"/>
                <w:szCs w:val="24"/>
              </w:rPr>
            </w:pPr>
            <w:r w:rsidRPr="005557B3">
              <w:rPr>
                <w:b/>
                <w:sz w:val="24"/>
                <w:szCs w:val="24"/>
              </w:rPr>
              <w:t>Table </w:t>
            </w:r>
            <w:r w:rsidR="00492D1D">
              <w:rPr>
                <w:b/>
                <w:sz w:val="24"/>
                <w:szCs w:val="24"/>
              </w:rPr>
              <w:t>5</w:t>
            </w:r>
            <w:r w:rsidRPr="005557B3">
              <w:rPr>
                <w:b/>
                <w:sz w:val="24"/>
                <w:szCs w:val="24"/>
              </w:rPr>
              <w:tab/>
            </w:r>
            <w:r w:rsidR="00A527A6" w:rsidRPr="005557B3">
              <w:rPr>
                <w:b/>
                <w:sz w:val="24"/>
                <w:szCs w:val="24"/>
              </w:rPr>
              <w:t xml:space="preserve">Efficacy Results </w:t>
            </w:r>
            <w:r w:rsidRPr="005557B3">
              <w:rPr>
                <w:b/>
                <w:sz w:val="24"/>
                <w:szCs w:val="24"/>
              </w:rPr>
              <w:t>in Study B7461001</w:t>
            </w:r>
          </w:p>
        </w:tc>
      </w:tr>
      <w:tr w:rsidR="00AB31FD" w:rsidRPr="005557B3" w:rsidTr="00AB31FD">
        <w:tc>
          <w:tcPr>
            <w:tcW w:w="5220" w:type="dxa"/>
            <w:tcBorders>
              <w:top w:val="single" w:sz="4" w:space="0" w:color="auto"/>
              <w:left w:val="single" w:sz="4" w:space="0" w:color="auto"/>
              <w:bottom w:val="single" w:sz="4" w:space="0" w:color="auto"/>
              <w:right w:val="single" w:sz="4" w:space="0" w:color="auto"/>
            </w:tcBorders>
            <w:vAlign w:val="center"/>
          </w:tcPr>
          <w:p w:rsidR="00AB31FD" w:rsidRPr="005557B3" w:rsidRDefault="00AB31FD" w:rsidP="001E1D15">
            <w:pPr>
              <w:keepNext/>
              <w:keepLines/>
              <w:rPr>
                <w:b/>
                <w:sz w:val="24"/>
                <w:szCs w:val="24"/>
              </w:rPr>
            </w:pPr>
          </w:p>
          <w:p w:rsidR="00AB31FD" w:rsidRPr="005557B3" w:rsidRDefault="00AB31FD" w:rsidP="001E1D15">
            <w:pPr>
              <w:keepNext/>
              <w:keepLines/>
              <w:rPr>
                <w:b/>
                <w:sz w:val="24"/>
                <w:szCs w:val="24"/>
              </w:rPr>
            </w:pPr>
            <w:r w:rsidRPr="005557B3">
              <w:rPr>
                <w:b/>
                <w:sz w:val="24"/>
                <w:szCs w:val="24"/>
              </w:rPr>
              <w:t>Efficacy Parameter</w:t>
            </w:r>
          </w:p>
        </w:tc>
        <w:tc>
          <w:tcPr>
            <w:tcW w:w="4230" w:type="dxa"/>
            <w:tcBorders>
              <w:top w:val="single" w:sz="4" w:space="0" w:color="auto"/>
              <w:left w:val="single" w:sz="4" w:space="0" w:color="auto"/>
              <w:bottom w:val="single" w:sz="4" w:space="0" w:color="auto"/>
              <w:right w:val="single" w:sz="4" w:space="0" w:color="auto"/>
            </w:tcBorders>
            <w:vAlign w:val="center"/>
            <w:hideMark/>
          </w:tcPr>
          <w:p w:rsidR="00AB31FD" w:rsidRPr="005557B3" w:rsidRDefault="00AB31FD" w:rsidP="001E1D15">
            <w:pPr>
              <w:keepNext/>
              <w:keepLines/>
              <w:jc w:val="center"/>
              <w:rPr>
                <w:b/>
                <w:sz w:val="24"/>
                <w:szCs w:val="24"/>
              </w:rPr>
            </w:pPr>
            <w:r w:rsidRPr="005557B3">
              <w:rPr>
                <w:b/>
                <w:sz w:val="24"/>
                <w:szCs w:val="24"/>
              </w:rPr>
              <w:t>Overall</w:t>
            </w:r>
          </w:p>
          <w:p w:rsidR="00AB31FD" w:rsidRPr="005557B3" w:rsidRDefault="00AB31FD" w:rsidP="001E1D15">
            <w:pPr>
              <w:keepNext/>
              <w:keepLines/>
              <w:jc w:val="center"/>
              <w:rPr>
                <w:b/>
                <w:sz w:val="24"/>
                <w:szCs w:val="24"/>
              </w:rPr>
            </w:pPr>
            <w:r w:rsidRPr="005557B3">
              <w:rPr>
                <w:b/>
                <w:sz w:val="24"/>
                <w:szCs w:val="24"/>
              </w:rPr>
              <w:t>N=215</w:t>
            </w:r>
          </w:p>
        </w:tc>
      </w:tr>
      <w:tr w:rsidR="00AB31FD" w:rsidRPr="005557B3" w:rsidTr="00AB31FD">
        <w:tc>
          <w:tcPr>
            <w:tcW w:w="5220" w:type="dxa"/>
            <w:tcBorders>
              <w:top w:val="single" w:sz="4" w:space="0" w:color="auto"/>
              <w:left w:val="single" w:sz="4" w:space="0" w:color="auto"/>
              <w:bottom w:val="single" w:sz="4" w:space="0" w:color="auto"/>
              <w:right w:val="single" w:sz="4" w:space="0" w:color="auto"/>
            </w:tcBorders>
            <w:hideMark/>
          </w:tcPr>
          <w:p w:rsidR="00AB31FD" w:rsidRPr="005557B3" w:rsidRDefault="00AB31FD" w:rsidP="001E1D15">
            <w:pPr>
              <w:keepNext/>
              <w:keepLines/>
              <w:rPr>
                <w:sz w:val="24"/>
                <w:szCs w:val="24"/>
              </w:rPr>
            </w:pPr>
            <w:r w:rsidRPr="005557B3">
              <w:rPr>
                <w:b/>
                <w:sz w:val="24"/>
                <w:szCs w:val="24"/>
              </w:rPr>
              <w:t>Overall response rate</w:t>
            </w:r>
            <w:r w:rsidRPr="005557B3">
              <w:rPr>
                <w:b/>
                <w:sz w:val="24"/>
                <w:szCs w:val="24"/>
                <w:vertAlign w:val="superscript"/>
              </w:rPr>
              <w:t>a</w:t>
            </w:r>
            <w:r w:rsidRPr="005557B3">
              <w:rPr>
                <w:sz w:val="24"/>
                <w:szCs w:val="24"/>
              </w:rPr>
              <w:t xml:space="preserve"> (95% CI)</w:t>
            </w:r>
            <w:r w:rsidRPr="005557B3">
              <w:rPr>
                <w:sz w:val="24"/>
                <w:szCs w:val="24"/>
                <w:vertAlign w:val="superscript"/>
              </w:rPr>
              <w:t>b</w:t>
            </w:r>
          </w:p>
          <w:p w:rsidR="00AB31FD" w:rsidRPr="005557B3" w:rsidRDefault="00AB31FD" w:rsidP="001E1D15">
            <w:pPr>
              <w:keepNext/>
              <w:keepLines/>
              <w:ind w:left="162"/>
              <w:rPr>
                <w:sz w:val="24"/>
                <w:szCs w:val="24"/>
              </w:rPr>
            </w:pPr>
            <w:r w:rsidRPr="005557B3">
              <w:rPr>
                <w:sz w:val="24"/>
                <w:szCs w:val="24"/>
              </w:rPr>
              <w:t xml:space="preserve">Complete response </w:t>
            </w:r>
          </w:p>
          <w:p w:rsidR="00AB31FD" w:rsidRPr="005557B3" w:rsidRDefault="00AB31FD" w:rsidP="001E1D15">
            <w:pPr>
              <w:keepNext/>
              <w:keepLines/>
              <w:ind w:left="162"/>
              <w:rPr>
                <w:sz w:val="24"/>
                <w:szCs w:val="24"/>
              </w:rPr>
            </w:pPr>
            <w:r w:rsidRPr="005557B3">
              <w:rPr>
                <w:sz w:val="24"/>
                <w:szCs w:val="24"/>
              </w:rPr>
              <w:t>Partial response</w:t>
            </w:r>
          </w:p>
        </w:tc>
        <w:tc>
          <w:tcPr>
            <w:tcW w:w="4230" w:type="dxa"/>
            <w:tcBorders>
              <w:top w:val="single" w:sz="4" w:space="0" w:color="auto"/>
              <w:left w:val="single" w:sz="4" w:space="0" w:color="auto"/>
              <w:bottom w:val="single" w:sz="4" w:space="0" w:color="auto"/>
              <w:right w:val="single" w:sz="4" w:space="0" w:color="auto"/>
            </w:tcBorders>
            <w:hideMark/>
          </w:tcPr>
          <w:p w:rsidR="00AB31FD" w:rsidRPr="005557B3" w:rsidRDefault="00AB31FD" w:rsidP="00B81EAE">
            <w:pPr>
              <w:keepNext/>
              <w:keepLines/>
              <w:jc w:val="center"/>
              <w:rPr>
                <w:sz w:val="24"/>
                <w:szCs w:val="24"/>
              </w:rPr>
            </w:pPr>
            <w:r w:rsidRPr="005557B3">
              <w:rPr>
                <w:sz w:val="24"/>
                <w:szCs w:val="24"/>
              </w:rPr>
              <w:t>48% (4</w:t>
            </w:r>
            <w:r>
              <w:rPr>
                <w:sz w:val="24"/>
                <w:szCs w:val="24"/>
              </w:rPr>
              <w:t>2</w:t>
            </w:r>
            <w:r w:rsidRPr="005557B3">
              <w:rPr>
                <w:sz w:val="24"/>
                <w:szCs w:val="24"/>
              </w:rPr>
              <w:t>, 55)</w:t>
            </w:r>
          </w:p>
          <w:p w:rsidR="004A204E" w:rsidRPr="005557B3" w:rsidRDefault="004A204E" w:rsidP="004A204E">
            <w:pPr>
              <w:keepNext/>
              <w:keepLines/>
              <w:jc w:val="center"/>
              <w:rPr>
                <w:sz w:val="24"/>
                <w:szCs w:val="24"/>
              </w:rPr>
            </w:pPr>
            <w:r>
              <w:rPr>
                <w:sz w:val="24"/>
                <w:szCs w:val="24"/>
              </w:rPr>
              <w:t>4</w:t>
            </w:r>
            <w:r w:rsidRPr="005557B3">
              <w:rPr>
                <w:sz w:val="24"/>
                <w:szCs w:val="24"/>
              </w:rPr>
              <w:t>%</w:t>
            </w:r>
          </w:p>
          <w:p w:rsidR="00AB31FD" w:rsidRPr="005557B3" w:rsidRDefault="004A204E" w:rsidP="004A204E">
            <w:pPr>
              <w:keepNext/>
              <w:keepLines/>
              <w:jc w:val="center"/>
              <w:rPr>
                <w:sz w:val="24"/>
                <w:szCs w:val="24"/>
              </w:rPr>
            </w:pPr>
            <w:r>
              <w:rPr>
                <w:sz w:val="24"/>
                <w:szCs w:val="24"/>
              </w:rPr>
              <w:t>44</w:t>
            </w:r>
            <w:r w:rsidR="00A60AA9">
              <w:rPr>
                <w:sz w:val="24"/>
                <w:szCs w:val="24"/>
              </w:rPr>
              <w:t>%</w:t>
            </w:r>
          </w:p>
        </w:tc>
      </w:tr>
      <w:tr w:rsidR="00AB31FD" w:rsidRPr="005557B3" w:rsidTr="00AB31FD">
        <w:tc>
          <w:tcPr>
            <w:tcW w:w="5220" w:type="dxa"/>
            <w:tcBorders>
              <w:top w:val="single" w:sz="4" w:space="0" w:color="auto"/>
              <w:left w:val="single" w:sz="4" w:space="0" w:color="auto"/>
              <w:bottom w:val="single" w:sz="4" w:space="0" w:color="auto"/>
              <w:right w:val="single" w:sz="4" w:space="0" w:color="auto"/>
            </w:tcBorders>
            <w:hideMark/>
          </w:tcPr>
          <w:p w:rsidR="00AB31FD" w:rsidRPr="005557B3" w:rsidRDefault="00AB31FD" w:rsidP="001E1D15">
            <w:pPr>
              <w:keepNext/>
              <w:keepLines/>
              <w:rPr>
                <w:b/>
                <w:sz w:val="24"/>
                <w:szCs w:val="24"/>
              </w:rPr>
            </w:pPr>
            <w:r w:rsidRPr="005557B3">
              <w:rPr>
                <w:b/>
                <w:sz w:val="24"/>
                <w:szCs w:val="24"/>
              </w:rPr>
              <w:t>Duration of response</w:t>
            </w:r>
          </w:p>
          <w:p w:rsidR="00AB31FD" w:rsidRPr="005557B3" w:rsidRDefault="00AB31FD" w:rsidP="001E1D15">
            <w:pPr>
              <w:keepNext/>
              <w:keepLines/>
              <w:ind w:left="162"/>
              <w:rPr>
                <w:sz w:val="24"/>
                <w:szCs w:val="24"/>
              </w:rPr>
            </w:pPr>
            <w:r w:rsidRPr="005557B3">
              <w:rPr>
                <w:sz w:val="24"/>
                <w:szCs w:val="24"/>
              </w:rPr>
              <w:t>Median, months</w:t>
            </w:r>
            <w:r w:rsidRPr="005557B3">
              <w:rPr>
                <w:sz w:val="24"/>
                <w:szCs w:val="24"/>
                <w:vertAlign w:val="superscript"/>
              </w:rPr>
              <w:t>c</w:t>
            </w:r>
            <w:r w:rsidRPr="005557B3">
              <w:rPr>
                <w:sz w:val="24"/>
                <w:szCs w:val="24"/>
              </w:rPr>
              <w:t xml:space="preserve"> (95% CI)</w:t>
            </w:r>
          </w:p>
        </w:tc>
        <w:tc>
          <w:tcPr>
            <w:tcW w:w="4230" w:type="dxa"/>
            <w:tcBorders>
              <w:top w:val="single" w:sz="4" w:space="0" w:color="auto"/>
              <w:left w:val="single" w:sz="4" w:space="0" w:color="auto"/>
              <w:bottom w:val="single" w:sz="4" w:space="0" w:color="auto"/>
              <w:right w:val="single" w:sz="4" w:space="0" w:color="auto"/>
            </w:tcBorders>
          </w:tcPr>
          <w:p w:rsidR="00AB31FD" w:rsidRPr="005557B3" w:rsidRDefault="00AB31FD" w:rsidP="00B81EAE">
            <w:pPr>
              <w:keepNext/>
              <w:keepLines/>
              <w:jc w:val="center"/>
              <w:rPr>
                <w:sz w:val="24"/>
                <w:szCs w:val="24"/>
              </w:rPr>
            </w:pPr>
          </w:p>
          <w:p w:rsidR="00AB31FD" w:rsidRPr="005557B3" w:rsidRDefault="00AB31FD" w:rsidP="00B81EAE">
            <w:pPr>
              <w:keepNext/>
              <w:keepLines/>
              <w:jc w:val="center"/>
              <w:rPr>
                <w:b/>
                <w:sz w:val="24"/>
                <w:szCs w:val="24"/>
              </w:rPr>
            </w:pPr>
            <w:r w:rsidRPr="005557B3">
              <w:rPr>
                <w:sz w:val="24"/>
                <w:szCs w:val="24"/>
              </w:rPr>
              <w:t>12.5 (</w:t>
            </w:r>
            <w:r>
              <w:rPr>
                <w:sz w:val="24"/>
                <w:szCs w:val="24"/>
              </w:rPr>
              <w:t>8.4</w:t>
            </w:r>
            <w:r w:rsidRPr="005557B3">
              <w:rPr>
                <w:sz w:val="24"/>
                <w:szCs w:val="24"/>
              </w:rPr>
              <w:t>, 23.7)</w:t>
            </w:r>
          </w:p>
        </w:tc>
      </w:tr>
      <w:tr w:rsidR="00FC7182" w:rsidRPr="005557B3" w:rsidTr="00AB31FD">
        <w:tc>
          <w:tcPr>
            <w:tcW w:w="9450" w:type="dxa"/>
            <w:gridSpan w:val="2"/>
            <w:tcBorders>
              <w:top w:val="single" w:sz="4" w:space="0" w:color="auto"/>
              <w:left w:val="nil"/>
              <w:bottom w:val="nil"/>
              <w:right w:val="nil"/>
            </w:tcBorders>
          </w:tcPr>
          <w:p w:rsidR="00FC7182" w:rsidRPr="00FC7182" w:rsidRDefault="00FC7182" w:rsidP="001E1D15">
            <w:pPr>
              <w:pStyle w:val="NoSpacing"/>
              <w:tabs>
                <w:tab w:val="left" w:pos="540"/>
              </w:tabs>
              <w:ind w:left="-18"/>
              <w:rPr>
                <w:rFonts w:ascii="Times New Roman" w:hAnsi="Times New Roman"/>
                <w:sz w:val="20"/>
                <w:szCs w:val="20"/>
              </w:rPr>
            </w:pPr>
            <w:r w:rsidRPr="00FC7182">
              <w:rPr>
                <w:rFonts w:ascii="Times New Roman" w:hAnsi="Times New Roman"/>
                <w:sz w:val="20"/>
                <w:szCs w:val="20"/>
              </w:rPr>
              <w:t>Abbreviations: CI=confidence interval; N=number of patients.</w:t>
            </w:r>
          </w:p>
          <w:p w:rsidR="00FC7182" w:rsidRPr="00FC7182" w:rsidRDefault="00FC7182" w:rsidP="001E1D15">
            <w:pPr>
              <w:pStyle w:val="NoSpacing"/>
              <w:tabs>
                <w:tab w:val="left" w:pos="162"/>
              </w:tabs>
              <w:ind w:left="-18"/>
              <w:rPr>
                <w:rFonts w:ascii="Times New Roman" w:hAnsi="Times New Roman"/>
                <w:sz w:val="20"/>
                <w:szCs w:val="20"/>
              </w:rPr>
            </w:pPr>
            <w:r w:rsidRPr="00FC7182">
              <w:rPr>
                <w:rFonts w:ascii="Times New Roman" w:hAnsi="Times New Roman"/>
                <w:sz w:val="20"/>
                <w:szCs w:val="20"/>
                <w:vertAlign w:val="superscript"/>
              </w:rPr>
              <w:t>a</w:t>
            </w:r>
            <w:r w:rsidRPr="00FC7182">
              <w:rPr>
                <w:rFonts w:ascii="Times New Roman" w:hAnsi="Times New Roman"/>
                <w:iCs/>
                <w:color w:val="000000"/>
                <w:sz w:val="20"/>
                <w:szCs w:val="20"/>
              </w:rPr>
              <w:tab/>
            </w:r>
            <w:r w:rsidRPr="00FC7182">
              <w:rPr>
                <w:rFonts w:ascii="Times New Roman" w:hAnsi="Times New Roman"/>
                <w:sz w:val="20"/>
                <w:szCs w:val="20"/>
              </w:rPr>
              <w:t xml:space="preserve">Per </w:t>
            </w:r>
            <w:r w:rsidR="00100AD9" w:rsidRPr="00FC7182">
              <w:rPr>
                <w:rFonts w:ascii="Times New Roman" w:hAnsi="Times New Roman"/>
                <w:sz w:val="20"/>
                <w:szCs w:val="20"/>
              </w:rPr>
              <w:t>Independent Central Review</w:t>
            </w:r>
            <w:r w:rsidRPr="00FC7182">
              <w:rPr>
                <w:rFonts w:ascii="Times New Roman" w:hAnsi="Times New Roman"/>
                <w:sz w:val="20"/>
                <w:szCs w:val="20"/>
              </w:rPr>
              <w:t>.</w:t>
            </w:r>
          </w:p>
          <w:p w:rsidR="00FC7182" w:rsidRPr="00FC7182" w:rsidRDefault="00FC7182" w:rsidP="001E1D15">
            <w:pPr>
              <w:pStyle w:val="NoSpacing"/>
              <w:tabs>
                <w:tab w:val="left" w:pos="162"/>
              </w:tabs>
              <w:ind w:left="-14"/>
              <w:rPr>
                <w:rFonts w:ascii="Times New Roman" w:hAnsi="Times New Roman"/>
                <w:sz w:val="20"/>
                <w:szCs w:val="20"/>
              </w:rPr>
            </w:pPr>
            <w:r w:rsidRPr="00FC7182">
              <w:rPr>
                <w:rFonts w:ascii="Times New Roman" w:hAnsi="Times New Roman"/>
                <w:sz w:val="20"/>
                <w:szCs w:val="20"/>
                <w:vertAlign w:val="superscript"/>
              </w:rPr>
              <w:t>b</w:t>
            </w:r>
            <w:r w:rsidRPr="00FC7182">
              <w:rPr>
                <w:rFonts w:ascii="Times New Roman" w:hAnsi="Times New Roman"/>
                <w:iCs/>
                <w:color w:val="000000"/>
                <w:sz w:val="20"/>
                <w:szCs w:val="20"/>
              </w:rPr>
              <w:tab/>
            </w:r>
            <w:r w:rsidRPr="00FC7182">
              <w:rPr>
                <w:rFonts w:ascii="Times New Roman" w:hAnsi="Times New Roman"/>
                <w:sz w:val="20"/>
                <w:szCs w:val="20"/>
              </w:rPr>
              <w:t>Using exact method based on binomial distribution.</w:t>
            </w:r>
          </w:p>
          <w:p w:rsidR="00FC7182" w:rsidRPr="005557B3" w:rsidRDefault="00FC7182" w:rsidP="001E1D15">
            <w:pPr>
              <w:pStyle w:val="TableTextCentered"/>
              <w:keepNext/>
              <w:keepLines/>
              <w:tabs>
                <w:tab w:val="left" w:pos="158"/>
              </w:tabs>
              <w:overflowPunct w:val="0"/>
              <w:autoSpaceDE w:val="0"/>
              <w:autoSpaceDN w:val="0"/>
              <w:adjustRightInd w:val="0"/>
              <w:jc w:val="left"/>
              <w:textAlignment w:val="baseline"/>
              <w:rPr>
                <w:sz w:val="24"/>
                <w:szCs w:val="24"/>
              </w:rPr>
            </w:pPr>
            <w:r w:rsidRPr="00FC7182">
              <w:rPr>
                <w:vertAlign w:val="superscript"/>
              </w:rPr>
              <w:t>c</w:t>
            </w:r>
            <w:r w:rsidR="00C175F2" w:rsidRPr="00FC7182">
              <w:rPr>
                <w:iCs/>
                <w:color w:val="000000"/>
              </w:rPr>
              <w:tab/>
            </w:r>
            <w:r w:rsidRPr="00FC7182">
              <w:t>Estimated using the Kaplan Meier method.</w:t>
            </w:r>
          </w:p>
        </w:tc>
      </w:tr>
    </w:tbl>
    <w:p w:rsidR="008C6A03" w:rsidRDefault="008C6A03" w:rsidP="001E1D15">
      <w:pPr>
        <w:rPr>
          <w:rFonts w:eastAsia="Calibri"/>
          <w:sz w:val="24"/>
          <w:szCs w:val="24"/>
        </w:rPr>
      </w:pPr>
    </w:p>
    <w:p w:rsidR="00AB31FD" w:rsidRPr="00404C6F" w:rsidRDefault="00AB31FD" w:rsidP="00AB31FD">
      <w:pPr>
        <w:rPr>
          <w:color w:val="000000"/>
          <w:sz w:val="24"/>
          <w:szCs w:val="24"/>
        </w:rPr>
      </w:pPr>
      <w:r w:rsidRPr="00404C6F">
        <w:rPr>
          <w:color w:val="000000"/>
          <w:sz w:val="24"/>
          <w:szCs w:val="24"/>
        </w:rPr>
        <w:t xml:space="preserve">An assessment of intracranial ORR and </w:t>
      </w:r>
      <w:r w:rsidR="005025EA">
        <w:rPr>
          <w:color w:val="000000"/>
          <w:sz w:val="24"/>
          <w:szCs w:val="24"/>
        </w:rPr>
        <w:t xml:space="preserve">the </w:t>
      </w:r>
      <w:r w:rsidRPr="00404C6F">
        <w:rPr>
          <w:color w:val="000000"/>
          <w:sz w:val="24"/>
          <w:szCs w:val="24"/>
        </w:rPr>
        <w:t xml:space="preserve">duration of response for CNS metastases in the subgroup of </w:t>
      </w:r>
      <w:r w:rsidR="006C28C0">
        <w:rPr>
          <w:color w:val="000000"/>
          <w:sz w:val="24"/>
          <w:szCs w:val="24"/>
        </w:rPr>
        <w:t>89</w:t>
      </w:r>
      <w:r w:rsidR="00631D89">
        <w:rPr>
          <w:color w:val="000000"/>
          <w:sz w:val="24"/>
          <w:szCs w:val="24"/>
        </w:rPr>
        <w:t> </w:t>
      </w:r>
      <w:r w:rsidRPr="00404C6F">
        <w:rPr>
          <w:color w:val="000000"/>
          <w:sz w:val="24"/>
          <w:szCs w:val="24"/>
        </w:rPr>
        <w:t xml:space="preserve">patients in Study B7461001 with baseline measurable lesions in the CNS according to RECIST v1.1 </w:t>
      </w:r>
      <w:r w:rsidR="005025EA">
        <w:rPr>
          <w:color w:val="000000"/>
          <w:sz w:val="24"/>
          <w:szCs w:val="24"/>
        </w:rPr>
        <w:t>are</w:t>
      </w:r>
      <w:r w:rsidRPr="00404C6F">
        <w:rPr>
          <w:color w:val="000000"/>
          <w:sz w:val="24"/>
          <w:szCs w:val="24"/>
        </w:rPr>
        <w:t xml:space="preserve"> summarized in Table 6. </w:t>
      </w:r>
      <w:r w:rsidR="00A57C0A">
        <w:rPr>
          <w:color w:val="000000"/>
          <w:sz w:val="24"/>
          <w:szCs w:val="24"/>
        </w:rPr>
        <w:t>Of these, 56</w:t>
      </w:r>
      <w:r w:rsidRPr="00404C6F">
        <w:rPr>
          <w:color w:val="000000"/>
          <w:sz w:val="24"/>
          <w:szCs w:val="24"/>
        </w:rPr>
        <w:t xml:space="preserve"> (</w:t>
      </w:r>
      <w:r w:rsidR="00740A92">
        <w:rPr>
          <w:color w:val="000000"/>
          <w:sz w:val="24"/>
          <w:szCs w:val="24"/>
        </w:rPr>
        <w:t>63</w:t>
      </w:r>
      <w:r w:rsidRPr="00404C6F">
        <w:rPr>
          <w:color w:val="000000"/>
          <w:sz w:val="24"/>
          <w:szCs w:val="24"/>
        </w:rPr>
        <w:t xml:space="preserve">%) </w:t>
      </w:r>
      <w:r w:rsidRPr="006A1752">
        <w:rPr>
          <w:color w:val="000000"/>
          <w:sz w:val="24"/>
          <w:szCs w:val="24"/>
        </w:rPr>
        <w:t>patients</w:t>
      </w:r>
      <w:r w:rsidRPr="00404C6F">
        <w:rPr>
          <w:color w:val="000000"/>
          <w:sz w:val="24"/>
          <w:szCs w:val="24"/>
        </w:rPr>
        <w:t xml:space="preserve"> received prior brain </w:t>
      </w:r>
      <w:r w:rsidRPr="006A1752">
        <w:rPr>
          <w:color w:val="000000"/>
          <w:sz w:val="24"/>
          <w:szCs w:val="24"/>
        </w:rPr>
        <w:t>radiation</w:t>
      </w:r>
      <w:r w:rsidRPr="00404C6F">
        <w:rPr>
          <w:color w:val="000000"/>
          <w:sz w:val="24"/>
          <w:szCs w:val="24"/>
        </w:rPr>
        <w:t xml:space="preserve">, including </w:t>
      </w:r>
      <w:r w:rsidR="00740A92">
        <w:rPr>
          <w:color w:val="000000"/>
          <w:sz w:val="24"/>
          <w:szCs w:val="24"/>
        </w:rPr>
        <w:t>42</w:t>
      </w:r>
      <w:r w:rsidR="0079282F">
        <w:rPr>
          <w:color w:val="000000"/>
          <w:sz w:val="24"/>
          <w:szCs w:val="24"/>
        </w:rPr>
        <w:t xml:space="preserve"> patients</w:t>
      </w:r>
      <w:r w:rsidRPr="00404C6F">
        <w:rPr>
          <w:color w:val="000000"/>
          <w:sz w:val="24"/>
          <w:szCs w:val="24"/>
        </w:rPr>
        <w:t xml:space="preserve"> (</w:t>
      </w:r>
      <w:r w:rsidR="00740A92">
        <w:rPr>
          <w:color w:val="000000"/>
          <w:sz w:val="24"/>
          <w:szCs w:val="24"/>
        </w:rPr>
        <w:t>47</w:t>
      </w:r>
      <w:r w:rsidRPr="00404C6F">
        <w:rPr>
          <w:color w:val="000000"/>
          <w:sz w:val="24"/>
          <w:szCs w:val="24"/>
        </w:rPr>
        <w:t xml:space="preserve">%) </w:t>
      </w:r>
      <w:r w:rsidRPr="006A1752">
        <w:rPr>
          <w:color w:val="000000"/>
          <w:sz w:val="24"/>
          <w:szCs w:val="24"/>
        </w:rPr>
        <w:t>who</w:t>
      </w:r>
      <w:r w:rsidRPr="00404C6F">
        <w:rPr>
          <w:color w:val="000000"/>
          <w:sz w:val="24"/>
          <w:szCs w:val="24"/>
        </w:rPr>
        <w:t xml:space="preserve"> completed </w:t>
      </w:r>
      <w:r w:rsidR="00E833A3">
        <w:rPr>
          <w:color w:val="000000"/>
          <w:sz w:val="24"/>
          <w:szCs w:val="24"/>
        </w:rPr>
        <w:t xml:space="preserve">brain </w:t>
      </w:r>
      <w:r w:rsidRPr="00404C6F">
        <w:rPr>
          <w:color w:val="000000"/>
          <w:sz w:val="24"/>
          <w:szCs w:val="24"/>
        </w:rPr>
        <w:t>radiation treatment at least 6 months before starting treatment with LORBRENA.</w:t>
      </w:r>
    </w:p>
    <w:p w:rsidR="005B7232" w:rsidRDefault="005B7232" w:rsidP="001E1D15">
      <w:pPr>
        <w:rPr>
          <w:sz w:val="24"/>
          <w:szCs w:val="24"/>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4205"/>
      </w:tblGrid>
      <w:tr w:rsidR="0011606A" w:rsidRPr="005557B3" w:rsidTr="00310C9F">
        <w:tc>
          <w:tcPr>
            <w:tcW w:w="9450" w:type="dxa"/>
            <w:gridSpan w:val="2"/>
            <w:tcBorders>
              <w:top w:val="nil"/>
              <w:left w:val="nil"/>
              <w:bottom w:val="single" w:sz="4" w:space="0" w:color="auto"/>
              <w:right w:val="nil"/>
            </w:tcBorders>
            <w:vAlign w:val="center"/>
            <w:hideMark/>
          </w:tcPr>
          <w:p w:rsidR="0011606A" w:rsidRPr="005557B3" w:rsidRDefault="00715A0E" w:rsidP="001311CD">
            <w:pPr>
              <w:keepNext/>
              <w:keepLines/>
              <w:tabs>
                <w:tab w:val="left" w:pos="1062"/>
              </w:tabs>
              <w:ind w:left="1062" w:hanging="1062"/>
              <w:rPr>
                <w:b/>
                <w:sz w:val="24"/>
                <w:szCs w:val="24"/>
              </w:rPr>
            </w:pPr>
            <w:r w:rsidRPr="005557B3">
              <w:rPr>
                <w:b/>
                <w:sz w:val="24"/>
                <w:szCs w:val="24"/>
              </w:rPr>
              <w:t>Table </w:t>
            </w:r>
            <w:r>
              <w:rPr>
                <w:b/>
                <w:sz w:val="24"/>
                <w:szCs w:val="24"/>
              </w:rPr>
              <w:t>6</w:t>
            </w:r>
            <w:r w:rsidRPr="005557B3">
              <w:rPr>
                <w:b/>
                <w:sz w:val="24"/>
                <w:szCs w:val="24"/>
              </w:rPr>
              <w:tab/>
            </w:r>
            <w:r>
              <w:rPr>
                <w:b/>
                <w:sz w:val="24"/>
                <w:szCs w:val="24"/>
              </w:rPr>
              <w:t>Intracranial</w:t>
            </w:r>
            <w:r w:rsidR="001311CD">
              <w:rPr>
                <w:b/>
                <w:sz w:val="24"/>
                <w:szCs w:val="24"/>
              </w:rPr>
              <w:t xml:space="preserve"> Response Rate in </w:t>
            </w:r>
            <w:r w:rsidRPr="005557B3">
              <w:rPr>
                <w:b/>
                <w:sz w:val="24"/>
                <w:szCs w:val="24"/>
              </w:rPr>
              <w:t>Patients with</w:t>
            </w:r>
            <w:r w:rsidR="001311CD">
              <w:rPr>
                <w:b/>
                <w:sz w:val="24"/>
                <w:szCs w:val="24"/>
              </w:rPr>
              <w:t xml:space="preserve"> Measurable Intracranial Lesions</w:t>
            </w:r>
            <w:r w:rsidR="001311CD" w:rsidRPr="005557B3">
              <w:rPr>
                <w:b/>
                <w:sz w:val="24"/>
                <w:szCs w:val="24"/>
              </w:rPr>
              <w:t xml:space="preserve"> </w:t>
            </w:r>
            <w:r w:rsidRPr="005557B3">
              <w:rPr>
                <w:b/>
                <w:sz w:val="24"/>
                <w:szCs w:val="24"/>
              </w:rPr>
              <w:t>in Study</w:t>
            </w:r>
            <w:r w:rsidR="00631D89">
              <w:rPr>
                <w:b/>
                <w:sz w:val="24"/>
                <w:szCs w:val="24"/>
              </w:rPr>
              <w:t> </w:t>
            </w:r>
            <w:r w:rsidRPr="005557B3">
              <w:rPr>
                <w:b/>
                <w:sz w:val="24"/>
                <w:szCs w:val="24"/>
              </w:rPr>
              <w:t>B7461001</w:t>
            </w:r>
          </w:p>
        </w:tc>
      </w:tr>
      <w:tr w:rsidR="00715A0E" w:rsidRPr="005557B3" w:rsidTr="00310C9F">
        <w:tc>
          <w:tcPr>
            <w:tcW w:w="5245" w:type="dxa"/>
            <w:tcBorders>
              <w:top w:val="single" w:sz="4" w:space="0" w:color="auto"/>
              <w:left w:val="single" w:sz="4" w:space="0" w:color="auto"/>
              <w:bottom w:val="single" w:sz="4" w:space="0" w:color="auto"/>
              <w:right w:val="single" w:sz="4" w:space="0" w:color="auto"/>
            </w:tcBorders>
            <w:vAlign w:val="center"/>
          </w:tcPr>
          <w:p w:rsidR="00715A0E" w:rsidRPr="005557B3" w:rsidRDefault="00715A0E" w:rsidP="00B81EAE">
            <w:pPr>
              <w:keepNext/>
              <w:keepLines/>
              <w:rPr>
                <w:b/>
                <w:sz w:val="24"/>
                <w:szCs w:val="24"/>
              </w:rPr>
            </w:pPr>
          </w:p>
          <w:p w:rsidR="00715A0E" w:rsidRPr="005557B3" w:rsidRDefault="00715A0E" w:rsidP="00B81EAE">
            <w:pPr>
              <w:keepNext/>
              <w:keepLines/>
              <w:rPr>
                <w:b/>
                <w:sz w:val="24"/>
                <w:szCs w:val="24"/>
              </w:rPr>
            </w:pPr>
            <w:r w:rsidRPr="005557B3">
              <w:rPr>
                <w:b/>
                <w:sz w:val="24"/>
                <w:szCs w:val="24"/>
              </w:rPr>
              <w:t>Efficacy Parameter</w:t>
            </w:r>
          </w:p>
        </w:tc>
        <w:tc>
          <w:tcPr>
            <w:tcW w:w="4205" w:type="dxa"/>
            <w:tcBorders>
              <w:top w:val="single" w:sz="4" w:space="0" w:color="auto"/>
              <w:left w:val="single" w:sz="4" w:space="0" w:color="auto"/>
              <w:bottom w:val="single" w:sz="4" w:space="0" w:color="auto"/>
              <w:right w:val="single" w:sz="4" w:space="0" w:color="auto"/>
            </w:tcBorders>
            <w:vAlign w:val="center"/>
            <w:hideMark/>
          </w:tcPr>
          <w:p w:rsidR="00715A0E" w:rsidRPr="005557B3" w:rsidRDefault="00715A0E" w:rsidP="00B81EAE">
            <w:pPr>
              <w:keepNext/>
              <w:keepLines/>
              <w:jc w:val="center"/>
              <w:rPr>
                <w:b/>
                <w:sz w:val="24"/>
                <w:szCs w:val="24"/>
              </w:rPr>
            </w:pPr>
            <w:r w:rsidRPr="005557B3">
              <w:rPr>
                <w:b/>
                <w:sz w:val="24"/>
                <w:szCs w:val="24"/>
              </w:rPr>
              <w:t>Intracranial</w:t>
            </w:r>
          </w:p>
          <w:p w:rsidR="00715A0E" w:rsidRPr="005557B3" w:rsidRDefault="00715A0E" w:rsidP="00684902">
            <w:pPr>
              <w:keepNext/>
              <w:keepLines/>
              <w:jc w:val="center"/>
              <w:rPr>
                <w:b/>
                <w:sz w:val="24"/>
                <w:szCs w:val="24"/>
              </w:rPr>
            </w:pPr>
            <w:r w:rsidRPr="005557B3">
              <w:rPr>
                <w:b/>
                <w:sz w:val="24"/>
                <w:szCs w:val="24"/>
              </w:rPr>
              <w:t>N=</w:t>
            </w:r>
            <w:r w:rsidR="00684902">
              <w:rPr>
                <w:b/>
                <w:sz w:val="24"/>
                <w:szCs w:val="24"/>
              </w:rPr>
              <w:t>89</w:t>
            </w:r>
          </w:p>
        </w:tc>
      </w:tr>
      <w:tr w:rsidR="00715A0E" w:rsidRPr="005557B3" w:rsidTr="00310C9F">
        <w:tc>
          <w:tcPr>
            <w:tcW w:w="5245" w:type="dxa"/>
            <w:tcBorders>
              <w:top w:val="single" w:sz="4" w:space="0" w:color="auto"/>
              <w:left w:val="single" w:sz="4" w:space="0" w:color="auto"/>
              <w:bottom w:val="single" w:sz="4" w:space="0" w:color="auto"/>
              <w:right w:val="single" w:sz="4" w:space="0" w:color="auto"/>
            </w:tcBorders>
            <w:hideMark/>
          </w:tcPr>
          <w:p w:rsidR="00715A0E" w:rsidRPr="005557B3" w:rsidRDefault="00100AD9" w:rsidP="00B81EAE">
            <w:pPr>
              <w:keepNext/>
              <w:keepLines/>
              <w:rPr>
                <w:sz w:val="24"/>
                <w:szCs w:val="24"/>
              </w:rPr>
            </w:pPr>
            <w:r>
              <w:rPr>
                <w:b/>
                <w:sz w:val="24"/>
                <w:szCs w:val="24"/>
              </w:rPr>
              <w:t>Intracranial r</w:t>
            </w:r>
            <w:r w:rsidR="00715A0E" w:rsidRPr="005557B3">
              <w:rPr>
                <w:b/>
                <w:sz w:val="24"/>
                <w:szCs w:val="24"/>
              </w:rPr>
              <w:t>esponse rate</w:t>
            </w:r>
            <w:r w:rsidR="00715A0E" w:rsidRPr="005557B3">
              <w:rPr>
                <w:b/>
                <w:sz w:val="24"/>
                <w:szCs w:val="24"/>
                <w:vertAlign w:val="superscript"/>
              </w:rPr>
              <w:t>a</w:t>
            </w:r>
            <w:r w:rsidR="00715A0E" w:rsidRPr="005557B3">
              <w:rPr>
                <w:sz w:val="24"/>
                <w:szCs w:val="24"/>
              </w:rPr>
              <w:t xml:space="preserve"> (95% CI)</w:t>
            </w:r>
            <w:r w:rsidR="00715A0E" w:rsidRPr="005557B3">
              <w:rPr>
                <w:sz w:val="24"/>
                <w:szCs w:val="24"/>
                <w:vertAlign w:val="superscript"/>
              </w:rPr>
              <w:t>b</w:t>
            </w:r>
          </w:p>
          <w:p w:rsidR="00715A0E" w:rsidRPr="005557B3" w:rsidRDefault="00715A0E" w:rsidP="00B81EAE">
            <w:pPr>
              <w:keepNext/>
              <w:keepLines/>
              <w:ind w:left="162"/>
              <w:rPr>
                <w:sz w:val="24"/>
                <w:szCs w:val="24"/>
              </w:rPr>
            </w:pPr>
            <w:r w:rsidRPr="005557B3">
              <w:rPr>
                <w:sz w:val="24"/>
                <w:szCs w:val="24"/>
              </w:rPr>
              <w:t xml:space="preserve">Complete response </w:t>
            </w:r>
          </w:p>
          <w:p w:rsidR="00715A0E" w:rsidRPr="005557B3" w:rsidRDefault="00715A0E" w:rsidP="00B81EAE">
            <w:pPr>
              <w:keepNext/>
              <w:keepLines/>
              <w:ind w:left="162"/>
              <w:rPr>
                <w:sz w:val="24"/>
                <w:szCs w:val="24"/>
              </w:rPr>
            </w:pPr>
            <w:r w:rsidRPr="005557B3">
              <w:rPr>
                <w:sz w:val="24"/>
                <w:szCs w:val="24"/>
              </w:rPr>
              <w:t>Partial response</w:t>
            </w:r>
          </w:p>
        </w:tc>
        <w:tc>
          <w:tcPr>
            <w:tcW w:w="4205" w:type="dxa"/>
            <w:tcBorders>
              <w:top w:val="single" w:sz="4" w:space="0" w:color="auto"/>
              <w:left w:val="single" w:sz="4" w:space="0" w:color="auto"/>
              <w:bottom w:val="single" w:sz="4" w:space="0" w:color="auto"/>
              <w:right w:val="single" w:sz="4" w:space="0" w:color="auto"/>
            </w:tcBorders>
            <w:hideMark/>
          </w:tcPr>
          <w:p w:rsidR="00715A0E" w:rsidRPr="005557B3" w:rsidRDefault="00715A0E" w:rsidP="00B81EAE">
            <w:pPr>
              <w:keepNext/>
              <w:keepLines/>
              <w:jc w:val="center"/>
              <w:rPr>
                <w:sz w:val="24"/>
                <w:szCs w:val="24"/>
              </w:rPr>
            </w:pPr>
            <w:r>
              <w:rPr>
                <w:sz w:val="24"/>
                <w:szCs w:val="24"/>
              </w:rPr>
              <w:t>60</w:t>
            </w:r>
            <w:r w:rsidRPr="005557B3">
              <w:rPr>
                <w:sz w:val="24"/>
                <w:szCs w:val="24"/>
              </w:rPr>
              <w:t>% (</w:t>
            </w:r>
            <w:r>
              <w:rPr>
                <w:sz w:val="24"/>
                <w:szCs w:val="24"/>
              </w:rPr>
              <w:t>49</w:t>
            </w:r>
            <w:r w:rsidRPr="005557B3">
              <w:rPr>
                <w:sz w:val="24"/>
                <w:szCs w:val="24"/>
              </w:rPr>
              <w:t>,</w:t>
            </w:r>
            <w:r>
              <w:rPr>
                <w:sz w:val="24"/>
                <w:szCs w:val="24"/>
              </w:rPr>
              <w:t xml:space="preserve"> </w:t>
            </w:r>
            <w:r w:rsidR="00CC32B2">
              <w:rPr>
                <w:sz w:val="24"/>
                <w:szCs w:val="24"/>
              </w:rPr>
              <w:t>70</w:t>
            </w:r>
            <w:r w:rsidRPr="005557B3">
              <w:rPr>
                <w:sz w:val="24"/>
                <w:szCs w:val="24"/>
              </w:rPr>
              <w:t>)</w:t>
            </w:r>
          </w:p>
          <w:p w:rsidR="00715A0E" w:rsidRPr="005557B3" w:rsidRDefault="00CC32B2" w:rsidP="00B81EAE">
            <w:pPr>
              <w:keepNext/>
              <w:keepLines/>
              <w:jc w:val="center"/>
              <w:rPr>
                <w:sz w:val="24"/>
                <w:szCs w:val="24"/>
              </w:rPr>
            </w:pPr>
            <w:r w:rsidRPr="00722A0B">
              <w:rPr>
                <w:sz w:val="24"/>
                <w:szCs w:val="24"/>
              </w:rPr>
              <w:t>21</w:t>
            </w:r>
            <w:r w:rsidR="00715A0E" w:rsidRPr="005557B3">
              <w:rPr>
                <w:sz w:val="24"/>
                <w:szCs w:val="24"/>
              </w:rPr>
              <w:t>%</w:t>
            </w:r>
          </w:p>
          <w:p w:rsidR="00715A0E" w:rsidRPr="005557B3" w:rsidRDefault="00715A0E" w:rsidP="00B81EAE">
            <w:pPr>
              <w:keepNext/>
              <w:keepLines/>
              <w:jc w:val="center"/>
              <w:rPr>
                <w:sz w:val="24"/>
                <w:szCs w:val="24"/>
              </w:rPr>
            </w:pPr>
            <w:r>
              <w:rPr>
                <w:sz w:val="24"/>
                <w:szCs w:val="24"/>
              </w:rPr>
              <w:t>38</w:t>
            </w:r>
            <w:r w:rsidRPr="005557B3">
              <w:rPr>
                <w:sz w:val="24"/>
                <w:szCs w:val="24"/>
              </w:rPr>
              <w:t>%</w:t>
            </w:r>
          </w:p>
        </w:tc>
      </w:tr>
      <w:tr w:rsidR="00715A0E" w:rsidRPr="005557B3" w:rsidTr="00310C9F">
        <w:tc>
          <w:tcPr>
            <w:tcW w:w="5245" w:type="dxa"/>
            <w:tcBorders>
              <w:top w:val="single" w:sz="4" w:space="0" w:color="auto"/>
              <w:left w:val="single" w:sz="4" w:space="0" w:color="auto"/>
              <w:bottom w:val="single" w:sz="4" w:space="0" w:color="auto"/>
              <w:right w:val="single" w:sz="4" w:space="0" w:color="auto"/>
            </w:tcBorders>
            <w:hideMark/>
          </w:tcPr>
          <w:p w:rsidR="00715A0E" w:rsidRPr="005557B3" w:rsidRDefault="00715A0E" w:rsidP="00B81EAE">
            <w:pPr>
              <w:keepNext/>
              <w:keepLines/>
              <w:rPr>
                <w:b/>
                <w:sz w:val="24"/>
                <w:szCs w:val="24"/>
              </w:rPr>
            </w:pPr>
            <w:r w:rsidRPr="005557B3">
              <w:rPr>
                <w:b/>
                <w:sz w:val="24"/>
                <w:szCs w:val="24"/>
              </w:rPr>
              <w:t>Duration of response</w:t>
            </w:r>
          </w:p>
          <w:p w:rsidR="00715A0E" w:rsidRPr="005557B3" w:rsidRDefault="00715A0E" w:rsidP="00B81EAE">
            <w:pPr>
              <w:keepNext/>
              <w:keepLines/>
              <w:ind w:left="162"/>
              <w:rPr>
                <w:sz w:val="24"/>
                <w:szCs w:val="24"/>
              </w:rPr>
            </w:pPr>
            <w:r w:rsidRPr="005557B3">
              <w:rPr>
                <w:sz w:val="24"/>
                <w:szCs w:val="24"/>
              </w:rPr>
              <w:t>Median, months</w:t>
            </w:r>
            <w:r w:rsidRPr="005557B3">
              <w:rPr>
                <w:sz w:val="24"/>
                <w:szCs w:val="24"/>
                <w:vertAlign w:val="superscript"/>
              </w:rPr>
              <w:t>c</w:t>
            </w:r>
            <w:r w:rsidRPr="005557B3">
              <w:rPr>
                <w:sz w:val="24"/>
                <w:szCs w:val="24"/>
              </w:rPr>
              <w:t xml:space="preserve"> (95% CI)</w:t>
            </w:r>
          </w:p>
        </w:tc>
        <w:tc>
          <w:tcPr>
            <w:tcW w:w="4205" w:type="dxa"/>
            <w:tcBorders>
              <w:top w:val="single" w:sz="4" w:space="0" w:color="auto"/>
              <w:left w:val="single" w:sz="4" w:space="0" w:color="auto"/>
              <w:bottom w:val="single" w:sz="4" w:space="0" w:color="auto"/>
              <w:right w:val="single" w:sz="4" w:space="0" w:color="auto"/>
            </w:tcBorders>
          </w:tcPr>
          <w:p w:rsidR="00715A0E" w:rsidRPr="005557B3" w:rsidRDefault="00715A0E" w:rsidP="00B81EAE">
            <w:pPr>
              <w:pStyle w:val="TableTextCentered"/>
              <w:keepNext/>
              <w:keepLines/>
              <w:overflowPunct w:val="0"/>
              <w:autoSpaceDE w:val="0"/>
              <w:autoSpaceDN w:val="0"/>
              <w:adjustRightInd w:val="0"/>
              <w:textAlignment w:val="baseline"/>
              <w:rPr>
                <w:sz w:val="24"/>
                <w:szCs w:val="24"/>
              </w:rPr>
            </w:pPr>
          </w:p>
          <w:p w:rsidR="00715A0E" w:rsidRPr="005557B3" w:rsidRDefault="00715A0E" w:rsidP="00B81EAE">
            <w:pPr>
              <w:pStyle w:val="TableTextCentered"/>
              <w:keepNext/>
              <w:keepLines/>
              <w:overflowPunct w:val="0"/>
              <w:autoSpaceDE w:val="0"/>
              <w:autoSpaceDN w:val="0"/>
              <w:adjustRightInd w:val="0"/>
              <w:textAlignment w:val="baseline"/>
              <w:rPr>
                <w:sz w:val="24"/>
                <w:szCs w:val="24"/>
              </w:rPr>
            </w:pPr>
            <w:r>
              <w:rPr>
                <w:sz w:val="24"/>
                <w:szCs w:val="24"/>
              </w:rPr>
              <w:t>19.5</w:t>
            </w:r>
            <w:r w:rsidRPr="005557B3">
              <w:rPr>
                <w:sz w:val="24"/>
                <w:szCs w:val="24"/>
              </w:rPr>
              <w:t xml:space="preserve"> (</w:t>
            </w:r>
            <w:r>
              <w:rPr>
                <w:sz w:val="24"/>
                <w:szCs w:val="24"/>
              </w:rPr>
              <w:t>12.4</w:t>
            </w:r>
            <w:r w:rsidRPr="005557B3">
              <w:rPr>
                <w:sz w:val="24"/>
                <w:szCs w:val="24"/>
              </w:rPr>
              <w:t>,</w:t>
            </w:r>
            <w:r>
              <w:rPr>
                <w:sz w:val="24"/>
                <w:szCs w:val="24"/>
              </w:rPr>
              <w:t xml:space="preserve"> NR</w:t>
            </w:r>
            <w:r w:rsidRPr="005557B3">
              <w:rPr>
                <w:sz w:val="24"/>
                <w:szCs w:val="24"/>
              </w:rPr>
              <w:t>)</w:t>
            </w:r>
          </w:p>
        </w:tc>
      </w:tr>
      <w:tr w:rsidR="00715A0E" w:rsidRPr="005557B3" w:rsidTr="00310C9F">
        <w:tc>
          <w:tcPr>
            <w:tcW w:w="9450" w:type="dxa"/>
            <w:gridSpan w:val="2"/>
            <w:tcBorders>
              <w:top w:val="single" w:sz="4" w:space="0" w:color="auto"/>
              <w:left w:val="nil"/>
              <w:bottom w:val="nil"/>
              <w:right w:val="nil"/>
            </w:tcBorders>
          </w:tcPr>
          <w:p w:rsidR="00715A0E" w:rsidRPr="00FC7182" w:rsidRDefault="00715A0E" w:rsidP="00B81EAE">
            <w:pPr>
              <w:pStyle w:val="NoSpacing"/>
              <w:tabs>
                <w:tab w:val="left" w:pos="540"/>
              </w:tabs>
              <w:ind w:left="-18"/>
              <w:rPr>
                <w:rFonts w:ascii="Times New Roman" w:hAnsi="Times New Roman"/>
                <w:sz w:val="20"/>
                <w:szCs w:val="20"/>
              </w:rPr>
            </w:pPr>
            <w:r w:rsidRPr="00FC7182">
              <w:rPr>
                <w:rFonts w:ascii="Times New Roman" w:hAnsi="Times New Roman"/>
                <w:sz w:val="20"/>
                <w:szCs w:val="20"/>
              </w:rPr>
              <w:t>Abbreviations: CI=confidence interval; N=number of patients; NR=not reached.</w:t>
            </w:r>
          </w:p>
          <w:p w:rsidR="00715A0E" w:rsidRPr="00FC7182" w:rsidRDefault="00715A0E" w:rsidP="00B81EAE">
            <w:pPr>
              <w:pStyle w:val="NoSpacing"/>
              <w:tabs>
                <w:tab w:val="left" w:pos="162"/>
              </w:tabs>
              <w:ind w:left="-18"/>
              <w:rPr>
                <w:rFonts w:ascii="Times New Roman" w:hAnsi="Times New Roman"/>
                <w:sz w:val="20"/>
                <w:szCs w:val="20"/>
              </w:rPr>
            </w:pPr>
            <w:r w:rsidRPr="00FC7182">
              <w:rPr>
                <w:rFonts w:ascii="Times New Roman" w:hAnsi="Times New Roman"/>
                <w:sz w:val="20"/>
                <w:szCs w:val="20"/>
                <w:vertAlign w:val="superscript"/>
              </w:rPr>
              <w:t>a</w:t>
            </w:r>
            <w:r w:rsidRPr="00FC7182">
              <w:rPr>
                <w:rFonts w:ascii="Times New Roman" w:hAnsi="Times New Roman"/>
                <w:iCs/>
                <w:color w:val="000000"/>
                <w:sz w:val="20"/>
                <w:szCs w:val="20"/>
              </w:rPr>
              <w:tab/>
            </w:r>
            <w:r w:rsidRPr="00FC7182">
              <w:rPr>
                <w:rFonts w:ascii="Times New Roman" w:hAnsi="Times New Roman"/>
                <w:sz w:val="20"/>
                <w:szCs w:val="20"/>
              </w:rPr>
              <w:t xml:space="preserve">Per </w:t>
            </w:r>
            <w:r w:rsidR="00100AD9" w:rsidRPr="00FC7182">
              <w:rPr>
                <w:rFonts w:ascii="Times New Roman" w:hAnsi="Times New Roman"/>
                <w:sz w:val="20"/>
                <w:szCs w:val="20"/>
              </w:rPr>
              <w:t>Independent Central Review</w:t>
            </w:r>
            <w:r w:rsidRPr="00FC7182">
              <w:rPr>
                <w:rFonts w:ascii="Times New Roman" w:hAnsi="Times New Roman"/>
                <w:sz w:val="20"/>
                <w:szCs w:val="20"/>
              </w:rPr>
              <w:t>.</w:t>
            </w:r>
          </w:p>
          <w:p w:rsidR="00715A0E" w:rsidRPr="00FC7182" w:rsidRDefault="00715A0E" w:rsidP="00B81EAE">
            <w:pPr>
              <w:pStyle w:val="NoSpacing"/>
              <w:tabs>
                <w:tab w:val="left" w:pos="162"/>
              </w:tabs>
              <w:ind w:left="-14"/>
              <w:rPr>
                <w:rFonts w:ascii="Times New Roman" w:hAnsi="Times New Roman"/>
                <w:sz w:val="20"/>
                <w:szCs w:val="20"/>
              </w:rPr>
            </w:pPr>
            <w:r w:rsidRPr="00FC7182">
              <w:rPr>
                <w:rFonts w:ascii="Times New Roman" w:hAnsi="Times New Roman"/>
                <w:sz w:val="20"/>
                <w:szCs w:val="20"/>
                <w:vertAlign w:val="superscript"/>
              </w:rPr>
              <w:t>b</w:t>
            </w:r>
            <w:r w:rsidRPr="00FC7182">
              <w:rPr>
                <w:rFonts w:ascii="Times New Roman" w:hAnsi="Times New Roman"/>
                <w:iCs/>
                <w:color w:val="000000"/>
                <w:sz w:val="20"/>
                <w:szCs w:val="20"/>
              </w:rPr>
              <w:tab/>
            </w:r>
            <w:r w:rsidRPr="00FC7182">
              <w:rPr>
                <w:rFonts w:ascii="Times New Roman" w:hAnsi="Times New Roman"/>
                <w:sz w:val="20"/>
                <w:szCs w:val="20"/>
              </w:rPr>
              <w:t>Using exact method based on binomial distribution.</w:t>
            </w:r>
          </w:p>
          <w:p w:rsidR="00715A0E" w:rsidRPr="005557B3" w:rsidRDefault="00715A0E" w:rsidP="00B81EAE">
            <w:pPr>
              <w:pStyle w:val="TableTextCentered"/>
              <w:keepNext/>
              <w:keepLines/>
              <w:tabs>
                <w:tab w:val="left" w:pos="158"/>
              </w:tabs>
              <w:overflowPunct w:val="0"/>
              <w:autoSpaceDE w:val="0"/>
              <w:autoSpaceDN w:val="0"/>
              <w:adjustRightInd w:val="0"/>
              <w:jc w:val="left"/>
              <w:textAlignment w:val="baseline"/>
              <w:rPr>
                <w:sz w:val="24"/>
                <w:szCs w:val="24"/>
              </w:rPr>
            </w:pPr>
            <w:r w:rsidRPr="00FC7182">
              <w:rPr>
                <w:vertAlign w:val="superscript"/>
              </w:rPr>
              <w:t>c</w:t>
            </w:r>
            <w:r w:rsidRPr="00FC7182">
              <w:rPr>
                <w:iCs/>
                <w:color w:val="000000"/>
              </w:rPr>
              <w:tab/>
            </w:r>
            <w:r w:rsidRPr="00FC7182">
              <w:t>Estimated using the Kaplan</w:t>
            </w:r>
            <w:r>
              <w:noBreakHyphen/>
            </w:r>
            <w:r w:rsidRPr="00FC7182">
              <w:t>Meier method.</w:t>
            </w:r>
          </w:p>
        </w:tc>
      </w:tr>
    </w:tbl>
    <w:p w:rsidR="00821C5A" w:rsidRPr="005557B3" w:rsidRDefault="00821C5A" w:rsidP="001E1D15">
      <w:pPr>
        <w:rPr>
          <w:sz w:val="24"/>
          <w:szCs w:val="24"/>
        </w:rPr>
      </w:pPr>
    </w:p>
    <w:p w:rsidR="00E02FEA" w:rsidRDefault="00BA5277" w:rsidP="00E02FEA">
      <w:pPr>
        <w:keepNext/>
        <w:rPr>
          <w:sz w:val="24"/>
          <w:szCs w:val="24"/>
        </w:rPr>
      </w:pPr>
      <w:r w:rsidRPr="005557B3">
        <w:rPr>
          <w:sz w:val="24"/>
          <w:szCs w:val="24"/>
        </w:rPr>
        <w:lastRenderedPageBreak/>
        <w:t>In</w:t>
      </w:r>
      <w:r>
        <w:rPr>
          <w:sz w:val="24"/>
          <w:szCs w:val="24"/>
        </w:rPr>
        <w:t xml:space="preserve"> exploratory analyse</w:t>
      </w:r>
      <w:r w:rsidRPr="005557B3">
        <w:rPr>
          <w:sz w:val="24"/>
          <w:szCs w:val="24"/>
        </w:rPr>
        <w:t>s conducted in subgroup</w:t>
      </w:r>
      <w:r>
        <w:rPr>
          <w:sz w:val="24"/>
          <w:szCs w:val="24"/>
        </w:rPr>
        <w:t xml:space="preserve">s defined by prior therapy, the response rates to LORBRENA were: </w:t>
      </w:r>
    </w:p>
    <w:p w:rsidR="00E02FEA" w:rsidRPr="00514B88" w:rsidRDefault="00E02FEA" w:rsidP="002712C4">
      <w:pPr>
        <w:keepNext/>
        <w:numPr>
          <w:ilvl w:val="0"/>
          <w:numId w:val="63"/>
        </w:numPr>
        <w:tabs>
          <w:tab w:val="left" w:pos="426"/>
        </w:tabs>
        <w:ind w:left="426" w:hanging="426"/>
        <w:rPr>
          <w:sz w:val="24"/>
          <w:szCs w:val="24"/>
        </w:rPr>
      </w:pPr>
      <w:r w:rsidRPr="005557B3">
        <w:rPr>
          <w:sz w:val="24"/>
          <w:szCs w:val="24"/>
        </w:rPr>
        <w:t xml:space="preserve">ORR </w:t>
      </w:r>
      <w:r>
        <w:rPr>
          <w:sz w:val="24"/>
          <w:szCs w:val="24"/>
        </w:rPr>
        <w:t>=</w:t>
      </w:r>
      <w:r w:rsidRPr="005557B3">
        <w:rPr>
          <w:sz w:val="24"/>
          <w:szCs w:val="24"/>
        </w:rPr>
        <w:t xml:space="preserve"> </w:t>
      </w:r>
      <w:r>
        <w:rPr>
          <w:sz w:val="24"/>
          <w:szCs w:val="24"/>
        </w:rPr>
        <w:t>39</w:t>
      </w:r>
      <w:r w:rsidRPr="005557B3">
        <w:rPr>
          <w:sz w:val="24"/>
          <w:szCs w:val="24"/>
        </w:rPr>
        <w:t xml:space="preserve">% </w:t>
      </w:r>
      <w:r>
        <w:rPr>
          <w:sz w:val="24"/>
          <w:szCs w:val="24"/>
        </w:rPr>
        <w:t>(</w:t>
      </w:r>
      <w:r w:rsidRPr="005557B3">
        <w:rPr>
          <w:sz w:val="24"/>
          <w:szCs w:val="24"/>
        </w:rPr>
        <w:t xml:space="preserve">95% CI: </w:t>
      </w:r>
      <w:r>
        <w:rPr>
          <w:sz w:val="24"/>
          <w:szCs w:val="24"/>
        </w:rPr>
        <w:t>30</w:t>
      </w:r>
      <w:r w:rsidRPr="005557B3">
        <w:rPr>
          <w:sz w:val="24"/>
          <w:szCs w:val="24"/>
        </w:rPr>
        <w:t xml:space="preserve">, </w:t>
      </w:r>
      <w:r>
        <w:rPr>
          <w:sz w:val="24"/>
          <w:szCs w:val="24"/>
        </w:rPr>
        <w:t>48) in 119 patients who</w:t>
      </w:r>
      <w:r w:rsidRPr="005557B3">
        <w:rPr>
          <w:sz w:val="24"/>
          <w:szCs w:val="24"/>
        </w:rPr>
        <w:t xml:space="preserve"> received crizotinib and at least one other ALK inhibitor, with or</w:t>
      </w:r>
      <w:r>
        <w:rPr>
          <w:sz w:val="24"/>
          <w:szCs w:val="24"/>
        </w:rPr>
        <w:t xml:space="preserve"> without prior chemotherapy</w:t>
      </w:r>
    </w:p>
    <w:p w:rsidR="00E02FEA" w:rsidRDefault="00E02FEA" w:rsidP="00477294">
      <w:pPr>
        <w:keepNext/>
        <w:numPr>
          <w:ilvl w:val="0"/>
          <w:numId w:val="63"/>
        </w:numPr>
        <w:tabs>
          <w:tab w:val="left" w:pos="426"/>
        </w:tabs>
        <w:ind w:left="426" w:hanging="426"/>
        <w:rPr>
          <w:sz w:val="24"/>
          <w:szCs w:val="24"/>
        </w:rPr>
      </w:pPr>
      <w:r w:rsidRPr="005557B3">
        <w:rPr>
          <w:sz w:val="24"/>
          <w:szCs w:val="24"/>
        </w:rPr>
        <w:t xml:space="preserve">ORR </w:t>
      </w:r>
      <w:r>
        <w:rPr>
          <w:sz w:val="24"/>
          <w:szCs w:val="24"/>
        </w:rPr>
        <w:t xml:space="preserve">= </w:t>
      </w:r>
      <w:r w:rsidRPr="005557B3">
        <w:rPr>
          <w:sz w:val="24"/>
          <w:szCs w:val="24"/>
        </w:rPr>
        <w:t>3</w:t>
      </w:r>
      <w:r>
        <w:rPr>
          <w:sz w:val="24"/>
          <w:szCs w:val="24"/>
        </w:rPr>
        <w:t>1</w:t>
      </w:r>
      <w:r w:rsidRPr="005557B3">
        <w:rPr>
          <w:sz w:val="24"/>
          <w:szCs w:val="24"/>
        </w:rPr>
        <w:t xml:space="preserve">% (95% CI: </w:t>
      </w:r>
      <w:r>
        <w:rPr>
          <w:sz w:val="24"/>
          <w:szCs w:val="24"/>
        </w:rPr>
        <w:t>9</w:t>
      </w:r>
      <w:r w:rsidRPr="005557B3">
        <w:rPr>
          <w:sz w:val="24"/>
          <w:szCs w:val="24"/>
        </w:rPr>
        <w:t>, 6</w:t>
      </w:r>
      <w:r>
        <w:rPr>
          <w:sz w:val="24"/>
          <w:szCs w:val="24"/>
        </w:rPr>
        <w:t xml:space="preserve">1) in 13 </w:t>
      </w:r>
      <w:r w:rsidRPr="005557B3">
        <w:rPr>
          <w:sz w:val="24"/>
          <w:szCs w:val="24"/>
        </w:rPr>
        <w:t xml:space="preserve">patients who received alectinib as their only ALK inhibitor, with or </w:t>
      </w:r>
      <w:r>
        <w:rPr>
          <w:sz w:val="24"/>
          <w:szCs w:val="24"/>
        </w:rPr>
        <w:t>without prior chemotherapy</w:t>
      </w:r>
    </w:p>
    <w:p w:rsidR="00E02FEA" w:rsidRDefault="00E02FEA" w:rsidP="002712C4">
      <w:pPr>
        <w:keepNext/>
        <w:numPr>
          <w:ilvl w:val="0"/>
          <w:numId w:val="63"/>
        </w:numPr>
        <w:tabs>
          <w:tab w:val="left" w:pos="426"/>
        </w:tabs>
        <w:ind w:left="426" w:hanging="426"/>
        <w:rPr>
          <w:sz w:val="24"/>
          <w:szCs w:val="24"/>
        </w:rPr>
      </w:pPr>
      <w:r w:rsidRPr="003E159A">
        <w:rPr>
          <w:sz w:val="24"/>
          <w:szCs w:val="24"/>
        </w:rPr>
        <w:t xml:space="preserve">ORR </w:t>
      </w:r>
      <w:r>
        <w:rPr>
          <w:sz w:val="24"/>
          <w:szCs w:val="24"/>
        </w:rPr>
        <w:t>= 46</w:t>
      </w:r>
      <w:r w:rsidRPr="003E159A">
        <w:rPr>
          <w:sz w:val="24"/>
          <w:szCs w:val="24"/>
        </w:rPr>
        <w:t xml:space="preserve">% (95% CI: </w:t>
      </w:r>
      <w:r>
        <w:rPr>
          <w:sz w:val="24"/>
          <w:szCs w:val="24"/>
        </w:rPr>
        <w:t>19</w:t>
      </w:r>
      <w:r w:rsidRPr="003E159A">
        <w:rPr>
          <w:sz w:val="24"/>
          <w:szCs w:val="24"/>
        </w:rPr>
        <w:t xml:space="preserve">, </w:t>
      </w:r>
      <w:r>
        <w:rPr>
          <w:sz w:val="24"/>
          <w:szCs w:val="24"/>
        </w:rPr>
        <w:t>75</w:t>
      </w:r>
      <w:r w:rsidRPr="003E159A">
        <w:rPr>
          <w:sz w:val="24"/>
          <w:szCs w:val="24"/>
        </w:rPr>
        <w:t>)</w:t>
      </w:r>
      <w:r>
        <w:rPr>
          <w:sz w:val="24"/>
          <w:szCs w:val="24"/>
        </w:rPr>
        <w:t xml:space="preserve"> in 13</w:t>
      </w:r>
      <w:r w:rsidRPr="003E159A">
        <w:rPr>
          <w:sz w:val="24"/>
          <w:szCs w:val="24"/>
        </w:rPr>
        <w:t xml:space="preserve"> patients who received ceritinib as their only ALK inhibitor, </w:t>
      </w:r>
      <w:r w:rsidRPr="005557B3">
        <w:rPr>
          <w:sz w:val="24"/>
          <w:szCs w:val="24"/>
        </w:rPr>
        <w:t xml:space="preserve">with or </w:t>
      </w:r>
      <w:r>
        <w:rPr>
          <w:sz w:val="24"/>
          <w:szCs w:val="24"/>
        </w:rPr>
        <w:t>without prior chemotherapy</w:t>
      </w:r>
    </w:p>
    <w:p w:rsidR="005B7232" w:rsidRPr="00BA5277" w:rsidRDefault="005B7232" w:rsidP="00E02FEA">
      <w:pPr>
        <w:keepNext/>
        <w:rPr>
          <w:sz w:val="24"/>
          <w:szCs w:val="24"/>
        </w:rPr>
      </w:pPr>
    </w:p>
    <w:p w:rsidR="00246318" w:rsidRDefault="00246318" w:rsidP="001E1D15">
      <w:pPr>
        <w:pStyle w:val="Heading1"/>
        <w:jc w:val="left"/>
        <w:rPr>
          <w:sz w:val="24"/>
          <w:szCs w:val="24"/>
        </w:rPr>
      </w:pPr>
      <w:r w:rsidRPr="002571F2">
        <w:rPr>
          <w:sz w:val="24"/>
          <w:szCs w:val="24"/>
        </w:rPr>
        <w:t>16</w:t>
      </w:r>
      <w:r w:rsidR="00652006">
        <w:rPr>
          <w:sz w:val="24"/>
          <w:szCs w:val="24"/>
        </w:rPr>
        <w:tab/>
      </w:r>
      <w:r w:rsidR="00652006">
        <w:rPr>
          <w:sz w:val="24"/>
          <w:szCs w:val="24"/>
        </w:rPr>
        <w:tab/>
      </w:r>
      <w:r w:rsidRPr="002571F2">
        <w:rPr>
          <w:sz w:val="24"/>
          <w:szCs w:val="24"/>
        </w:rPr>
        <w:t>HOW SUPPLIED/STORAGE AND HANDLING</w:t>
      </w:r>
    </w:p>
    <w:p w:rsidR="005B7232" w:rsidRPr="005B7232" w:rsidRDefault="005B7232" w:rsidP="005B7232"/>
    <w:p w:rsidR="00B00843" w:rsidRDefault="007D4306" w:rsidP="001E1D15">
      <w:pPr>
        <w:pStyle w:val="CommentText"/>
        <w:rPr>
          <w:sz w:val="24"/>
          <w:szCs w:val="24"/>
        </w:rPr>
      </w:pPr>
      <w:r>
        <w:rPr>
          <w:sz w:val="24"/>
          <w:szCs w:val="24"/>
        </w:rPr>
        <w:t xml:space="preserve">Table </w:t>
      </w:r>
      <w:r w:rsidR="00492D1D">
        <w:rPr>
          <w:sz w:val="24"/>
          <w:szCs w:val="24"/>
        </w:rPr>
        <w:t>7</w:t>
      </w:r>
      <w:r>
        <w:rPr>
          <w:sz w:val="24"/>
          <w:szCs w:val="24"/>
        </w:rPr>
        <w:t xml:space="preserve"> describes the available</w:t>
      </w:r>
      <w:r w:rsidR="00FB1D59">
        <w:rPr>
          <w:sz w:val="24"/>
          <w:szCs w:val="24"/>
        </w:rPr>
        <w:t xml:space="preserve"> </w:t>
      </w:r>
      <w:r w:rsidR="00B00843" w:rsidRPr="00BA102E">
        <w:rPr>
          <w:sz w:val="24"/>
          <w:szCs w:val="24"/>
        </w:rPr>
        <w:t>strengths and package configurations</w:t>
      </w:r>
      <w:r>
        <w:rPr>
          <w:sz w:val="24"/>
          <w:szCs w:val="24"/>
        </w:rPr>
        <w:t xml:space="preserve"> for </w:t>
      </w:r>
      <w:r w:rsidR="001A2032">
        <w:rPr>
          <w:sz w:val="24"/>
          <w:szCs w:val="24"/>
        </w:rPr>
        <w:t>LORBRENA</w:t>
      </w:r>
      <w:r w:rsidR="00B00843" w:rsidRPr="00BA102E">
        <w:rPr>
          <w:sz w:val="24"/>
          <w:szCs w:val="24"/>
        </w:rPr>
        <w:t>:</w:t>
      </w:r>
    </w:p>
    <w:p w:rsidR="005B7232" w:rsidRPr="00F835D7" w:rsidRDefault="005B7232" w:rsidP="001E1D15">
      <w:pPr>
        <w:pStyle w:val="CommentText"/>
        <w:rPr>
          <w:sz w:val="24"/>
          <w:szCs w:val="24"/>
        </w:rPr>
      </w:pPr>
    </w:p>
    <w:tbl>
      <w:tblPr>
        <w:tblW w:w="10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440"/>
        <w:gridCol w:w="1890"/>
        <w:gridCol w:w="4788"/>
      </w:tblGrid>
      <w:tr w:rsidR="00CE7098" w:rsidRPr="00BA102E" w:rsidTr="006F6228">
        <w:tc>
          <w:tcPr>
            <w:tcW w:w="10278" w:type="dxa"/>
            <w:gridSpan w:val="4"/>
            <w:tcBorders>
              <w:top w:val="nil"/>
              <w:left w:val="nil"/>
              <w:right w:val="nil"/>
            </w:tcBorders>
            <w:shd w:val="clear" w:color="auto" w:fill="auto"/>
          </w:tcPr>
          <w:p w:rsidR="00CE7098" w:rsidRPr="00E129D2" w:rsidRDefault="00CE7098" w:rsidP="0061014B">
            <w:pPr>
              <w:tabs>
                <w:tab w:val="left" w:pos="1077"/>
              </w:tabs>
              <w:rPr>
                <w:b/>
                <w:sz w:val="24"/>
                <w:szCs w:val="24"/>
              </w:rPr>
            </w:pPr>
            <w:r w:rsidRPr="00174972">
              <w:rPr>
                <w:b/>
                <w:sz w:val="24"/>
                <w:szCs w:val="24"/>
              </w:rPr>
              <w:t xml:space="preserve">Table </w:t>
            </w:r>
            <w:r w:rsidR="00492D1D">
              <w:rPr>
                <w:b/>
                <w:sz w:val="24"/>
                <w:szCs w:val="24"/>
              </w:rPr>
              <w:t>7</w:t>
            </w:r>
            <w:r w:rsidRPr="00174972">
              <w:rPr>
                <w:b/>
                <w:sz w:val="24"/>
                <w:szCs w:val="24"/>
              </w:rPr>
              <w:t xml:space="preserve"> </w:t>
            </w:r>
            <w:r>
              <w:rPr>
                <w:b/>
                <w:sz w:val="24"/>
                <w:szCs w:val="24"/>
              </w:rPr>
              <w:tab/>
            </w:r>
            <w:r w:rsidRPr="00174972">
              <w:rPr>
                <w:b/>
                <w:sz w:val="24"/>
                <w:szCs w:val="24"/>
              </w:rPr>
              <w:t>LORBRENA Tablets</w:t>
            </w:r>
          </w:p>
        </w:tc>
      </w:tr>
      <w:tr w:rsidR="00246318" w:rsidRPr="00BA102E" w:rsidTr="006F6228">
        <w:trPr>
          <w:trHeight w:val="510"/>
        </w:trPr>
        <w:tc>
          <w:tcPr>
            <w:tcW w:w="2160" w:type="dxa"/>
            <w:shd w:val="clear" w:color="auto" w:fill="auto"/>
          </w:tcPr>
          <w:p w:rsidR="00246318" w:rsidRPr="00E129D2" w:rsidRDefault="00246318" w:rsidP="001E1D15">
            <w:pPr>
              <w:rPr>
                <w:b/>
                <w:sz w:val="24"/>
                <w:szCs w:val="24"/>
              </w:rPr>
            </w:pPr>
            <w:r w:rsidRPr="00E129D2">
              <w:rPr>
                <w:b/>
                <w:sz w:val="24"/>
                <w:szCs w:val="24"/>
              </w:rPr>
              <w:t>Package Configuration</w:t>
            </w:r>
          </w:p>
        </w:tc>
        <w:tc>
          <w:tcPr>
            <w:tcW w:w="1440" w:type="dxa"/>
            <w:shd w:val="clear" w:color="auto" w:fill="auto"/>
          </w:tcPr>
          <w:p w:rsidR="00246318" w:rsidRPr="00E129D2" w:rsidRDefault="00246318" w:rsidP="001E1D15">
            <w:pPr>
              <w:jc w:val="center"/>
              <w:rPr>
                <w:b/>
                <w:sz w:val="24"/>
                <w:szCs w:val="24"/>
              </w:rPr>
            </w:pPr>
            <w:r w:rsidRPr="00E129D2">
              <w:rPr>
                <w:b/>
                <w:sz w:val="24"/>
                <w:szCs w:val="24"/>
              </w:rPr>
              <w:t>Strength (mg)</w:t>
            </w:r>
          </w:p>
        </w:tc>
        <w:tc>
          <w:tcPr>
            <w:tcW w:w="1890" w:type="dxa"/>
            <w:shd w:val="clear" w:color="auto" w:fill="auto"/>
          </w:tcPr>
          <w:p w:rsidR="00246318" w:rsidRPr="00E129D2" w:rsidRDefault="00246318" w:rsidP="001E1D15">
            <w:pPr>
              <w:jc w:val="center"/>
              <w:rPr>
                <w:b/>
                <w:sz w:val="24"/>
                <w:szCs w:val="24"/>
              </w:rPr>
            </w:pPr>
            <w:r w:rsidRPr="00E129D2">
              <w:rPr>
                <w:b/>
                <w:sz w:val="24"/>
                <w:szCs w:val="24"/>
              </w:rPr>
              <w:t>NDC</w:t>
            </w:r>
          </w:p>
        </w:tc>
        <w:tc>
          <w:tcPr>
            <w:tcW w:w="4788" w:type="dxa"/>
            <w:shd w:val="clear" w:color="auto" w:fill="auto"/>
          </w:tcPr>
          <w:p w:rsidR="00246318" w:rsidRPr="00E129D2" w:rsidRDefault="00391682" w:rsidP="001E1D15">
            <w:pPr>
              <w:jc w:val="center"/>
              <w:rPr>
                <w:b/>
                <w:sz w:val="24"/>
                <w:szCs w:val="24"/>
              </w:rPr>
            </w:pPr>
            <w:r w:rsidRPr="00E129D2">
              <w:rPr>
                <w:b/>
                <w:sz w:val="24"/>
                <w:szCs w:val="24"/>
              </w:rPr>
              <w:t>Description</w:t>
            </w:r>
          </w:p>
        </w:tc>
      </w:tr>
      <w:tr w:rsidR="00D740EC" w:rsidRPr="00BA102E" w:rsidTr="006F6228">
        <w:trPr>
          <w:trHeight w:val="255"/>
        </w:trPr>
        <w:tc>
          <w:tcPr>
            <w:tcW w:w="2160" w:type="dxa"/>
            <w:shd w:val="clear" w:color="auto" w:fill="auto"/>
          </w:tcPr>
          <w:p w:rsidR="00D740EC" w:rsidRPr="00E129D2" w:rsidRDefault="00D740EC" w:rsidP="001E1D15">
            <w:pPr>
              <w:rPr>
                <w:sz w:val="24"/>
                <w:szCs w:val="24"/>
              </w:rPr>
            </w:pPr>
            <w:r w:rsidRPr="00E129D2">
              <w:rPr>
                <w:sz w:val="24"/>
                <w:szCs w:val="24"/>
              </w:rPr>
              <w:t>30 count</w:t>
            </w:r>
            <w:r w:rsidR="00072EA5" w:rsidRPr="00E129D2">
              <w:rPr>
                <w:sz w:val="24"/>
                <w:szCs w:val="24"/>
              </w:rPr>
              <w:t xml:space="preserve"> </w:t>
            </w:r>
            <w:r w:rsidRPr="00E129D2">
              <w:rPr>
                <w:sz w:val="24"/>
                <w:szCs w:val="24"/>
              </w:rPr>
              <w:t>bottle</w:t>
            </w:r>
            <w:r w:rsidR="00072EA5" w:rsidRPr="00E129D2">
              <w:rPr>
                <w:sz w:val="24"/>
                <w:szCs w:val="24"/>
              </w:rPr>
              <w:t xml:space="preserve"> with a child-resistant closure</w:t>
            </w:r>
          </w:p>
        </w:tc>
        <w:tc>
          <w:tcPr>
            <w:tcW w:w="1440" w:type="dxa"/>
            <w:shd w:val="clear" w:color="auto" w:fill="auto"/>
          </w:tcPr>
          <w:p w:rsidR="00D740EC" w:rsidRPr="00E129D2" w:rsidRDefault="00D740EC" w:rsidP="001E1D15">
            <w:pPr>
              <w:jc w:val="center"/>
              <w:rPr>
                <w:sz w:val="24"/>
                <w:szCs w:val="24"/>
              </w:rPr>
            </w:pPr>
            <w:r w:rsidRPr="00E129D2">
              <w:rPr>
                <w:sz w:val="24"/>
                <w:szCs w:val="24"/>
              </w:rPr>
              <w:t>25</w:t>
            </w:r>
          </w:p>
        </w:tc>
        <w:tc>
          <w:tcPr>
            <w:tcW w:w="1890" w:type="dxa"/>
            <w:shd w:val="clear" w:color="auto" w:fill="auto"/>
          </w:tcPr>
          <w:p w:rsidR="00D740EC" w:rsidRPr="00E129D2" w:rsidRDefault="00D740EC" w:rsidP="001E1D15">
            <w:pPr>
              <w:jc w:val="center"/>
              <w:rPr>
                <w:sz w:val="24"/>
                <w:szCs w:val="24"/>
              </w:rPr>
            </w:pPr>
            <w:r w:rsidRPr="00E129D2">
              <w:rPr>
                <w:sz w:val="24"/>
                <w:szCs w:val="24"/>
              </w:rPr>
              <w:t>0069-0227-01</w:t>
            </w:r>
          </w:p>
        </w:tc>
        <w:tc>
          <w:tcPr>
            <w:tcW w:w="4788" w:type="dxa"/>
            <w:shd w:val="clear" w:color="auto" w:fill="auto"/>
          </w:tcPr>
          <w:p w:rsidR="00D740EC" w:rsidRPr="00E129D2" w:rsidRDefault="00886E73" w:rsidP="001E1D15">
            <w:pPr>
              <w:rPr>
                <w:sz w:val="24"/>
                <w:szCs w:val="24"/>
              </w:rPr>
            </w:pPr>
            <w:r w:rsidRPr="00E129D2">
              <w:rPr>
                <w:sz w:val="24"/>
                <w:szCs w:val="24"/>
              </w:rPr>
              <w:t>8 mm round, tan, immediate release film</w:t>
            </w:r>
            <w:r w:rsidR="00A15924" w:rsidRPr="00E129D2">
              <w:rPr>
                <w:sz w:val="24"/>
                <w:szCs w:val="24"/>
              </w:rPr>
              <w:noBreakHyphen/>
            </w:r>
            <w:r w:rsidRPr="00E129D2">
              <w:rPr>
                <w:sz w:val="24"/>
                <w:szCs w:val="24"/>
              </w:rPr>
              <w:t>coated, debossed with “Pfizer” on one side and “25” and “LLN” on the other side</w:t>
            </w:r>
          </w:p>
        </w:tc>
      </w:tr>
      <w:tr w:rsidR="00391682" w:rsidRPr="00BA102E" w:rsidTr="006F6228">
        <w:trPr>
          <w:trHeight w:val="255"/>
        </w:trPr>
        <w:tc>
          <w:tcPr>
            <w:tcW w:w="2160" w:type="dxa"/>
            <w:shd w:val="clear" w:color="auto" w:fill="auto"/>
          </w:tcPr>
          <w:p w:rsidR="00391682" w:rsidRPr="00E129D2" w:rsidRDefault="00391682" w:rsidP="001E1D15">
            <w:pPr>
              <w:rPr>
                <w:sz w:val="24"/>
                <w:szCs w:val="24"/>
              </w:rPr>
            </w:pPr>
            <w:r w:rsidRPr="00E129D2">
              <w:rPr>
                <w:sz w:val="24"/>
                <w:szCs w:val="24"/>
              </w:rPr>
              <w:t>30 count</w:t>
            </w:r>
            <w:r w:rsidR="00072EA5" w:rsidRPr="00E129D2">
              <w:rPr>
                <w:sz w:val="24"/>
                <w:szCs w:val="24"/>
              </w:rPr>
              <w:t xml:space="preserve"> </w:t>
            </w:r>
            <w:r w:rsidRPr="00E129D2">
              <w:rPr>
                <w:sz w:val="24"/>
                <w:szCs w:val="24"/>
              </w:rPr>
              <w:t>bottle</w:t>
            </w:r>
            <w:r w:rsidR="00072EA5" w:rsidRPr="00E129D2">
              <w:rPr>
                <w:sz w:val="24"/>
                <w:szCs w:val="24"/>
              </w:rPr>
              <w:t xml:space="preserve"> with a child-resistant closure</w:t>
            </w:r>
          </w:p>
        </w:tc>
        <w:tc>
          <w:tcPr>
            <w:tcW w:w="1440" w:type="dxa"/>
            <w:shd w:val="clear" w:color="auto" w:fill="auto"/>
          </w:tcPr>
          <w:p w:rsidR="00391682" w:rsidRPr="00E129D2" w:rsidRDefault="00391682" w:rsidP="001E1D15">
            <w:pPr>
              <w:jc w:val="center"/>
              <w:rPr>
                <w:sz w:val="24"/>
                <w:szCs w:val="24"/>
              </w:rPr>
            </w:pPr>
            <w:r w:rsidRPr="00E129D2">
              <w:rPr>
                <w:sz w:val="24"/>
                <w:szCs w:val="24"/>
              </w:rPr>
              <w:t>100</w:t>
            </w:r>
          </w:p>
        </w:tc>
        <w:tc>
          <w:tcPr>
            <w:tcW w:w="1890" w:type="dxa"/>
            <w:shd w:val="clear" w:color="auto" w:fill="auto"/>
          </w:tcPr>
          <w:p w:rsidR="00391682" w:rsidRPr="00E129D2" w:rsidRDefault="00391682" w:rsidP="001E1D15">
            <w:pPr>
              <w:jc w:val="center"/>
              <w:rPr>
                <w:sz w:val="24"/>
                <w:szCs w:val="24"/>
              </w:rPr>
            </w:pPr>
            <w:r w:rsidRPr="00E129D2">
              <w:rPr>
                <w:sz w:val="24"/>
                <w:szCs w:val="24"/>
              </w:rPr>
              <w:t>0069-0231-01</w:t>
            </w:r>
          </w:p>
        </w:tc>
        <w:tc>
          <w:tcPr>
            <w:tcW w:w="4788" w:type="dxa"/>
            <w:shd w:val="clear" w:color="auto" w:fill="auto"/>
          </w:tcPr>
          <w:p w:rsidR="00391682" w:rsidRPr="00E129D2" w:rsidRDefault="00F6501C" w:rsidP="001E1D15">
            <w:pPr>
              <w:rPr>
                <w:sz w:val="24"/>
                <w:szCs w:val="24"/>
              </w:rPr>
            </w:pPr>
            <w:r w:rsidRPr="00E129D2">
              <w:rPr>
                <w:sz w:val="24"/>
                <w:szCs w:val="24"/>
              </w:rPr>
              <w:t>8.5</w:t>
            </w:r>
            <w:r w:rsidR="00886E73" w:rsidRPr="00E129D2">
              <w:rPr>
                <w:sz w:val="24"/>
                <w:szCs w:val="24"/>
              </w:rPr>
              <w:t xml:space="preserve"> </w:t>
            </w:r>
            <w:r w:rsidR="005A3C99">
              <w:rPr>
                <w:sz w:val="24"/>
                <w:szCs w:val="24"/>
              </w:rPr>
              <w:t xml:space="preserve">mm </w:t>
            </w:r>
            <w:r w:rsidR="00A15924" w:rsidRPr="00E129D2">
              <w:rPr>
                <w:sz w:val="24"/>
                <w:szCs w:val="24"/>
              </w:rPr>
              <w:t>×</w:t>
            </w:r>
            <w:r w:rsidR="00886E73" w:rsidRPr="00E129D2">
              <w:rPr>
                <w:sz w:val="24"/>
                <w:szCs w:val="24"/>
              </w:rPr>
              <w:t xml:space="preserve"> </w:t>
            </w:r>
            <w:r w:rsidRPr="00E129D2">
              <w:rPr>
                <w:sz w:val="24"/>
                <w:szCs w:val="24"/>
              </w:rPr>
              <w:t>17</w:t>
            </w:r>
            <w:r w:rsidR="00886E73" w:rsidRPr="00E129D2">
              <w:rPr>
                <w:sz w:val="24"/>
                <w:szCs w:val="24"/>
              </w:rPr>
              <w:t xml:space="preserve"> mm</w:t>
            </w:r>
            <w:r w:rsidR="00FB1D59" w:rsidRPr="00E129D2">
              <w:rPr>
                <w:sz w:val="24"/>
                <w:szCs w:val="24"/>
              </w:rPr>
              <w:t xml:space="preserve"> oval</w:t>
            </w:r>
            <w:r w:rsidR="00886E73" w:rsidRPr="00E129D2">
              <w:rPr>
                <w:sz w:val="24"/>
                <w:szCs w:val="24"/>
              </w:rPr>
              <w:t>, lavender, immediate release</w:t>
            </w:r>
            <w:r w:rsidR="00CC700C" w:rsidRPr="00E129D2">
              <w:rPr>
                <w:sz w:val="24"/>
                <w:szCs w:val="24"/>
              </w:rPr>
              <w:t>,</w:t>
            </w:r>
            <w:r w:rsidR="00886E73" w:rsidRPr="00E129D2">
              <w:rPr>
                <w:sz w:val="24"/>
                <w:szCs w:val="24"/>
              </w:rPr>
              <w:t xml:space="preserve"> film</w:t>
            </w:r>
            <w:r w:rsidR="00A15924" w:rsidRPr="00E129D2">
              <w:rPr>
                <w:sz w:val="24"/>
                <w:szCs w:val="24"/>
              </w:rPr>
              <w:noBreakHyphen/>
            </w:r>
            <w:r w:rsidR="00886E73" w:rsidRPr="00E129D2">
              <w:rPr>
                <w:sz w:val="24"/>
                <w:szCs w:val="24"/>
              </w:rPr>
              <w:t>coated, debossed with “Pfizer” on one side and “LLN 100” on the other side</w:t>
            </w:r>
          </w:p>
        </w:tc>
      </w:tr>
    </w:tbl>
    <w:p w:rsidR="005B7232" w:rsidRDefault="005B7232" w:rsidP="001E1D15">
      <w:pPr>
        <w:pStyle w:val="CommentText"/>
        <w:rPr>
          <w:sz w:val="24"/>
          <w:szCs w:val="24"/>
        </w:rPr>
      </w:pPr>
    </w:p>
    <w:p w:rsidR="00F0359A" w:rsidRDefault="00560A44" w:rsidP="001E1D15">
      <w:pPr>
        <w:pStyle w:val="CommentText"/>
        <w:rPr>
          <w:sz w:val="24"/>
          <w:szCs w:val="24"/>
        </w:rPr>
      </w:pPr>
      <w:r w:rsidRPr="003773A4">
        <w:rPr>
          <w:sz w:val="24"/>
          <w:szCs w:val="24"/>
        </w:rPr>
        <w:t xml:space="preserve">Store at </w:t>
      </w:r>
      <w:r>
        <w:rPr>
          <w:sz w:val="24"/>
          <w:szCs w:val="24"/>
        </w:rPr>
        <w:t>20</w:t>
      </w:r>
      <w:r w:rsidRPr="003773A4">
        <w:rPr>
          <w:sz w:val="24"/>
          <w:szCs w:val="24"/>
          <w:vertAlign w:val="superscript"/>
        </w:rPr>
        <w:t>o</w:t>
      </w:r>
      <w:r w:rsidRPr="003773A4">
        <w:rPr>
          <w:sz w:val="24"/>
          <w:szCs w:val="24"/>
        </w:rPr>
        <w:t xml:space="preserve">C to </w:t>
      </w:r>
      <w:r>
        <w:rPr>
          <w:sz w:val="24"/>
          <w:szCs w:val="24"/>
        </w:rPr>
        <w:t>25</w:t>
      </w:r>
      <w:r w:rsidRPr="003773A4">
        <w:rPr>
          <w:sz w:val="24"/>
          <w:szCs w:val="24"/>
          <w:vertAlign w:val="superscript"/>
        </w:rPr>
        <w:t>o</w:t>
      </w:r>
      <w:r w:rsidRPr="003773A4">
        <w:rPr>
          <w:sz w:val="24"/>
          <w:szCs w:val="24"/>
        </w:rPr>
        <w:t>C (</w:t>
      </w:r>
      <w:r>
        <w:rPr>
          <w:sz w:val="24"/>
          <w:szCs w:val="24"/>
        </w:rPr>
        <w:t>68</w:t>
      </w:r>
      <w:r w:rsidRPr="003773A4">
        <w:rPr>
          <w:sz w:val="24"/>
          <w:szCs w:val="24"/>
          <w:vertAlign w:val="superscript"/>
        </w:rPr>
        <w:t>o</w:t>
      </w:r>
      <w:r w:rsidRPr="003773A4">
        <w:rPr>
          <w:sz w:val="24"/>
          <w:szCs w:val="24"/>
        </w:rPr>
        <w:t xml:space="preserve">F to </w:t>
      </w:r>
      <w:r>
        <w:rPr>
          <w:sz w:val="24"/>
          <w:szCs w:val="24"/>
        </w:rPr>
        <w:t>77</w:t>
      </w:r>
      <w:r w:rsidRPr="003773A4">
        <w:rPr>
          <w:sz w:val="24"/>
          <w:szCs w:val="24"/>
          <w:vertAlign w:val="superscript"/>
        </w:rPr>
        <w:t>o</w:t>
      </w:r>
      <w:r w:rsidRPr="003773A4">
        <w:rPr>
          <w:sz w:val="24"/>
          <w:szCs w:val="24"/>
        </w:rPr>
        <w:t xml:space="preserve">F); excursions permitted between </w:t>
      </w:r>
      <w:r>
        <w:rPr>
          <w:sz w:val="24"/>
          <w:szCs w:val="24"/>
        </w:rPr>
        <w:t>15</w:t>
      </w:r>
      <w:r w:rsidRPr="003773A4">
        <w:rPr>
          <w:sz w:val="24"/>
          <w:szCs w:val="24"/>
          <w:vertAlign w:val="superscript"/>
        </w:rPr>
        <w:t>o</w:t>
      </w:r>
      <w:r w:rsidRPr="003773A4">
        <w:rPr>
          <w:sz w:val="24"/>
          <w:szCs w:val="24"/>
        </w:rPr>
        <w:t xml:space="preserve">C to </w:t>
      </w:r>
      <w:r>
        <w:rPr>
          <w:sz w:val="24"/>
          <w:szCs w:val="24"/>
        </w:rPr>
        <w:t>30</w:t>
      </w:r>
      <w:r w:rsidRPr="003773A4">
        <w:rPr>
          <w:sz w:val="24"/>
          <w:szCs w:val="24"/>
          <w:vertAlign w:val="superscript"/>
        </w:rPr>
        <w:t>o</w:t>
      </w:r>
      <w:r w:rsidRPr="003773A4">
        <w:rPr>
          <w:sz w:val="24"/>
          <w:szCs w:val="24"/>
        </w:rPr>
        <w:t>C (</w:t>
      </w:r>
      <w:r>
        <w:rPr>
          <w:sz w:val="24"/>
          <w:szCs w:val="24"/>
        </w:rPr>
        <w:t>59</w:t>
      </w:r>
      <w:r w:rsidRPr="003773A4">
        <w:rPr>
          <w:sz w:val="24"/>
          <w:szCs w:val="24"/>
          <w:vertAlign w:val="superscript"/>
        </w:rPr>
        <w:t>o</w:t>
      </w:r>
      <w:r w:rsidRPr="003773A4">
        <w:rPr>
          <w:sz w:val="24"/>
          <w:szCs w:val="24"/>
        </w:rPr>
        <w:t xml:space="preserve">F to </w:t>
      </w:r>
      <w:r>
        <w:rPr>
          <w:sz w:val="24"/>
          <w:szCs w:val="24"/>
        </w:rPr>
        <w:t>86</w:t>
      </w:r>
      <w:r w:rsidRPr="003773A4">
        <w:rPr>
          <w:sz w:val="24"/>
          <w:szCs w:val="24"/>
          <w:vertAlign w:val="superscript"/>
        </w:rPr>
        <w:t>o</w:t>
      </w:r>
      <w:r w:rsidRPr="003773A4">
        <w:rPr>
          <w:sz w:val="24"/>
          <w:szCs w:val="24"/>
        </w:rPr>
        <w:t>F)</w:t>
      </w:r>
      <w:r>
        <w:rPr>
          <w:sz w:val="24"/>
          <w:szCs w:val="24"/>
        </w:rPr>
        <w:t xml:space="preserve"> </w:t>
      </w:r>
      <w:bookmarkStart w:id="24" w:name="_Hlk511717437"/>
      <w:r w:rsidRPr="00E32632">
        <w:rPr>
          <w:sz w:val="24"/>
          <w:szCs w:val="24"/>
        </w:rPr>
        <w:t>[see USP Controlled Room Temperature]</w:t>
      </w:r>
      <w:r w:rsidRPr="003773A4">
        <w:rPr>
          <w:sz w:val="24"/>
          <w:szCs w:val="24"/>
        </w:rPr>
        <w:t>.</w:t>
      </w:r>
      <w:bookmarkEnd w:id="24"/>
    </w:p>
    <w:p w:rsidR="005B7232" w:rsidRPr="00A13F5A" w:rsidRDefault="005B7232" w:rsidP="001E1D15">
      <w:pPr>
        <w:pStyle w:val="CommentText"/>
        <w:rPr>
          <w:sz w:val="22"/>
        </w:rPr>
      </w:pPr>
    </w:p>
    <w:p w:rsidR="00E42862" w:rsidRPr="00BA102E" w:rsidRDefault="00246318" w:rsidP="001E1D15">
      <w:pPr>
        <w:pStyle w:val="Heading1"/>
        <w:jc w:val="left"/>
        <w:rPr>
          <w:sz w:val="24"/>
          <w:szCs w:val="24"/>
        </w:rPr>
      </w:pPr>
      <w:r w:rsidRPr="002571F2">
        <w:rPr>
          <w:sz w:val="24"/>
          <w:szCs w:val="24"/>
        </w:rPr>
        <w:t>1</w:t>
      </w:r>
      <w:r w:rsidR="00991EAF" w:rsidRPr="002571F2">
        <w:rPr>
          <w:sz w:val="24"/>
          <w:szCs w:val="24"/>
        </w:rPr>
        <w:t>7</w:t>
      </w:r>
      <w:r w:rsidR="002571F2">
        <w:rPr>
          <w:sz w:val="24"/>
          <w:szCs w:val="24"/>
        </w:rPr>
        <w:tab/>
      </w:r>
      <w:r w:rsidR="002571F2">
        <w:rPr>
          <w:sz w:val="24"/>
          <w:szCs w:val="24"/>
        </w:rPr>
        <w:tab/>
      </w:r>
      <w:r w:rsidR="00E42862" w:rsidRPr="002571F2">
        <w:rPr>
          <w:sz w:val="24"/>
          <w:szCs w:val="24"/>
        </w:rPr>
        <w:t>PATIENT COUNSELING INFORMATION</w:t>
      </w:r>
    </w:p>
    <w:p w:rsidR="005B7232" w:rsidRDefault="005B7232" w:rsidP="001E1D15">
      <w:pPr>
        <w:keepNext/>
        <w:tabs>
          <w:tab w:val="left" w:pos="288"/>
        </w:tabs>
        <w:rPr>
          <w:sz w:val="24"/>
          <w:szCs w:val="24"/>
          <w:lang w:val="en"/>
        </w:rPr>
      </w:pPr>
    </w:p>
    <w:p w:rsidR="00CA7E7E" w:rsidRDefault="00CA7E7E" w:rsidP="001E1D15">
      <w:pPr>
        <w:keepNext/>
        <w:tabs>
          <w:tab w:val="left" w:pos="288"/>
        </w:tabs>
        <w:rPr>
          <w:sz w:val="24"/>
          <w:szCs w:val="24"/>
          <w:lang w:val="en"/>
        </w:rPr>
      </w:pPr>
      <w:r w:rsidRPr="00CA7E7E">
        <w:rPr>
          <w:sz w:val="24"/>
          <w:szCs w:val="24"/>
          <w:lang w:val="en"/>
        </w:rPr>
        <w:t>Advise the patient to read the FDA-approved patient labeling</w:t>
      </w:r>
      <w:r w:rsidRPr="009B7D2D">
        <w:rPr>
          <w:sz w:val="24"/>
          <w:szCs w:val="24"/>
          <w:lang w:val="en"/>
        </w:rPr>
        <w:t xml:space="preserve"> (Patient Information)</w:t>
      </w:r>
      <w:r w:rsidRPr="00CA7E7E">
        <w:rPr>
          <w:sz w:val="24"/>
          <w:szCs w:val="24"/>
          <w:lang w:val="en"/>
        </w:rPr>
        <w:t>.</w:t>
      </w:r>
    </w:p>
    <w:p w:rsidR="005B7232" w:rsidRDefault="005B7232" w:rsidP="001E1D15">
      <w:pPr>
        <w:keepNext/>
        <w:tabs>
          <w:tab w:val="left" w:pos="288"/>
        </w:tabs>
        <w:rPr>
          <w:sz w:val="24"/>
          <w:szCs w:val="24"/>
          <w:u w:val="single"/>
          <w:lang w:val="en"/>
        </w:rPr>
      </w:pPr>
    </w:p>
    <w:p w:rsidR="004B1382" w:rsidRPr="00006A13" w:rsidRDefault="00171377" w:rsidP="001E1D15">
      <w:pPr>
        <w:keepNext/>
        <w:tabs>
          <w:tab w:val="left" w:pos="288"/>
        </w:tabs>
        <w:rPr>
          <w:sz w:val="24"/>
          <w:szCs w:val="24"/>
          <w:u w:val="single"/>
          <w:lang w:val="en"/>
        </w:rPr>
      </w:pPr>
      <w:r>
        <w:rPr>
          <w:sz w:val="24"/>
          <w:szCs w:val="24"/>
          <w:u w:val="single"/>
          <w:lang w:val="en"/>
        </w:rPr>
        <w:t xml:space="preserve">Risk of Serious Hepatotoxicity with </w:t>
      </w:r>
      <w:r w:rsidR="00826C63">
        <w:rPr>
          <w:sz w:val="24"/>
          <w:szCs w:val="24"/>
          <w:u w:val="single"/>
          <w:lang w:val="en"/>
        </w:rPr>
        <w:t>Concomitant Use</w:t>
      </w:r>
      <w:r>
        <w:rPr>
          <w:sz w:val="24"/>
          <w:szCs w:val="24"/>
          <w:u w:val="single"/>
          <w:lang w:val="en"/>
        </w:rPr>
        <w:t xml:space="preserve"> of </w:t>
      </w:r>
      <w:r w:rsidR="00826C63">
        <w:rPr>
          <w:sz w:val="24"/>
          <w:szCs w:val="24"/>
          <w:u w:val="single"/>
          <w:lang w:val="en"/>
        </w:rPr>
        <w:t xml:space="preserve">Strong </w:t>
      </w:r>
      <w:r>
        <w:rPr>
          <w:sz w:val="24"/>
          <w:szCs w:val="24"/>
          <w:u w:val="single"/>
          <w:lang w:val="en"/>
        </w:rPr>
        <w:t>CYP3A Inducers</w:t>
      </w:r>
    </w:p>
    <w:p w:rsidR="00D16348" w:rsidRDefault="004B1382" w:rsidP="001E1D15">
      <w:pPr>
        <w:keepNext/>
        <w:tabs>
          <w:tab w:val="left" w:pos="288"/>
        </w:tabs>
        <w:rPr>
          <w:sz w:val="24"/>
          <w:szCs w:val="24"/>
          <w:lang w:val="en"/>
        </w:rPr>
      </w:pPr>
      <w:r>
        <w:rPr>
          <w:sz w:val="24"/>
          <w:szCs w:val="24"/>
          <w:lang w:val="en"/>
        </w:rPr>
        <w:t xml:space="preserve">Inform patients </w:t>
      </w:r>
      <w:r w:rsidR="00171377">
        <w:rPr>
          <w:sz w:val="24"/>
          <w:szCs w:val="24"/>
          <w:lang w:val="en"/>
        </w:rPr>
        <w:t xml:space="preserve">of the potential risk of hepatoxicity with the concomitant use of </w:t>
      </w:r>
      <w:r w:rsidR="00826C63">
        <w:rPr>
          <w:sz w:val="24"/>
          <w:szCs w:val="24"/>
          <w:lang w:val="en"/>
        </w:rPr>
        <w:t xml:space="preserve">strong </w:t>
      </w:r>
      <w:r w:rsidR="00171377">
        <w:rPr>
          <w:sz w:val="24"/>
          <w:szCs w:val="24"/>
          <w:lang w:val="en"/>
        </w:rPr>
        <w:t>CYP3A inducers</w:t>
      </w:r>
      <w:r w:rsidR="00A55671">
        <w:rPr>
          <w:sz w:val="24"/>
          <w:szCs w:val="24"/>
          <w:lang w:val="en"/>
        </w:rPr>
        <w:t>.</w:t>
      </w:r>
    </w:p>
    <w:p w:rsidR="001E0DEB" w:rsidRDefault="001E0DEB" w:rsidP="001E1D15">
      <w:pPr>
        <w:keepNext/>
        <w:tabs>
          <w:tab w:val="left" w:pos="288"/>
        </w:tabs>
        <w:rPr>
          <w:sz w:val="24"/>
          <w:szCs w:val="24"/>
          <w:lang w:val="en"/>
        </w:rPr>
      </w:pPr>
    </w:p>
    <w:p w:rsidR="004B1382" w:rsidRPr="00CA7E7E" w:rsidRDefault="004B1382" w:rsidP="001E1D15">
      <w:pPr>
        <w:keepNext/>
        <w:tabs>
          <w:tab w:val="left" w:pos="288"/>
        </w:tabs>
        <w:rPr>
          <w:sz w:val="24"/>
          <w:szCs w:val="24"/>
          <w:lang w:val="en"/>
        </w:rPr>
      </w:pPr>
      <w:r w:rsidRPr="00CA7E7E">
        <w:rPr>
          <w:sz w:val="24"/>
          <w:szCs w:val="24"/>
          <w:lang w:val="en"/>
        </w:rPr>
        <w:t>Advise patients to inform</w:t>
      </w:r>
      <w:r>
        <w:rPr>
          <w:sz w:val="24"/>
          <w:szCs w:val="24"/>
          <w:lang w:val="en"/>
        </w:rPr>
        <w:t xml:space="preserve"> </w:t>
      </w:r>
      <w:r w:rsidRPr="00CA7E7E">
        <w:rPr>
          <w:sz w:val="24"/>
          <w:szCs w:val="24"/>
          <w:lang w:val="en"/>
        </w:rPr>
        <w:t>their healthcare providers of all medications</w:t>
      </w:r>
      <w:r w:rsidR="00142F21">
        <w:rPr>
          <w:sz w:val="24"/>
          <w:szCs w:val="24"/>
          <w:lang w:val="en"/>
        </w:rPr>
        <w:t xml:space="preserve"> they are taking</w:t>
      </w:r>
      <w:r w:rsidRPr="00CA7E7E">
        <w:rPr>
          <w:sz w:val="24"/>
          <w:szCs w:val="24"/>
          <w:lang w:val="en"/>
        </w:rPr>
        <w:t>, including prescription medicines,</w:t>
      </w:r>
      <w:r>
        <w:rPr>
          <w:sz w:val="24"/>
          <w:szCs w:val="24"/>
          <w:lang w:val="en"/>
        </w:rPr>
        <w:t xml:space="preserve"> </w:t>
      </w:r>
      <w:r w:rsidRPr="00CA7E7E">
        <w:rPr>
          <w:sz w:val="24"/>
          <w:szCs w:val="24"/>
          <w:lang w:val="en"/>
        </w:rPr>
        <w:t>over-the-counter drugs, vitamins, and herbal products</w:t>
      </w:r>
      <w:r w:rsidR="00E1780D">
        <w:rPr>
          <w:sz w:val="24"/>
          <w:szCs w:val="24"/>
          <w:lang w:val="en"/>
        </w:rPr>
        <w:t xml:space="preserve"> (e.g., St. John</w:t>
      </w:r>
      <w:r w:rsidR="004D3D02">
        <w:rPr>
          <w:sz w:val="24"/>
          <w:szCs w:val="24"/>
          <w:lang w:val="en"/>
        </w:rPr>
        <w:t>'</w:t>
      </w:r>
      <w:r w:rsidR="00E1780D">
        <w:rPr>
          <w:sz w:val="24"/>
          <w:szCs w:val="24"/>
          <w:lang w:val="en"/>
        </w:rPr>
        <w:t>s wort)</w:t>
      </w:r>
      <w:r w:rsidRPr="00CA7E7E">
        <w:rPr>
          <w:sz w:val="24"/>
          <w:szCs w:val="24"/>
          <w:lang w:val="en"/>
        </w:rPr>
        <w:t xml:space="preserve"> </w:t>
      </w:r>
      <w:r w:rsidRPr="00CB6785">
        <w:rPr>
          <w:i/>
          <w:sz w:val="24"/>
          <w:szCs w:val="24"/>
          <w:lang w:val="en"/>
        </w:rPr>
        <w:t xml:space="preserve">[see </w:t>
      </w:r>
      <w:r w:rsidR="00171377">
        <w:rPr>
          <w:i/>
          <w:sz w:val="24"/>
          <w:szCs w:val="24"/>
          <w:lang w:val="en"/>
        </w:rPr>
        <w:t>Warnings and Precautions (5.1</w:t>
      </w:r>
      <w:r w:rsidRPr="00CB6785">
        <w:rPr>
          <w:i/>
          <w:sz w:val="24"/>
          <w:szCs w:val="24"/>
          <w:lang w:val="en"/>
        </w:rPr>
        <w:t>)]</w:t>
      </w:r>
      <w:r w:rsidRPr="00CA7E7E">
        <w:rPr>
          <w:sz w:val="24"/>
          <w:szCs w:val="24"/>
          <w:lang w:val="en"/>
        </w:rPr>
        <w:t>.</w:t>
      </w:r>
    </w:p>
    <w:p w:rsidR="005B7232" w:rsidRDefault="005B7232" w:rsidP="001E1D15">
      <w:pPr>
        <w:keepNext/>
        <w:tabs>
          <w:tab w:val="left" w:pos="288"/>
        </w:tabs>
        <w:rPr>
          <w:sz w:val="24"/>
          <w:szCs w:val="24"/>
          <w:u w:val="single"/>
          <w:lang w:val="en"/>
        </w:rPr>
      </w:pPr>
    </w:p>
    <w:p w:rsidR="00CC700C" w:rsidRPr="00006A13" w:rsidRDefault="00CC700C" w:rsidP="001E1D15">
      <w:pPr>
        <w:keepNext/>
        <w:tabs>
          <w:tab w:val="left" w:pos="288"/>
        </w:tabs>
        <w:rPr>
          <w:sz w:val="24"/>
          <w:szCs w:val="24"/>
          <w:u w:val="single"/>
          <w:lang w:val="en"/>
        </w:rPr>
      </w:pPr>
      <w:r w:rsidRPr="00006A13">
        <w:rPr>
          <w:sz w:val="24"/>
          <w:szCs w:val="24"/>
          <w:u w:val="single"/>
          <w:lang w:val="en"/>
        </w:rPr>
        <w:t>Central Nervous System</w:t>
      </w:r>
      <w:r>
        <w:rPr>
          <w:sz w:val="24"/>
          <w:szCs w:val="24"/>
          <w:u w:val="single"/>
          <w:lang w:val="en"/>
        </w:rPr>
        <w:t xml:space="preserve"> (CNS)</w:t>
      </w:r>
      <w:r w:rsidRPr="00006A13">
        <w:rPr>
          <w:sz w:val="24"/>
          <w:szCs w:val="24"/>
          <w:u w:val="single"/>
          <w:lang w:val="en"/>
        </w:rPr>
        <w:t xml:space="preserve"> Effects</w:t>
      </w:r>
    </w:p>
    <w:p w:rsidR="00CC700C" w:rsidRDefault="00CC700C" w:rsidP="001E1D15">
      <w:pPr>
        <w:keepNext/>
        <w:tabs>
          <w:tab w:val="left" w:pos="288"/>
        </w:tabs>
        <w:rPr>
          <w:sz w:val="24"/>
          <w:szCs w:val="24"/>
          <w:lang w:val="en"/>
        </w:rPr>
      </w:pPr>
      <w:r>
        <w:rPr>
          <w:sz w:val="24"/>
          <w:szCs w:val="24"/>
          <w:lang w:val="en"/>
        </w:rPr>
        <w:t xml:space="preserve">Advise patients to notify their healthcare provider if they experience new or worsening CNS symptoms </w:t>
      </w:r>
      <w:r w:rsidRPr="00CB6785">
        <w:rPr>
          <w:i/>
          <w:sz w:val="24"/>
          <w:szCs w:val="24"/>
          <w:lang w:val="en"/>
        </w:rPr>
        <w:t>[see Warnings and Precautions (5.</w:t>
      </w:r>
      <w:r>
        <w:rPr>
          <w:i/>
          <w:sz w:val="24"/>
          <w:szCs w:val="24"/>
          <w:lang w:val="en"/>
        </w:rPr>
        <w:t>2</w:t>
      </w:r>
      <w:r w:rsidRPr="00CB6785">
        <w:rPr>
          <w:i/>
          <w:sz w:val="24"/>
          <w:szCs w:val="24"/>
          <w:lang w:val="en"/>
        </w:rPr>
        <w:t>)]</w:t>
      </w:r>
      <w:r>
        <w:rPr>
          <w:i/>
          <w:sz w:val="24"/>
          <w:szCs w:val="24"/>
          <w:lang w:val="en"/>
        </w:rPr>
        <w:t>.</w:t>
      </w:r>
    </w:p>
    <w:p w:rsidR="005B7232" w:rsidRDefault="005B7232" w:rsidP="001E1D15">
      <w:pPr>
        <w:tabs>
          <w:tab w:val="left" w:pos="288"/>
        </w:tabs>
        <w:rPr>
          <w:sz w:val="24"/>
          <w:szCs w:val="24"/>
          <w:u w:val="single"/>
          <w:lang w:val="en"/>
        </w:rPr>
      </w:pPr>
    </w:p>
    <w:p w:rsidR="00CA7E7E" w:rsidRPr="00CB6785" w:rsidRDefault="00CA7E7E" w:rsidP="001E1D15">
      <w:pPr>
        <w:tabs>
          <w:tab w:val="left" w:pos="288"/>
        </w:tabs>
        <w:rPr>
          <w:sz w:val="24"/>
          <w:szCs w:val="24"/>
          <w:u w:val="single"/>
          <w:lang w:val="en"/>
        </w:rPr>
      </w:pPr>
      <w:r w:rsidRPr="00CB6785">
        <w:rPr>
          <w:sz w:val="24"/>
          <w:szCs w:val="24"/>
          <w:u w:val="single"/>
          <w:lang w:val="en"/>
        </w:rPr>
        <w:t>H</w:t>
      </w:r>
      <w:r w:rsidR="00005253">
        <w:rPr>
          <w:sz w:val="24"/>
          <w:szCs w:val="24"/>
          <w:u w:val="single"/>
          <w:lang w:val="en"/>
        </w:rPr>
        <w:t>yperlipidemia</w:t>
      </w:r>
    </w:p>
    <w:p w:rsidR="00CA7E7E" w:rsidRDefault="00CA7E7E" w:rsidP="001E1D15">
      <w:pPr>
        <w:tabs>
          <w:tab w:val="left" w:pos="288"/>
        </w:tabs>
        <w:rPr>
          <w:sz w:val="24"/>
          <w:szCs w:val="24"/>
          <w:lang w:val="en"/>
        </w:rPr>
      </w:pPr>
      <w:r w:rsidRPr="00CA7E7E">
        <w:rPr>
          <w:sz w:val="24"/>
          <w:szCs w:val="24"/>
          <w:lang w:val="en"/>
        </w:rPr>
        <w:t xml:space="preserve">Inform patients </w:t>
      </w:r>
      <w:r w:rsidR="00005253">
        <w:rPr>
          <w:sz w:val="24"/>
          <w:szCs w:val="24"/>
          <w:lang w:val="en"/>
        </w:rPr>
        <w:t xml:space="preserve">that serum cholesterol and triglycerides will </w:t>
      </w:r>
      <w:r w:rsidR="00142F21">
        <w:rPr>
          <w:sz w:val="24"/>
          <w:szCs w:val="24"/>
          <w:lang w:val="en"/>
        </w:rPr>
        <w:t xml:space="preserve">be monitored </w:t>
      </w:r>
      <w:r w:rsidR="00005253">
        <w:rPr>
          <w:sz w:val="24"/>
          <w:szCs w:val="24"/>
          <w:lang w:val="en"/>
        </w:rPr>
        <w:t>during treatment</w:t>
      </w:r>
      <w:r w:rsidR="00CC700C">
        <w:rPr>
          <w:sz w:val="24"/>
          <w:szCs w:val="24"/>
          <w:lang w:val="en"/>
        </w:rPr>
        <w:t xml:space="preserve">. </w:t>
      </w:r>
      <w:r w:rsidR="00005253">
        <w:rPr>
          <w:sz w:val="24"/>
          <w:szCs w:val="24"/>
          <w:lang w:val="en"/>
        </w:rPr>
        <w:t>Advise patients that initiation or an increase in the dose of lipid-lowering agents</w:t>
      </w:r>
      <w:r w:rsidRPr="00CA7E7E">
        <w:rPr>
          <w:sz w:val="24"/>
          <w:szCs w:val="24"/>
          <w:lang w:val="en"/>
        </w:rPr>
        <w:t xml:space="preserve"> </w:t>
      </w:r>
      <w:r w:rsidR="00005253">
        <w:rPr>
          <w:sz w:val="24"/>
          <w:szCs w:val="24"/>
          <w:lang w:val="en"/>
        </w:rPr>
        <w:t xml:space="preserve">may be required </w:t>
      </w:r>
      <w:r w:rsidRPr="00CB6785">
        <w:rPr>
          <w:i/>
          <w:sz w:val="24"/>
          <w:szCs w:val="24"/>
          <w:lang w:val="en"/>
        </w:rPr>
        <w:t>[see Warnings and Precautions (5.</w:t>
      </w:r>
      <w:r w:rsidR="00CC700C">
        <w:rPr>
          <w:i/>
          <w:sz w:val="24"/>
          <w:szCs w:val="24"/>
          <w:lang w:val="en"/>
        </w:rPr>
        <w:t>3</w:t>
      </w:r>
      <w:r w:rsidRPr="00CB6785">
        <w:rPr>
          <w:i/>
          <w:sz w:val="24"/>
          <w:szCs w:val="24"/>
          <w:lang w:val="en"/>
        </w:rPr>
        <w:t>)]</w:t>
      </w:r>
      <w:r w:rsidRPr="00CA7E7E">
        <w:rPr>
          <w:sz w:val="24"/>
          <w:szCs w:val="24"/>
          <w:lang w:val="en"/>
        </w:rPr>
        <w:t>.</w:t>
      </w:r>
    </w:p>
    <w:p w:rsidR="005B7232" w:rsidRDefault="005B7232" w:rsidP="00310C9F">
      <w:pPr>
        <w:tabs>
          <w:tab w:val="left" w:pos="288"/>
        </w:tabs>
        <w:rPr>
          <w:sz w:val="24"/>
          <w:szCs w:val="24"/>
          <w:u w:val="single"/>
          <w:lang w:val="en"/>
        </w:rPr>
      </w:pPr>
    </w:p>
    <w:p w:rsidR="00481646" w:rsidRDefault="00481646" w:rsidP="00310C9F">
      <w:pPr>
        <w:tabs>
          <w:tab w:val="left" w:pos="288"/>
        </w:tabs>
        <w:rPr>
          <w:sz w:val="24"/>
          <w:szCs w:val="24"/>
          <w:u w:val="single"/>
          <w:lang w:val="en"/>
        </w:rPr>
      </w:pPr>
      <w:r>
        <w:rPr>
          <w:sz w:val="24"/>
          <w:szCs w:val="24"/>
          <w:u w:val="single"/>
          <w:lang w:val="en"/>
        </w:rPr>
        <w:t xml:space="preserve">Atrioventricular </w:t>
      </w:r>
      <w:r w:rsidR="00171FEE">
        <w:rPr>
          <w:sz w:val="24"/>
          <w:szCs w:val="24"/>
          <w:u w:val="single"/>
          <w:lang w:val="en"/>
        </w:rPr>
        <w:t xml:space="preserve">(AV) </w:t>
      </w:r>
      <w:r>
        <w:rPr>
          <w:sz w:val="24"/>
          <w:szCs w:val="24"/>
          <w:u w:val="single"/>
          <w:lang w:val="en"/>
        </w:rPr>
        <w:t>Block</w:t>
      </w:r>
      <w:r w:rsidR="00404E89">
        <w:rPr>
          <w:sz w:val="24"/>
          <w:szCs w:val="24"/>
          <w:u w:val="single"/>
          <w:lang w:val="en"/>
        </w:rPr>
        <w:t xml:space="preserve"> </w:t>
      </w:r>
    </w:p>
    <w:p w:rsidR="00171FEE" w:rsidRDefault="00481646" w:rsidP="00310C9F">
      <w:pPr>
        <w:tabs>
          <w:tab w:val="left" w:pos="288"/>
        </w:tabs>
        <w:rPr>
          <w:sz w:val="24"/>
          <w:szCs w:val="24"/>
          <w:u w:val="single"/>
          <w:lang w:val="en"/>
        </w:rPr>
      </w:pPr>
      <w:r>
        <w:rPr>
          <w:sz w:val="24"/>
          <w:szCs w:val="24"/>
          <w:lang w:val="en"/>
        </w:rPr>
        <w:t xml:space="preserve">Inform patients of the risks of </w:t>
      </w:r>
      <w:r w:rsidR="00647407">
        <w:rPr>
          <w:sz w:val="24"/>
          <w:szCs w:val="24"/>
          <w:lang w:val="en"/>
        </w:rPr>
        <w:t xml:space="preserve">AV </w:t>
      </w:r>
      <w:r>
        <w:rPr>
          <w:sz w:val="24"/>
          <w:szCs w:val="24"/>
          <w:lang w:val="en"/>
        </w:rPr>
        <w:t xml:space="preserve">block. Advise patients to contact their healthcare provider immediately to report new </w:t>
      </w:r>
      <w:r w:rsidR="009E36FA">
        <w:rPr>
          <w:sz w:val="24"/>
          <w:szCs w:val="24"/>
          <w:lang w:val="en"/>
        </w:rPr>
        <w:t xml:space="preserve">or worsening </w:t>
      </w:r>
      <w:r w:rsidR="00E1780D">
        <w:rPr>
          <w:sz w:val="24"/>
          <w:szCs w:val="24"/>
          <w:lang w:val="en"/>
        </w:rPr>
        <w:t xml:space="preserve">cardiac symptoms </w:t>
      </w:r>
      <w:r w:rsidRPr="00CB6785">
        <w:rPr>
          <w:i/>
          <w:sz w:val="24"/>
          <w:szCs w:val="24"/>
          <w:lang w:val="en"/>
        </w:rPr>
        <w:t>[see Warnings and Precautions (5.</w:t>
      </w:r>
      <w:r w:rsidR="009B56F5">
        <w:rPr>
          <w:i/>
          <w:sz w:val="24"/>
          <w:szCs w:val="24"/>
          <w:lang w:val="en"/>
        </w:rPr>
        <w:t>4</w:t>
      </w:r>
      <w:r w:rsidRPr="00CB6785">
        <w:rPr>
          <w:i/>
          <w:sz w:val="24"/>
          <w:szCs w:val="24"/>
          <w:lang w:val="en"/>
        </w:rPr>
        <w:t>)]</w:t>
      </w:r>
      <w:r w:rsidRPr="00CA7E7E">
        <w:rPr>
          <w:sz w:val="24"/>
          <w:szCs w:val="24"/>
          <w:lang w:val="en"/>
        </w:rPr>
        <w:t>.</w:t>
      </w:r>
    </w:p>
    <w:p w:rsidR="005B7232" w:rsidRDefault="005B7232" w:rsidP="00310C9F">
      <w:pPr>
        <w:tabs>
          <w:tab w:val="left" w:pos="288"/>
        </w:tabs>
        <w:rPr>
          <w:sz w:val="24"/>
          <w:szCs w:val="24"/>
          <w:u w:val="single"/>
          <w:lang w:val="en"/>
        </w:rPr>
      </w:pPr>
    </w:p>
    <w:p w:rsidR="00E42862" w:rsidRDefault="00E42862" w:rsidP="001E1D15">
      <w:pPr>
        <w:keepNext/>
        <w:tabs>
          <w:tab w:val="left" w:pos="288"/>
        </w:tabs>
        <w:rPr>
          <w:sz w:val="24"/>
          <w:szCs w:val="24"/>
          <w:u w:val="single"/>
          <w:lang w:val="en"/>
        </w:rPr>
      </w:pPr>
      <w:r>
        <w:rPr>
          <w:sz w:val="24"/>
          <w:szCs w:val="24"/>
          <w:u w:val="single"/>
          <w:lang w:val="en"/>
        </w:rPr>
        <w:lastRenderedPageBreak/>
        <w:t>Interstitial Lung Disease (ILD)/Pneumonitis</w:t>
      </w:r>
    </w:p>
    <w:p w:rsidR="006D4CB6" w:rsidRDefault="00E42862" w:rsidP="001E1D15">
      <w:pPr>
        <w:tabs>
          <w:tab w:val="left" w:pos="288"/>
        </w:tabs>
        <w:rPr>
          <w:sz w:val="24"/>
          <w:szCs w:val="24"/>
          <w:lang w:val="en"/>
        </w:rPr>
      </w:pPr>
      <w:r w:rsidRPr="006D4CB6">
        <w:rPr>
          <w:sz w:val="24"/>
          <w:szCs w:val="24"/>
          <w:lang w:val="en"/>
        </w:rPr>
        <w:t xml:space="preserve">Inform patients </w:t>
      </w:r>
      <w:r w:rsidR="006D4CB6" w:rsidRPr="006D4CB6">
        <w:rPr>
          <w:sz w:val="24"/>
          <w:szCs w:val="24"/>
          <w:lang w:val="en"/>
        </w:rPr>
        <w:t xml:space="preserve">of the risks of severe ILD/pneumonitis. Advise patients to contact their healthcare provider immediately to report new or worsening respiratory symptoms </w:t>
      </w:r>
      <w:r w:rsidR="006D4CB6" w:rsidRPr="006D4CB6">
        <w:rPr>
          <w:i/>
          <w:sz w:val="24"/>
          <w:szCs w:val="24"/>
          <w:lang w:val="en"/>
        </w:rPr>
        <w:t>[see Warnings and Precautions (5.</w:t>
      </w:r>
      <w:r w:rsidR="006D4CB6">
        <w:rPr>
          <w:i/>
          <w:sz w:val="24"/>
          <w:szCs w:val="24"/>
          <w:lang w:val="en"/>
        </w:rPr>
        <w:t>5</w:t>
      </w:r>
      <w:r w:rsidR="006D4CB6" w:rsidRPr="006D4CB6">
        <w:rPr>
          <w:i/>
          <w:sz w:val="24"/>
          <w:szCs w:val="24"/>
          <w:lang w:val="en"/>
        </w:rPr>
        <w:t>)]</w:t>
      </w:r>
      <w:r w:rsidR="006D4CB6" w:rsidRPr="006D4CB6">
        <w:rPr>
          <w:sz w:val="24"/>
          <w:szCs w:val="24"/>
          <w:lang w:val="en"/>
        </w:rPr>
        <w:t>.</w:t>
      </w:r>
    </w:p>
    <w:p w:rsidR="005B7232" w:rsidRDefault="005B7232" w:rsidP="001E1D15">
      <w:pPr>
        <w:keepNext/>
        <w:tabs>
          <w:tab w:val="left" w:pos="288"/>
        </w:tabs>
        <w:rPr>
          <w:sz w:val="24"/>
          <w:szCs w:val="24"/>
          <w:u w:val="single"/>
          <w:lang w:val="en"/>
        </w:rPr>
      </w:pPr>
    </w:p>
    <w:p w:rsidR="00CA7E7E" w:rsidRPr="00CB6785" w:rsidRDefault="00CA7E7E" w:rsidP="001E1D15">
      <w:pPr>
        <w:keepNext/>
        <w:tabs>
          <w:tab w:val="left" w:pos="288"/>
        </w:tabs>
        <w:rPr>
          <w:sz w:val="24"/>
          <w:szCs w:val="24"/>
          <w:u w:val="single"/>
          <w:lang w:val="en"/>
        </w:rPr>
      </w:pPr>
      <w:r w:rsidRPr="00CB6785">
        <w:rPr>
          <w:sz w:val="24"/>
          <w:szCs w:val="24"/>
          <w:u w:val="single"/>
          <w:lang w:val="en"/>
        </w:rPr>
        <w:t>Embryo</w:t>
      </w:r>
      <w:r w:rsidR="00043926">
        <w:rPr>
          <w:sz w:val="24"/>
          <w:szCs w:val="24"/>
          <w:u w:val="single"/>
          <w:lang w:val="en"/>
        </w:rPr>
        <w:t>-</w:t>
      </w:r>
      <w:r w:rsidR="008A3D64">
        <w:rPr>
          <w:sz w:val="24"/>
          <w:szCs w:val="24"/>
          <w:u w:val="single"/>
          <w:lang w:val="en"/>
        </w:rPr>
        <w:t>F</w:t>
      </w:r>
      <w:r w:rsidRPr="00CB6785">
        <w:rPr>
          <w:sz w:val="24"/>
          <w:szCs w:val="24"/>
          <w:u w:val="single"/>
          <w:lang w:val="en"/>
        </w:rPr>
        <w:t>etal Toxicity</w:t>
      </w:r>
    </w:p>
    <w:p w:rsidR="00666C5A" w:rsidRDefault="00666C5A" w:rsidP="001E1D15">
      <w:pPr>
        <w:keepNext/>
        <w:tabs>
          <w:tab w:val="left" w:pos="288"/>
        </w:tabs>
        <w:rPr>
          <w:sz w:val="24"/>
          <w:szCs w:val="24"/>
          <w:lang w:val="en"/>
        </w:rPr>
      </w:pPr>
      <w:r>
        <w:rPr>
          <w:sz w:val="24"/>
          <w:szCs w:val="24"/>
          <w:lang w:val="en"/>
        </w:rPr>
        <w:t xml:space="preserve">Advise </w:t>
      </w:r>
      <w:r w:rsidR="00CA7E7E" w:rsidRPr="00CA7E7E">
        <w:rPr>
          <w:sz w:val="24"/>
          <w:szCs w:val="24"/>
          <w:lang w:val="en"/>
        </w:rPr>
        <w:t>female</w:t>
      </w:r>
      <w:r w:rsidR="004B1382">
        <w:rPr>
          <w:sz w:val="24"/>
          <w:szCs w:val="24"/>
          <w:lang w:val="en"/>
        </w:rPr>
        <w:t>s</w:t>
      </w:r>
      <w:r w:rsidR="00C9141A">
        <w:rPr>
          <w:sz w:val="24"/>
          <w:szCs w:val="24"/>
          <w:lang w:val="en"/>
        </w:rPr>
        <w:t xml:space="preserve"> </w:t>
      </w:r>
      <w:r w:rsidR="00CA7E7E" w:rsidRPr="00CA7E7E">
        <w:rPr>
          <w:sz w:val="24"/>
          <w:szCs w:val="24"/>
          <w:lang w:val="en"/>
        </w:rPr>
        <w:t>of reproductive potential of the potential risk to a fetus</w:t>
      </w:r>
      <w:r>
        <w:rPr>
          <w:sz w:val="24"/>
          <w:szCs w:val="24"/>
          <w:lang w:val="en"/>
        </w:rPr>
        <w:t>. Advise females</w:t>
      </w:r>
      <w:r w:rsidR="00CA7E7E" w:rsidRPr="00CA7E7E">
        <w:rPr>
          <w:sz w:val="24"/>
          <w:szCs w:val="24"/>
          <w:lang w:val="en"/>
        </w:rPr>
        <w:t xml:space="preserve"> to inform their healthcare</w:t>
      </w:r>
      <w:r w:rsidR="00047EBB">
        <w:rPr>
          <w:sz w:val="24"/>
          <w:szCs w:val="24"/>
          <w:lang w:val="en"/>
        </w:rPr>
        <w:t xml:space="preserve"> </w:t>
      </w:r>
      <w:r w:rsidR="00CA7E7E" w:rsidRPr="00CA7E7E">
        <w:rPr>
          <w:sz w:val="24"/>
          <w:szCs w:val="24"/>
          <w:lang w:val="en"/>
        </w:rPr>
        <w:t xml:space="preserve">provider of a known or suspected pregnancy </w:t>
      </w:r>
      <w:r w:rsidR="00CA7E7E" w:rsidRPr="00CB6785">
        <w:rPr>
          <w:i/>
          <w:sz w:val="24"/>
          <w:szCs w:val="24"/>
          <w:lang w:val="en"/>
        </w:rPr>
        <w:t>[see Warnings and Precautions (5.</w:t>
      </w:r>
      <w:r w:rsidR="006D4CB6">
        <w:rPr>
          <w:i/>
          <w:sz w:val="24"/>
          <w:szCs w:val="24"/>
          <w:lang w:val="en"/>
        </w:rPr>
        <w:t>6</w:t>
      </w:r>
      <w:r w:rsidR="00CA7E7E" w:rsidRPr="00CB6785">
        <w:rPr>
          <w:i/>
          <w:sz w:val="24"/>
          <w:szCs w:val="24"/>
          <w:lang w:val="en"/>
        </w:rPr>
        <w:t>)</w:t>
      </w:r>
      <w:r w:rsidR="00F07F82">
        <w:rPr>
          <w:i/>
          <w:sz w:val="24"/>
          <w:szCs w:val="24"/>
          <w:lang w:val="en"/>
        </w:rPr>
        <w:t>,</w:t>
      </w:r>
      <w:r w:rsidR="00CA7E7E" w:rsidRPr="00CB6785">
        <w:rPr>
          <w:i/>
          <w:sz w:val="24"/>
          <w:szCs w:val="24"/>
          <w:lang w:val="en"/>
        </w:rPr>
        <w:t xml:space="preserve"> Use in Specific</w:t>
      </w:r>
      <w:r w:rsidR="00047EBB">
        <w:rPr>
          <w:i/>
          <w:sz w:val="24"/>
          <w:szCs w:val="24"/>
          <w:lang w:val="en"/>
        </w:rPr>
        <w:t xml:space="preserve"> </w:t>
      </w:r>
      <w:r w:rsidR="00CA7E7E" w:rsidRPr="00CB6785">
        <w:rPr>
          <w:i/>
          <w:sz w:val="24"/>
          <w:szCs w:val="24"/>
          <w:lang w:val="en"/>
        </w:rPr>
        <w:t>Populations (8.1)]</w:t>
      </w:r>
      <w:r w:rsidR="00CA7E7E" w:rsidRPr="00CA7E7E">
        <w:rPr>
          <w:sz w:val="24"/>
          <w:szCs w:val="24"/>
          <w:lang w:val="en"/>
        </w:rPr>
        <w:t>.</w:t>
      </w:r>
      <w:r w:rsidR="004B1382">
        <w:rPr>
          <w:sz w:val="24"/>
          <w:szCs w:val="24"/>
          <w:lang w:val="en"/>
        </w:rPr>
        <w:t xml:space="preserve"> </w:t>
      </w:r>
    </w:p>
    <w:p w:rsidR="005B7232" w:rsidRDefault="005B7232" w:rsidP="001E1D15">
      <w:pPr>
        <w:keepNext/>
        <w:tabs>
          <w:tab w:val="left" w:pos="288"/>
        </w:tabs>
        <w:rPr>
          <w:sz w:val="24"/>
          <w:szCs w:val="24"/>
          <w:lang w:val="en"/>
        </w:rPr>
      </w:pPr>
    </w:p>
    <w:p w:rsidR="009D17D8" w:rsidRDefault="009D17D8" w:rsidP="001E1D15">
      <w:pPr>
        <w:keepNext/>
        <w:tabs>
          <w:tab w:val="left" w:pos="288"/>
        </w:tabs>
        <w:rPr>
          <w:sz w:val="24"/>
          <w:szCs w:val="24"/>
          <w:lang w:val="en"/>
        </w:rPr>
      </w:pPr>
      <w:r w:rsidRPr="00CA7E7E">
        <w:rPr>
          <w:sz w:val="24"/>
          <w:szCs w:val="24"/>
          <w:lang w:val="en"/>
        </w:rPr>
        <w:t>Advise female</w:t>
      </w:r>
      <w:r>
        <w:rPr>
          <w:sz w:val="24"/>
          <w:szCs w:val="24"/>
          <w:lang w:val="en"/>
        </w:rPr>
        <w:t xml:space="preserve">s </w:t>
      </w:r>
      <w:r w:rsidRPr="00CA7E7E">
        <w:rPr>
          <w:sz w:val="24"/>
          <w:szCs w:val="24"/>
          <w:lang w:val="en"/>
        </w:rPr>
        <w:t xml:space="preserve">of reproductive potential to use effective </w:t>
      </w:r>
      <w:r>
        <w:rPr>
          <w:sz w:val="24"/>
          <w:szCs w:val="24"/>
          <w:lang w:val="en"/>
        </w:rPr>
        <w:t xml:space="preserve">non-hormonal </w:t>
      </w:r>
      <w:r w:rsidRPr="00CA7E7E">
        <w:rPr>
          <w:sz w:val="24"/>
          <w:szCs w:val="24"/>
          <w:lang w:val="en"/>
        </w:rPr>
        <w:t>contraception during treatment</w:t>
      </w:r>
      <w:r>
        <w:rPr>
          <w:sz w:val="24"/>
          <w:szCs w:val="24"/>
          <w:lang w:val="en"/>
        </w:rPr>
        <w:t xml:space="preserve"> </w:t>
      </w:r>
      <w:r w:rsidRPr="00CA7E7E">
        <w:rPr>
          <w:sz w:val="24"/>
          <w:szCs w:val="24"/>
          <w:lang w:val="en"/>
        </w:rPr>
        <w:t xml:space="preserve">with </w:t>
      </w:r>
      <w:r>
        <w:rPr>
          <w:sz w:val="24"/>
          <w:szCs w:val="24"/>
          <w:lang w:val="en"/>
        </w:rPr>
        <w:t>LORBRENA</w:t>
      </w:r>
      <w:r w:rsidRPr="00CA7E7E">
        <w:rPr>
          <w:sz w:val="24"/>
          <w:szCs w:val="24"/>
          <w:lang w:val="en"/>
        </w:rPr>
        <w:t xml:space="preserve"> and for at </w:t>
      </w:r>
      <w:r w:rsidR="0031530E" w:rsidRPr="00C369B7">
        <w:rPr>
          <w:sz w:val="24"/>
          <w:szCs w:val="24"/>
        </w:rPr>
        <w:t>least</w:t>
      </w:r>
      <w:r w:rsidR="0031530E">
        <w:rPr>
          <w:sz w:val="24"/>
          <w:szCs w:val="24"/>
        </w:rPr>
        <w:t xml:space="preserve"> </w:t>
      </w:r>
      <w:r w:rsidR="005F4BCF">
        <w:rPr>
          <w:sz w:val="24"/>
          <w:szCs w:val="24"/>
        </w:rPr>
        <w:t>6 months</w:t>
      </w:r>
      <w:r w:rsidR="0031530E" w:rsidRPr="00C369B7">
        <w:rPr>
          <w:sz w:val="24"/>
          <w:szCs w:val="24"/>
        </w:rPr>
        <w:t xml:space="preserve"> </w:t>
      </w:r>
      <w:r w:rsidR="0031530E" w:rsidRPr="00A54BCA">
        <w:rPr>
          <w:sz w:val="24"/>
          <w:szCs w:val="24"/>
        </w:rPr>
        <w:t>after</w:t>
      </w:r>
      <w:r w:rsidRPr="00A54BCA">
        <w:rPr>
          <w:sz w:val="24"/>
          <w:szCs w:val="24"/>
        </w:rPr>
        <w:t xml:space="preserve"> </w:t>
      </w:r>
      <w:r w:rsidRPr="00CA7E7E">
        <w:rPr>
          <w:sz w:val="24"/>
          <w:szCs w:val="24"/>
          <w:lang w:val="en"/>
        </w:rPr>
        <w:t xml:space="preserve">the final dose </w:t>
      </w:r>
      <w:r w:rsidRPr="00A8264C">
        <w:rPr>
          <w:i/>
          <w:sz w:val="24"/>
          <w:szCs w:val="24"/>
          <w:lang w:val="en"/>
        </w:rPr>
        <w:t>[see Use in Specific Populations (8.3)</w:t>
      </w:r>
      <w:r w:rsidRPr="00CB6785">
        <w:rPr>
          <w:i/>
          <w:sz w:val="24"/>
          <w:szCs w:val="24"/>
          <w:lang w:val="en"/>
        </w:rPr>
        <w:t>]</w:t>
      </w:r>
      <w:r w:rsidRPr="00CA7E7E">
        <w:rPr>
          <w:sz w:val="24"/>
          <w:szCs w:val="24"/>
          <w:lang w:val="en"/>
        </w:rPr>
        <w:t>.</w:t>
      </w:r>
      <w:r w:rsidRPr="00D619EB">
        <w:rPr>
          <w:i/>
          <w:sz w:val="24"/>
          <w:szCs w:val="24"/>
          <w:lang w:val="en"/>
        </w:rPr>
        <w:t xml:space="preserve"> </w:t>
      </w:r>
    </w:p>
    <w:p w:rsidR="005B7232" w:rsidRDefault="005B7232" w:rsidP="001E1D15">
      <w:pPr>
        <w:tabs>
          <w:tab w:val="left" w:pos="288"/>
        </w:tabs>
        <w:rPr>
          <w:sz w:val="24"/>
          <w:szCs w:val="24"/>
          <w:lang w:val="en"/>
        </w:rPr>
      </w:pPr>
    </w:p>
    <w:p w:rsidR="00CA7E7E" w:rsidRDefault="00082E2A" w:rsidP="001E1D15">
      <w:pPr>
        <w:tabs>
          <w:tab w:val="left" w:pos="288"/>
        </w:tabs>
        <w:rPr>
          <w:sz w:val="24"/>
          <w:szCs w:val="24"/>
          <w:lang w:val="en"/>
        </w:rPr>
      </w:pPr>
      <w:r w:rsidRPr="00CA7E7E">
        <w:rPr>
          <w:sz w:val="24"/>
          <w:szCs w:val="24"/>
          <w:lang w:val="en"/>
        </w:rPr>
        <w:t xml:space="preserve">Advise male patients </w:t>
      </w:r>
      <w:r w:rsidR="00EB2562">
        <w:rPr>
          <w:sz w:val="24"/>
          <w:szCs w:val="24"/>
          <w:lang w:val="en"/>
        </w:rPr>
        <w:t xml:space="preserve">with </w:t>
      </w:r>
      <w:r w:rsidRPr="00CA7E7E">
        <w:rPr>
          <w:sz w:val="24"/>
          <w:szCs w:val="24"/>
          <w:lang w:val="en"/>
        </w:rPr>
        <w:t xml:space="preserve">female partners of reproductive potential to use </w:t>
      </w:r>
      <w:r w:rsidR="00B168AA">
        <w:rPr>
          <w:sz w:val="24"/>
          <w:szCs w:val="24"/>
          <w:lang w:val="en"/>
        </w:rPr>
        <w:t>effective contraception during</w:t>
      </w:r>
      <w:r w:rsidRPr="00CA7E7E">
        <w:rPr>
          <w:sz w:val="24"/>
          <w:szCs w:val="24"/>
          <w:lang w:val="en"/>
        </w:rPr>
        <w:t xml:space="preserve"> treatment with</w:t>
      </w:r>
      <w:r w:rsidR="00047EBB">
        <w:rPr>
          <w:sz w:val="24"/>
          <w:szCs w:val="24"/>
          <w:lang w:val="en"/>
        </w:rPr>
        <w:t xml:space="preserve"> </w:t>
      </w:r>
      <w:r w:rsidR="001A2032">
        <w:rPr>
          <w:sz w:val="24"/>
          <w:szCs w:val="24"/>
          <w:lang w:val="en"/>
        </w:rPr>
        <w:t>LORBRENA</w:t>
      </w:r>
      <w:r w:rsidRPr="00CA7E7E">
        <w:rPr>
          <w:sz w:val="24"/>
          <w:szCs w:val="24"/>
          <w:lang w:val="en"/>
        </w:rPr>
        <w:t xml:space="preserve"> and for at least </w:t>
      </w:r>
      <w:r w:rsidR="000B1470">
        <w:rPr>
          <w:sz w:val="24"/>
          <w:szCs w:val="24"/>
          <w:lang w:val="en"/>
        </w:rPr>
        <w:t>3</w:t>
      </w:r>
      <w:r w:rsidR="00B168AA">
        <w:rPr>
          <w:sz w:val="24"/>
          <w:szCs w:val="24"/>
          <w:lang w:val="en"/>
        </w:rPr>
        <w:t xml:space="preserve"> months</w:t>
      </w:r>
      <w:r w:rsidRPr="00CA7E7E">
        <w:rPr>
          <w:sz w:val="24"/>
          <w:szCs w:val="24"/>
          <w:lang w:val="en"/>
        </w:rPr>
        <w:t xml:space="preserve"> after the final dose </w:t>
      </w:r>
      <w:r w:rsidRPr="00A8264C">
        <w:rPr>
          <w:i/>
          <w:sz w:val="24"/>
          <w:szCs w:val="24"/>
          <w:lang w:val="en"/>
        </w:rPr>
        <w:t>[see U</w:t>
      </w:r>
      <w:r w:rsidR="00CA7E7E" w:rsidRPr="00A8264C">
        <w:rPr>
          <w:i/>
          <w:sz w:val="24"/>
          <w:szCs w:val="24"/>
          <w:lang w:val="en"/>
        </w:rPr>
        <w:t>se in Specific Populations (8.3)</w:t>
      </w:r>
      <w:r w:rsidR="008A3D64">
        <w:rPr>
          <w:i/>
          <w:sz w:val="24"/>
          <w:szCs w:val="24"/>
          <w:lang w:val="en"/>
        </w:rPr>
        <w:t>,</w:t>
      </w:r>
      <w:r w:rsidR="00CA7E7E" w:rsidRPr="00A8264C">
        <w:rPr>
          <w:i/>
          <w:sz w:val="24"/>
          <w:szCs w:val="24"/>
          <w:lang w:val="en"/>
        </w:rPr>
        <w:t xml:space="preserve"> Nonclinical Toxicology (13.1)]</w:t>
      </w:r>
      <w:r w:rsidR="00CA7E7E" w:rsidRPr="00CA7E7E">
        <w:rPr>
          <w:sz w:val="24"/>
          <w:szCs w:val="24"/>
          <w:lang w:val="en"/>
        </w:rPr>
        <w:t>.</w:t>
      </w:r>
    </w:p>
    <w:p w:rsidR="005B7232" w:rsidRDefault="005B7232" w:rsidP="001E1D15">
      <w:pPr>
        <w:keepNext/>
        <w:tabs>
          <w:tab w:val="left" w:pos="288"/>
        </w:tabs>
        <w:rPr>
          <w:sz w:val="24"/>
          <w:szCs w:val="24"/>
          <w:u w:val="single"/>
          <w:lang w:val="en"/>
        </w:rPr>
      </w:pPr>
    </w:p>
    <w:p w:rsidR="00CA7E7E" w:rsidRPr="00A8264C" w:rsidRDefault="00CA7E7E" w:rsidP="001E1D15">
      <w:pPr>
        <w:keepNext/>
        <w:tabs>
          <w:tab w:val="left" w:pos="288"/>
        </w:tabs>
        <w:rPr>
          <w:sz w:val="24"/>
          <w:szCs w:val="24"/>
          <w:u w:val="single"/>
          <w:lang w:val="en"/>
        </w:rPr>
      </w:pPr>
      <w:r w:rsidRPr="00A8264C">
        <w:rPr>
          <w:sz w:val="24"/>
          <w:szCs w:val="24"/>
          <w:u w:val="single"/>
          <w:lang w:val="en"/>
        </w:rPr>
        <w:t>Lactation</w:t>
      </w:r>
    </w:p>
    <w:p w:rsidR="00CA7E7E" w:rsidRPr="00CA7E7E" w:rsidRDefault="00CA7E7E" w:rsidP="001E1D15">
      <w:pPr>
        <w:keepNext/>
        <w:tabs>
          <w:tab w:val="left" w:pos="288"/>
        </w:tabs>
        <w:rPr>
          <w:sz w:val="24"/>
          <w:szCs w:val="24"/>
          <w:lang w:val="en"/>
        </w:rPr>
      </w:pPr>
      <w:r w:rsidRPr="00CA7E7E">
        <w:rPr>
          <w:sz w:val="24"/>
          <w:szCs w:val="24"/>
          <w:lang w:val="en"/>
        </w:rPr>
        <w:t xml:space="preserve">Advise </w:t>
      </w:r>
      <w:r w:rsidR="004B1382">
        <w:rPr>
          <w:sz w:val="24"/>
          <w:szCs w:val="24"/>
          <w:lang w:val="en"/>
        </w:rPr>
        <w:t xml:space="preserve">women </w:t>
      </w:r>
      <w:r w:rsidRPr="00CA7E7E">
        <w:rPr>
          <w:sz w:val="24"/>
          <w:szCs w:val="24"/>
          <w:lang w:val="en"/>
        </w:rPr>
        <w:t xml:space="preserve">not to breastfeed during treatment with </w:t>
      </w:r>
      <w:r w:rsidR="001A2032">
        <w:rPr>
          <w:sz w:val="24"/>
          <w:szCs w:val="24"/>
          <w:lang w:val="en"/>
        </w:rPr>
        <w:t>LORBRENA</w:t>
      </w:r>
      <w:r w:rsidRPr="00CA7E7E">
        <w:rPr>
          <w:sz w:val="24"/>
          <w:szCs w:val="24"/>
          <w:lang w:val="en"/>
        </w:rPr>
        <w:t xml:space="preserve"> and for </w:t>
      </w:r>
      <w:r w:rsidR="00FA62AA">
        <w:rPr>
          <w:sz w:val="24"/>
          <w:szCs w:val="24"/>
        </w:rPr>
        <w:t>7</w:t>
      </w:r>
      <w:r w:rsidR="00A22E90" w:rsidRPr="00C74C1D">
        <w:rPr>
          <w:sz w:val="24"/>
          <w:szCs w:val="24"/>
        </w:rPr>
        <w:t xml:space="preserve"> </w:t>
      </w:r>
      <w:r w:rsidR="0045258E">
        <w:rPr>
          <w:sz w:val="24"/>
          <w:szCs w:val="24"/>
        </w:rPr>
        <w:t>days</w:t>
      </w:r>
      <w:r w:rsidR="00A22E90" w:rsidRPr="00C74C1D">
        <w:rPr>
          <w:sz w:val="24"/>
          <w:szCs w:val="24"/>
        </w:rPr>
        <w:t xml:space="preserve"> </w:t>
      </w:r>
      <w:r w:rsidRPr="00CA7E7E">
        <w:rPr>
          <w:sz w:val="24"/>
          <w:szCs w:val="24"/>
          <w:lang w:val="en"/>
        </w:rPr>
        <w:t xml:space="preserve">after the final dose </w:t>
      </w:r>
      <w:r w:rsidRPr="00A8264C">
        <w:rPr>
          <w:i/>
          <w:sz w:val="24"/>
          <w:szCs w:val="24"/>
          <w:lang w:val="en"/>
        </w:rPr>
        <w:t>[see</w:t>
      </w:r>
      <w:r w:rsidR="00A8264C" w:rsidRPr="00A8264C">
        <w:rPr>
          <w:i/>
          <w:sz w:val="24"/>
          <w:szCs w:val="24"/>
          <w:lang w:val="en"/>
        </w:rPr>
        <w:t xml:space="preserve"> </w:t>
      </w:r>
      <w:r w:rsidRPr="00A8264C">
        <w:rPr>
          <w:i/>
          <w:sz w:val="24"/>
          <w:szCs w:val="24"/>
          <w:lang w:val="en"/>
        </w:rPr>
        <w:t>Use in Specific Populations (8.2)]</w:t>
      </w:r>
      <w:r w:rsidRPr="00CA7E7E">
        <w:rPr>
          <w:sz w:val="24"/>
          <w:szCs w:val="24"/>
          <w:lang w:val="en"/>
        </w:rPr>
        <w:t>.</w:t>
      </w:r>
    </w:p>
    <w:p w:rsidR="005B7232" w:rsidRDefault="005B7232" w:rsidP="001E1D15">
      <w:pPr>
        <w:tabs>
          <w:tab w:val="left" w:pos="288"/>
        </w:tabs>
        <w:rPr>
          <w:sz w:val="24"/>
          <w:szCs w:val="24"/>
          <w:u w:val="single"/>
          <w:lang w:val="en"/>
        </w:rPr>
      </w:pPr>
    </w:p>
    <w:p w:rsidR="00CA7E7E" w:rsidRPr="00A8264C" w:rsidRDefault="00CA7E7E" w:rsidP="001E1D15">
      <w:pPr>
        <w:tabs>
          <w:tab w:val="left" w:pos="288"/>
        </w:tabs>
        <w:rPr>
          <w:sz w:val="24"/>
          <w:szCs w:val="24"/>
          <w:u w:val="single"/>
          <w:lang w:val="en"/>
        </w:rPr>
      </w:pPr>
      <w:r w:rsidRPr="00A8264C">
        <w:rPr>
          <w:sz w:val="24"/>
          <w:szCs w:val="24"/>
          <w:u w:val="single"/>
          <w:lang w:val="en"/>
        </w:rPr>
        <w:t>Infertility</w:t>
      </w:r>
    </w:p>
    <w:p w:rsidR="00CA7E7E" w:rsidRDefault="00B168AA" w:rsidP="001E1D15">
      <w:pPr>
        <w:tabs>
          <w:tab w:val="left" w:pos="288"/>
        </w:tabs>
        <w:rPr>
          <w:sz w:val="24"/>
          <w:szCs w:val="24"/>
          <w:lang w:val="en"/>
        </w:rPr>
      </w:pPr>
      <w:r>
        <w:rPr>
          <w:sz w:val="24"/>
          <w:szCs w:val="24"/>
          <w:lang w:val="en"/>
        </w:rPr>
        <w:t>Advise</w:t>
      </w:r>
      <w:r w:rsidR="00CA7E7E" w:rsidRPr="00CA7E7E">
        <w:rPr>
          <w:sz w:val="24"/>
          <w:szCs w:val="24"/>
          <w:lang w:val="en"/>
        </w:rPr>
        <w:t xml:space="preserve"> male</w:t>
      </w:r>
      <w:r>
        <w:rPr>
          <w:sz w:val="24"/>
          <w:szCs w:val="24"/>
          <w:lang w:val="en"/>
        </w:rPr>
        <w:t>s</w:t>
      </w:r>
      <w:r w:rsidR="00CA7E7E" w:rsidRPr="00CA7E7E">
        <w:rPr>
          <w:sz w:val="24"/>
          <w:szCs w:val="24"/>
          <w:lang w:val="en"/>
        </w:rPr>
        <w:t xml:space="preserve"> of reproductive potential </w:t>
      </w:r>
      <w:r>
        <w:rPr>
          <w:sz w:val="24"/>
          <w:szCs w:val="24"/>
          <w:lang w:val="en"/>
        </w:rPr>
        <w:t>that</w:t>
      </w:r>
      <w:r w:rsidR="00CA7E7E" w:rsidRPr="00CA7E7E">
        <w:rPr>
          <w:sz w:val="24"/>
          <w:szCs w:val="24"/>
          <w:lang w:val="en"/>
        </w:rPr>
        <w:t xml:space="preserve"> </w:t>
      </w:r>
      <w:r w:rsidR="001A2032">
        <w:rPr>
          <w:sz w:val="24"/>
          <w:szCs w:val="24"/>
          <w:lang w:val="en"/>
        </w:rPr>
        <w:t>LORBRENA</w:t>
      </w:r>
      <w:r>
        <w:rPr>
          <w:sz w:val="24"/>
          <w:szCs w:val="24"/>
          <w:lang w:val="en"/>
        </w:rPr>
        <w:t xml:space="preserve"> may </w:t>
      </w:r>
      <w:r w:rsidR="000C53E1">
        <w:rPr>
          <w:sz w:val="24"/>
          <w:szCs w:val="24"/>
          <w:lang w:val="en"/>
        </w:rPr>
        <w:t xml:space="preserve">transiently </w:t>
      </w:r>
      <w:r>
        <w:rPr>
          <w:sz w:val="24"/>
          <w:szCs w:val="24"/>
          <w:lang w:val="en"/>
        </w:rPr>
        <w:t>impair fertility</w:t>
      </w:r>
      <w:r w:rsidR="00047EBB">
        <w:rPr>
          <w:sz w:val="24"/>
          <w:szCs w:val="24"/>
          <w:lang w:val="en"/>
        </w:rPr>
        <w:t xml:space="preserve"> </w:t>
      </w:r>
      <w:r w:rsidR="00CA7E7E" w:rsidRPr="00A8264C">
        <w:rPr>
          <w:i/>
          <w:sz w:val="24"/>
          <w:szCs w:val="24"/>
          <w:lang w:val="en"/>
        </w:rPr>
        <w:t>[see Use in Specific Populations (8.3)</w:t>
      </w:r>
      <w:r w:rsidR="008A3D64">
        <w:rPr>
          <w:i/>
          <w:sz w:val="24"/>
          <w:szCs w:val="24"/>
          <w:lang w:val="en"/>
        </w:rPr>
        <w:t>,</w:t>
      </w:r>
      <w:r w:rsidR="00D619EB" w:rsidRPr="00D619EB">
        <w:rPr>
          <w:i/>
          <w:sz w:val="24"/>
          <w:szCs w:val="24"/>
          <w:lang w:val="en"/>
        </w:rPr>
        <w:t xml:space="preserve"> </w:t>
      </w:r>
      <w:r w:rsidR="00D619EB">
        <w:rPr>
          <w:i/>
          <w:sz w:val="24"/>
          <w:szCs w:val="24"/>
          <w:lang w:val="en"/>
        </w:rPr>
        <w:t>Nonclinical Toxicology (13.1)</w:t>
      </w:r>
      <w:r w:rsidR="00CA7E7E" w:rsidRPr="00A8264C">
        <w:rPr>
          <w:i/>
          <w:sz w:val="24"/>
          <w:szCs w:val="24"/>
          <w:lang w:val="en"/>
        </w:rPr>
        <w:t>]</w:t>
      </w:r>
      <w:r w:rsidR="00CA7E7E" w:rsidRPr="00CA7E7E">
        <w:rPr>
          <w:sz w:val="24"/>
          <w:szCs w:val="24"/>
          <w:lang w:val="en"/>
        </w:rPr>
        <w:t>.</w:t>
      </w:r>
      <w:r w:rsidR="00B0382C">
        <w:rPr>
          <w:sz w:val="24"/>
          <w:szCs w:val="24"/>
          <w:lang w:val="en"/>
        </w:rPr>
        <w:t xml:space="preserve"> </w:t>
      </w:r>
    </w:p>
    <w:p w:rsidR="00CA7E7E" w:rsidRDefault="00CA7E7E" w:rsidP="001E1D15">
      <w:pPr>
        <w:tabs>
          <w:tab w:val="left" w:pos="288"/>
        </w:tabs>
        <w:rPr>
          <w:sz w:val="24"/>
          <w:szCs w:val="24"/>
          <w:lang w:val="en"/>
        </w:rPr>
      </w:pPr>
    </w:p>
    <w:p w:rsidR="000B0237" w:rsidRPr="004F2D78" w:rsidRDefault="00DF7610" w:rsidP="001E1D15">
      <w:pPr>
        <w:tabs>
          <w:tab w:val="left" w:pos="288"/>
        </w:tabs>
        <w:rPr>
          <w:rStyle w:val="Hyperlink"/>
          <w:color w:val="auto"/>
          <w:sz w:val="24"/>
          <w:szCs w:val="24"/>
          <w:lang w:val="en"/>
        </w:rPr>
      </w:pPr>
      <w:r w:rsidRPr="007C120A">
        <w:rPr>
          <w:sz w:val="24"/>
          <w:szCs w:val="24"/>
          <w:lang w:val="en"/>
        </w:rPr>
        <w:t xml:space="preserve">This product’s label may have been updated. For full prescribing information, please visit </w:t>
      </w:r>
      <w:hyperlink r:id="rId18" w:history="1">
        <w:r w:rsidR="00153C2E">
          <w:rPr>
            <w:rStyle w:val="Hyperlink"/>
            <w:sz w:val="24"/>
            <w:szCs w:val="24"/>
            <w:lang w:val="en"/>
          </w:rPr>
          <w:t>www.LORBRENA.com</w:t>
        </w:r>
      </w:hyperlink>
      <w:r>
        <w:rPr>
          <w:rStyle w:val="Hyperlink"/>
          <w:sz w:val="24"/>
          <w:szCs w:val="24"/>
          <w:lang w:val="en"/>
        </w:rPr>
        <w:t>.</w:t>
      </w:r>
    </w:p>
    <w:p w:rsidR="004F2D78" w:rsidRPr="004F2D78" w:rsidRDefault="004F2D78" w:rsidP="001E1D15">
      <w:pPr>
        <w:tabs>
          <w:tab w:val="left" w:pos="288"/>
        </w:tabs>
        <w:rPr>
          <w:rStyle w:val="Hyperlink"/>
          <w:color w:val="auto"/>
          <w:sz w:val="24"/>
          <w:szCs w:val="24"/>
          <w:lang w:val="en"/>
        </w:rPr>
      </w:pPr>
    </w:p>
    <w:p w:rsidR="004F2D78" w:rsidRPr="00FC414F" w:rsidRDefault="00E57F14" w:rsidP="001E1D15">
      <w:pPr>
        <w:tabs>
          <w:tab w:val="left" w:pos="288"/>
        </w:tabs>
        <w:rPr>
          <w:rStyle w:val="Hyperlink"/>
          <w:color w:val="auto"/>
          <w:sz w:val="24"/>
          <w:szCs w:val="24"/>
          <w:u w:val="none"/>
          <w:lang w:val="en"/>
        </w:rPr>
      </w:pPr>
      <w:r w:rsidRPr="0033708D">
        <w:rPr>
          <w:noProof/>
        </w:rPr>
        <w:drawing>
          <wp:inline distT="0" distB="0" distL="0" distR="0">
            <wp:extent cx="22225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819150"/>
                    </a:xfrm>
                    <a:prstGeom prst="rect">
                      <a:avLst/>
                    </a:prstGeom>
                    <a:noFill/>
                    <a:ln>
                      <a:noFill/>
                    </a:ln>
                  </pic:spPr>
                </pic:pic>
              </a:graphicData>
            </a:graphic>
          </wp:inline>
        </w:drawing>
      </w:r>
    </w:p>
    <w:p w:rsidR="004F2D78" w:rsidRPr="00BA102E" w:rsidRDefault="004F2D78" w:rsidP="001E1D15">
      <w:pPr>
        <w:tabs>
          <w:tab w:val="left" w:pos="288"/>
        </w:tabs>
        <w:rPr>
          <w:sz w:val="24"/>
          <w:szCs w:val="24"/>
          <w:u w:val="single"/>
          <w:lang w:val="en"/>
        </w:rPr>
      </w:pPr>
    </w:p>
    <w:p w:rsidR="00FC414F" w:rsidRDefault="00B52834" w:rsidP="001E1D15">
      <w:pPr>
        <w:rPr>
          <w:sz w:val="24"/>
          <w:lang w:val="en"/>
        </w:rPr>
      </w:pPr>
      <w:r w:rsidRPr="00A83F81">
        <w:rPr>
          <w:sz w:val="24"/>
          <w:szCs w:val="24"/>
          <w:lang w:val="en"/>
        </w:rPr>
        <w:t>LAB-</w:t>
      </w:r>
      <w:r w:rsidR="00D17C26">
        <w:rPr>
          <w:sz w:val="24"/>
          <w:szCs w:val="24"/>
          <w:lang w:val="en"/>
        </w:rPr>
        <w:t>1162</w:t>
      </w:r>
      <w:r w:rsidRPr="00A83F81">
        <w:rPr>
          <w:sz w:val="24"/>
          <w:szCs w:val="24"/>
          <w:lang w:val="en"/>
        </w:rPr>
        <w:t>-</w:t>
      </w:r>
      <w:r w:rsidR="00C05777">
        <w:rPr>
          <w:sz w:val="24"/>
          <w:szCs w:val="24"/>
          <w:lang w:val="en"/>
        </w:rPr>
        <w:t>1.0</w:t>
      </w:r>
    </w:p>
    <w:p w:rsidR="004F2D78" w:rsidRDefault="004F2D78" w:rsidP="001E1D15">
      <w:pPr>
        <w:rPr>
          <w:sz w:val="24"/>
          <w:lang w:val="en"/>
        </w:rPr>
      </w:pPr>
    </w:p>
    <w:p w:rsidR="004F2D78" w:rsidRPr="00A83F81" w:rsidRDefault="004F2D78" w:rsidP="004F2D78">
      <w:pPr>
        <w:rPr>
          <w:lang w:val="en"/>
        </w:rPr>
      </w:pPr>
      <w:r>
        <w:rPr>
          <w:lang w:val="e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6"/>
      </w:tblGrid>
      <w:tr w:rsidR="00191FEC" w:rsidRPr="00886DE0" w:rsidTr="001C7EE5">
        <w:trPr>
          <w:trHeight w:val="890"/>
        </w:trPr>
        <w:tc>
          <w:tcPr>
            <w:tcW w:w="10746" w:type="dxa"/>
            <w:shd w:val="clear" w:color="auto" w:fill="auto"/>
          </w:tcPr>
          <w:p w:rsidR="00E718C3" w:rsidRPr="0085448F" w:rsidRDefault="004F2D78" w:rsidP="00E718C3">
            <w:pPr>
              <w:pStyle w:val="Heading5"/>
              <w:keepNext w:val="0"/>
              <w:widowControl w:val="0"/>
              <w:spacing w:before="80"/>
              <w:jc w:val="center"/>
              <w:rPr>
                <w:rFonts w:ascii="Arial" w:hAnsi="Arial" w:cs="Arial"/>
                <w:color w:val="000000"/>
                <w:u w:val="none"/>
              </w:rPr>
            </w:pPr>
            <w:r>
              <w:rPr>
                <w:lang w:val="en"/>
              </w:rPr>
              <w:br w:type="page"/>
            </w:r>
            <w:r w:rsidR="00E718C3" w:rsidRPr="0081268A">
              <w:rPr>
                <w:rFonts w:ascii="Arial" w:hAnsi="Arial" w:cs="Arial"/>
                <w:color w:val="000000"/>
                <w:u w:val="none"/>
              </w:rPr>
              <w:t>PATIENT INFORMATION</w:t>
            </w:r>
          </w:p>
          <w:p w:rsidR="00E718C3" w:rsidRPr="0085448F" w:rsidRDefault="00E718C3" w:rsidP="00E718C3">
            <w:pPr>
              <w:jc w:val="center"/>
              <w:rPr>
                <w:rFonts w:ascii="Arial" w:hAnsi="Arial" w:cs="Arial"/>
                <w:b/>
              </w:rPr>
            </w:pPr>
            <w:r w:rsidRPr="0085448F">
              <w:rPr>
                <w:rFonts w:ascii="Arial" w:hAnsi="Arial" w:cs="Arial"/>
                <w:b/>
              </w:rPr>
              <w:t>LORBRENA (</w:t>
            </w:r>
            <w:r w:rsidR="00532FE1">
              <w:rPr>
                <w:rFonts w:ascii="Arial" w:hAnsi="Arial" w:cs="Arial"/>
                <w:b/>
              </w:rPr>
              <w:t>lor-BREN-ah</w:t>
            </w:r>
            <w:r w:rsidRPr="0085448F">
              <w:rPr>
                <w:rFonts w:ascii="Arial" w:hAnsi="Arial" w:cs="Arial"/>
                <w:b/>
              </w:rPr>
              <w:t>)</w:t>
            </w:r>
          </w:p>
          <w:p w:rsidR="00E718C3" w:rsidRPr="0085448F" w:rsidRDefault="00E718C3" w:rsidP="00E718C3">
            <w:pPr>
              <w:jc w:val="center"/>
              <w:rPr>
                <w:rFonts w:ascii="Arial" w:hAnsi="Arial" w:cs="Arial"/>
                <w:b/>
              </w:rPr>
            </w:pPr>
            <w:r w:rsidRPr="0085448F">
              <w:rPr>
                <w:rFonts w:ascii="Arial" w:hAnsi="Arial" w:cs="Arial"/>
                <w:b/>
              </w:rPr>
              <w:t>(lorlatinib)</w:t>
            </w:r>
          </w:p>
          <w:p w:rsidR="00191FEC" w:rsidRPr="00886DE0" w:rsidRDefault="00E718C3" w:rsidP="00E718C3">
            <w:pPr>
              <w:jc w:val="center"/>
              <w:rPr>
                <w:rFonts w:ascii="Arial" w:hAnsi="Arial" w:cs="Arial"/>
                <w:color w:val="000000"/>
              </w:rPr>
            </w:pPr>
            <w:r w:rsidRPr="0085448F">
              <w:rPr>
                <w:rFonts w:ascii="Arial" w:hAnsi="Arial" w:cs="Arial"/>
                <w:b/>
              </w:rPr>
              <w:t>tablets</w:t>
            </w:r>
          </w:p>
        </w:tc>
      </w:tr>
      <w:tr w:rsidR="00B82251" w:rsidRPr="00886DE0" w:rsidTr="001C7EE5">
        <w:tc>
          <w:tcPr>
            <w:tcW w:w="10746" w:type="dxa"/>
            <w:shd w:val="clear" w:color="auto" w:fill="auto"/>
          </w:tcPr>
          <w:p w:rsidR="00E7440A" w:rsidRPr="0046499E" w:rsidRDefault="00E7440A" w:rsidP="00E7440A">
            <w:pPr>
              <w:widowControl w:val="0"/>
              <w:autoSpaceDE w:val="0"/>
              <w:autoSpaceDN w:val="0"/>
              <w:adjustRightInd w:val="0"/>
              <w:spacing w:before="60" w:after="60"/>
              <w:rPr>
                <w:rFonts w:ascii="Arial" w:hAnsi="Arial" w:cs="Arial"/>
                <w:b/>
                <w:color w:val="000000"/>
              </w:rPr>
            </w:pPr>
            <w:r w:rsidRPr="005C06DD">
              <w:rPr>
                <w:rFonts w:ascii="Arial" w:hAnsi="Arial" w:cs="Arial"/>
                <w:b/>
                <w:color w:val="000000"/>
              </w:rPr>
              <w:t>What</w:t>
            </w:r>
            <w:r w:rsidRPr="0046499E">
              <w:rPr>
                <w:rFonts w:ascii="Arial" w:hAnsi="Arial" w:cs="Arial"/>
                <w:b/>
                <w:color w:val="000000"/>
              </w:rPr>
              <w:t xml:space="preserve"> is the most important information I should know about LORBRENA? </w:t>
            </w:r>
          </w:p>
          <w:p w:rsidR="00E7440A" w:rsidRPr="003F006B" w:rsidRDefault="00E7440A" w:rsidP="00E7440A">
            <w:pPr>
              <w:widowControl w:val="0"/>
              <w:autoSpaceDE w:val="0"/>
              <w:autoSpaceDN w:val="0"/>
              <w:adjustRightInd w:val="0"/>
              <w:spacing w:before="60" w:after="60"/>
              <w:rPr>
                <w:rFonts w:ascii="Arial" w:hAnsi="Arial" w:cs="Arial"/>
                <w:b/>
                <w:color w:val="000000"/>
              </w:rPr>
            </w:pPr>
            <w:r w:rsidRPr="003F006B">
              <w:rPr>
                <w:rFonts w:ascii="Arial" w:hAnsi="Arial" w:cs="Arial"/>
                <w:b/>
                <w:color w:val="000000"/>
              </w:rPr>
              <w:t>LORBRENA may cause serious side effects, including:</w:t>
            </w:r>
          </w:p>
          <w:p w:rsidR="00E7440A" w:rsidRPr="005C47A9" w:rsidRDefault="00E7440A"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Pr>
                <w:rFonts w:ascii="Arial" w:hAnsi="Arial" w:cs="Arial"/>
                <w:b/>
                <w:color w:val="000000"/>
              </w:rPr>
              <w:t>Liver problems due to i</w:t>
            </w:r>
            <w:r w:rsidRPr="00FA7D11">
              <w:rPr>
                <w:rFonts w:ascii="Arial" w:hAnsi="Arial" w:cs="Arial"/>
                <w:b/>
                <w:color w:val="000000"/>
              </w:rPr>
              <w:t>nteractions with other medicines.</w:t>
            </w:r>
            <w:r w:rsidRPr="005C47A9">
              <w:rPr>
                <w:rFonts w:ascii="Arial" w:hAnsi="Arial" w:cs="Arial"/>
                <w:color w:val="000000"/>
              </w:rPr>
              <w:t xml:space="preserve"> It is important to know what medicines should not be </w:t>
            </w:r>
            <w:r w:rsidR="00E02FEA" w:rsidRPr="005C47A9">
              <w:rPr>
                <w:rFonts w:ascii="Arial" w:hAnsi="Arial" w:cs="Arial"/>
                <w:color w:val="000000"/>
              </w:rPr>
              <w:t>taken with LORBRENA.</w:t>
            </w:r>
          </w:p>
          <w:p w:rsidR="00E7440A" w:rsidRPr="00E0070F" w:rsidRDefault="00E7440A"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142AF8">
              <w:rPr>
                <w:rFonts w:ascii="Arial" w:hAnsi="Arial" w:cs="Arial"/>
                <w:b/>
                <w:color w:val="000000"/>
              </w:rPr>
              <w:t xml:space="preserve">Problems with brain (central nervous system </w:t>
            </w:r>
            <w:r w:rsidR="0049060B">
              <w:rPr>
                <w:rFonts w:ascii="Arial" w:hAnsi="Arial" w:cs="Arial"/>
                <w:b/>
                <w:color w:val="000000"/>
              </w:rPr>
              <w:t>[</w:t>
            </w:r>
            <w:r w:rsidRPr="00142AF8">
              <w:rPr>
                <w:rFonts w:ascii="Arial" w:hAnsi="Arial" w:cs="Arial"/>
                <w:b/>
                <w:color w:val="000000"/>
              </w:rPr>
              <w:t>CNS</w:t>
            </w:r>
            <w:r w:rsidR="0049060B">
              <w:rPr>
                <w:rFonts w:ascii="Arial" w:hAnsi="Arial" w:cs="Arial"/>
                <w:b/>
                <w:color w:val="000000"/>
              </w:rPr>
              <w:t>]</w:t>
            </w:r>
            <w:r w:rsidR="00532FE1">
              <w:rPr>
                <w:rFonts w:ascii="Arial" w:hAnsi="Arial" w:cs="Arial"/>
                <w:b/>
                <w:color w:val="000000"/>
              </w:rPr>
              <w:t>)</w:t>
            </w:r>
            <w:r w:rsidRPr="00453ED4">
              <w:rPr>
                <w:rFonts w:ascii="Arial" w:hAnsi="Arial" w:cs="Arial"/>
                <w:b/>
                <w:color w:val="000000"/>
              </w:rPr>
              <w:t xml:space="preserve"> </w:t>
            </w:r>
            <w:r w:rsidRPr="00142AF8">
              <w:rPr>
                <w:rFonts w:ascii="Arial" w:hAnsi="Arial" w:cs="Arial"/>
                <w:b/>
                <w:color w:val="000000"/>
              </w:rPr>
              <w:t>function.</w:t>
            </w:r>
            <w:r w:rsidRPr="005C47A9">
              <w:rPr>
                <w:rFonts w:ascii="Arial" w:hAnsi="Arial" w:cs="Arial"/>
                <w:color w:val="000000"/>
              </w:rPr>
              <w:t xml:space="preserve"> Many patients experienced problems with brain function including problems with thinking (such as forgetfulness or confusion), mood (such as depression), speech, seeing or hearing things that are not real (hallucinations), and seizures during treatment with LORBRENA. In some patients</w:t>
            </w:r>
            <w:r w:rsidRPr="00D5276D">
              <w:rPr>
                <w:rFonts w:ascii="Arial" w:hAnsi="Arial" w:cs="Arial"/>
                <w:color w:val="000000"/>
              </w:rPr>
              <w:t>, these problems are severe and your healthcare provider may need to have you stop taking LORBRENA</w:t>
            </w:r>
            <w:r w:rsidRPr="008D5890">
              <w:rPr>
                <w:rFonts w:ascii="Arial" w:hAnsi="Arial" w:cs="Arial"/>
                <w:color w:val="000000"/>
              </w:rPr>
              <w:t>.</w:t>
            </w:r>
          </w:p>
          <w:p w:rsidR="00E7440A" w:rsidRPr="005C47A9" w:rsidRDefault="00E7440A"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FA7D11">
              <w:rPr>
                <w:rFonts w:ascii="Arial" w:hAnsi="Arial" w:cs="Arial"/>
                <w:b/>
                <w:color w:val="000000"/>
              </w:rPr>
              <w:t>Increases in the cholesterol and triglycerides (lipid) levels in your blood</w:t>
            </w:r>
            <w:r w:rsidRPr="005C47A9">
              <w:rPr>
                <w:rFonts w:ascii="Arial" w:hAnsi="Arial" w:cs="Arial"/>
                <w:b/>
                <w:color w:val="000000"/>
              </w:rPr>
              <w:t>.</w:t>
            </w:r>
            <w:r w:rsidRPr="005C47A9">
              <w:rPr>
                <w:rFonts w:ascii="Arial" w:hAnsi="Arial" w:cs="Arial"/>
                <w:color w:val="000000"/>
              </w:rPr>
              <w:t xml:space="preserve"> Most patients will have an increase in the lipid levels in your blood during treatment with LORBRENA. </w:t>
            </w:r>
          </w:p>
          <w:p w:rsidR="00E7440A" w:rsidRPr="00FA7D11" w:rsidRDefault="00E7440A" w:rsidP="005C47A9">
            <w:pPr>
              <w:pStyle w:val="ListParagraph"/>
              <w:widowControl w:val="0"/>
              <w:numPr>
                <w:ilvl w:val="0"/>
                <w:numId w:val="54"/>
              </w:numPr>
              <w:autoSpaceDE w:val="0"/>
              <w:autoSpaceDN w:val="0"/>
              <w:adjustRightInd w:val="0"/>
              <w:spacing w:before="60" w:after="60"/>
              <w:ind w:left="540" w:hanging="200"/>
              <w:rPr>
                <w:rFonts w:ascii="Arial" w:hAnsi="Arial" w:cs="Arial"/>
                <w:b/>
                <w:color w:val="000000"/>
                <w:sz w:val="20"/>
                <w:szCs w:val="20"/>
              </w:rPr>
            </w:pPr>
            <w:r w:rsidRPr="00FA7D11">
              <w:rPr>
                <w:rFonts w:ascii="Arial" w:hAnsi="Arial" w:cs="Arial"/>
                <w:color w:val="000000"/>
                <w:sz w:val="20"/>
                <w:szCs w:val="20"/>
              </w:rPr>
              <w:t xml:space="preserve">If you have increases in the lipid levels in your blood during treatment with LORBRENA, your healthcare provider may need to start you on a medicine to lower the levels. If you are </w:t>
            </w:r>
            <w:r w:rsidR="00AB677C">
              <w:rPr>
                <w:rFonts w:ascii="Arial" w:hAnsi="Arial" w:cs="Arial"/>
                <w:color w:val="000000"/>
                <w:sz w:val="20"/>
                <w:szCs w:val="20"/>
              </w:rPr>
              <w:t xml:space="preserve">already </w:t>
            </w:r>
            <w:r w:rsidRPr="00FA7D11">
              <w:rPr>
                <w:rFonts w:ascii="Arial" w:hAnsi="Arial" w:cs="Arial"/>
                <w:color w:val="000000"/>
                <w:sz w:val="20"/>
                <w:szCs w:val="20"/>
              </w:rPr>
              <w:t>taking a medicine to lower the lipid levels in your blood, your healthcare provider may need to increase your dose</w:t>
            </w:r>
            <w:r w:rsidR="001838D6">
              <w:rPr>
                <w:rFonts w:ascii="Arial" w:hAnsi="Arial" w:cs="Arial"/>
                <w:color w:val="000000"/>
                <w:sz w:val="20"/>
                <w:szCs w:val="20"/>
              </w:rPr>
              <w:t xml:space="preserve"> of that medicine</w:t>
            </w:r>
            <w:r w:rsidRPr="00FA7D11">
              <w:rPr>
                <w:rFonts w:ascii="Arial" w:hAnsi="Arial" w:cs="Arial"/>
                <w:color w:val="000000"/>
                <w:sz w:val="20"/>
                <w:szCs w:val="20"/>
              </w:rPr>
              <w:t xml:space="preserve">. </w:t>
            </w:r>
          </w:p>
          <w:p w:rsidR="00E7440A" w:rsidRPr="00FA7D11" w:rsidRDefault="00E7440A" w:rsidP="005C47A9">
            <w:pPr>
              <w:pStyle w:val="ListParagraph"/>
              <w:widowControl w:val="0"/>
              <w:numPr>
                <w:ilvl w:val="0"/>
                <w:numId w:val="54"/>
              </w:numPr>
              <w:autoSpaceDE w:val="0"/>
              <w:autoSpaceDN w:val="0"/>
              <w:adjustRightInd w:val="0"/>
              <w:spacing w:before="60" w:after="60"/>
              <w:ind w:left="540" w:hanging="200"/>
              <w:rPr>
                <w:rFonts w:ascii="Arial" w:hAnsi="Arial" w:cs="Arial"/>
                <w:b/>
                <w:color w:val="000000"/>
                <w:sz w:val="20"/>
                <w:szCs w:val="20"/>
              </w:rPr>
            </w:pPr>
            <w:r w:rsidRPr="00FA7D11">
              <w:rPr>
                <w:rFonts w:ascii="Arial" w:hAnsi="Arial" w:cs="Arial"/>
                <w:color w:val="000000"/>
                <w:sz w:val="20"/>
                <w:szCs w:val="20"/>
              </w:rPr>
              <w:t>Your healthcare provider should do blood tests to check the lipid levels in your blood before starting treatment, 1</w:t>
            </w:r>
            <w:r w:rsidR="00D33C3E">
              <w:rPr>
                <w:rFonts w:ascii="Arial" w:hAnsi="Arial" w:cs="Arial"/>
                <w:color w:val="000000"/>
                <w:sz w:val="20"/>
                <w:szCs w:val="20"/>
              </w:rPr>
              <w:t> </w:t>
            </w:r>
            <w:r w:rsidRPr="00FA7D11">
              <w:rPr>
                <w:rFonts w:ascii="Arial" w:hAnsi="Arial" w:cs="Arial"/>
                <w:color w:val="000000"/>
                <w:sz w:val="20"/>
                <w:szCs w:val="20"/>
              </w:rPr>
              <w:t>to 2 months after starting treatment, and during treatment with LORBRENA.</w:t>
            </w:r>
          </w:p>
          <w:p w:rsidR="00E7440A" w:rsidRPr="008D5890" w:rsidRDefault="00E7440A"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FA7D11">
              <w:rPr>
                <w:rFonts w:ascii="Arial" w:hAnsi="Arial" w:cs="Arial"/>
                <w:b/>
                <w:color w:val="000000"/>
              </w:rPr>
              <w:t>Heart problems</w:t>
            </w:r>
            <w:r w:rsidRPr="005C47A9">
              <w:rPr>
                <w:rFonts w:ascii="Arial" w:hAnsi="Arial" w:cs="Arial"/>
                <w:b/>
                <w:color w:val="000000"/>
              </w:rPr>
              <w:t>.</w:t>
            </w:r>
            <w:r w:rsidRPr="005C47A9">
              <w:rPr>
                <w:rFonts w:ascii="Arial" w:hAnsi="Arial" w:cs="Arial"/>
                <w:color w:val="000000"/>
              </w:rPr>
              <w:t xml:space="preserve"> LORBRENA may cause very slow or abnormal heartbeats. Your healthcare provider should check your heart rhythm (electrocardiogram </w:t>
            </w:r>
            <w:r w:rsidR="0049060B">
              <w:rPr>
                <w:rFonts w:ascii="Arial" w:hAnsi="Arial" w:cs="Arial"/>
                <w:color w:val="000000"/>
              </w:rPr>
              <w:t>[</w:t>
            </w:r>
            <w:r w:rsidRPr="005C47A9">
              <w:rPr>
                <w:rFonts w:ascii="Arial" w:hAnsi="Arial" w:cs="Arial"/>
                <w:color w:val="000000"/>
              </w:rPr>
              <w:t>EKG</w:t>
            </w:r>
            <w:r w:rsidR="0049060B">
              <w:rPr>
                <w:rFonts w:ascii="Arial" w:hAnsi="Arial" w:cs="Arial"/>
                <w:color w:val="000000"/>
              </w:rPr>
              <w:t>]</w:t>
            </w:r>
            <w:r w:rsidRPr="005C47A9">
              <w:rPr>
                <w:rFonts w:ascii="Arial" w:hAnsi="Arial" w:cs="Arial"/>
                <w:color w:val="000000"/>
              </w:rPr>
              <w:t xml:space="preserve">) before starting and during treatment with LORBRENA. </w:t>
            </w:r>
            <w:r w:rsidRPr="00D5276D">
              <w:rPr>
                <w:rFonts w:ascii="Arial" w:hAnsi="Arial" w:cs="Arial"/>
                <w:color w:val="000000"/>
              </w:rPr>
              <w:t xml:space="preserve">Tell your </w:t>
            </w:r>
            <w:r w:rsidRPr="005C47A9">
              <w:rPr>
                <w:rFonts w:ascii="Arial" w:hAnsi="Arial" w:cs="Arial"/>
                <w:color w:val="000000"/>
              </w:rPr>
              <w:t>healthcare provider</w:t>
            </w:r>
            <w:r w:rsidRPr="005C47A9" w:rsidDel="00626592">
              <w:rPr>
                <w:rFonts w:ascii="Arial" w:hAnsi="Arial" w:cs="Arial"/>
                <w:color w:val="000000"/>
              </w:rPr>
              <w:t xml:space="preserve"> </w:t>
            </w:r>
            <w:r w:rsidRPr="005C47A9">
              <w:rPr>
                <w:rFonts w:ascii="Arial" w:hAnsi="Arial" w:cs="Arial"/>
                <w:color w:val="000000"/>
              </w:rPr>
              <w:t>right away if you feel dizzy or faint or have abnormal heartbeats. In some patients, these problems are severe and your healthcare provider may need to have you stop taking LORBRENA or have a pacemaker placed</w:t>
            </w:r>
            <w:r w:rsidRPr="00D5276D">
              <w:rPr>
                <w:rFonts w:ascii="Arial" w:hAnsi="Arial" w:cs="Arial"/>
                <w:color w:val="000000"/>
              </w:rPr>
              <w:t>.</w:t>
            </w:r>
          </w:p>
          <w:p w:rsidR="00E7440A" w:rsidRPr="0028529F" w:rsidRDefault="00E7440A"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28529F">
              <w:rPr>
                <w:rFonts w:ascii="Arial" w:hAnsi="Arial" w:cs="Arial"/>
                <w:b/>
                <w:color w:val="000000"/>
              </w:rPr>
              <w:t>Lung</w:t>
            </w:r>
            <w:r w:rsidRPr="00FA7D11">
              <w:rPr>
                <w:rFonts w:ascii="Arial" w:hAnsi="Arial" w:cs="Arial"/>
                <w:b/>
                <w:color w:val="000000"/>
              </w:rPr>
              <w:t xml:space="preserve"> problems.</w:t>
            </w:r>
            <w:r w:rsidRPr="00FA7D11">
              <w:rPr>
                <w:rFonts w:ascii="Arial" w:hAnsi="Arial" w:cs="Arial"/>
                <w:color w:val="000000"/>
              </w:rPr>
              <w:t xml:space="preserve"> LORBRENA may cause severe or life-threatening swelling (inflammation) of the lungs during treatment that can lead to death. Symptoms may be similar to those from lung cancer. Tell your healthcare provider right away if you have any new or </w:t>
            </w:r>
            <w:r w:rsidRPr="0071218D">
              <w:rPr>
                <w:rFonts w:ascii="Arial" w:hAnsi="Arial" w:cs="Arial"/>
                <w:color w:val="000000"/>
              </w:rPr>
              <w:t xml:space="preserve">worsening </w:t>
            </w:r>
            <w:r w:rsidRPr="0028529F">
              <w:rPr>
                <w:rFonts w:ascii="Arial" w:hAnsi="Arial" w:cs="Arial"/>
                <w:color w:val="000000"/>
              </w:rPr>
              <w:t>symptoms of lung problems, including</w:t>
            </w:r>
            <w:r>
              <w:rPr>
                <w:rFonts w:ascii="Arial" w:hAnsi="Arial" w:cs="Arial"/>
                <w:color w:val="000000"/>
              </w:rPr>
              <w:t xml:space="preserve"> trouble breathing, shortness of breath, cough, or fever</w:t>
            </w:r>
            <w:r w:rsidR="004F2D78">
              <w:rPr>
                <w:rFonts w:ascii="Arial" w:hAnsi="Arial" w:cs="Arial"/>
                <w:color w:val="000000"/>
              </w:rPr>
              <w:t>.</w:t>
            </w:r>
          </w:p>
          <w:p w:rsidR="00B82251" w:rsidRPr="00F77A84" w:rsidRDefault="00E7440A" w:rsidP="003F5ED7">
            <w:pPr>
              <w:autoSpaceDE w:val="0"/>
              <w:autoSpaceDN w:val="0"/>
              <w:rPr>
                <w:rFonts w:ascii="Arial" w:hAnsi="Arial" w:cs="Arial"/>
                <w:color w:val="000000"/>
              </w:rPr>
            </w:pPr>
            <w:r w:rsidRPr="00EA2ED6">
              <w:rPr>
                <w:rFonts w:ascii="Arial" w:hAnsi="Arial" w:cs="Arial"/>
                <w:color w:val="000000"/>
              </w:rPr>
              <w:t xml:space="preserve">In some </w:t>
            </w:r>
            <w:r>
              <w:rPr>
                <w:rFonts w:ascii="Arial" w:hAnsi="Arial" w:cs="Arial"/>
                <w:color w:val="000000"/>
              </w:rPr>
              <w:t>patients</w:t>
            </w:r>
            <w:r w:rsidRPr="00EA2ED6">
              <w:rPr>
                <w:rFonts w:ascii="Arial" w:hAnsi="Arial" w:cs="Arial"/>
                <w:color w:val="000000"/>
              </w:rPr>
              <w:t xml:space="preserve">, these problems </w:t>
            </w:r>
            <w:r>
              <w:rPr>
                <w:rFonts w:ascii="Arial" w:hAnsi="Arial" w:cs="Arial"/>
                <w:color w:val="000000"/>
              </w:rPr>
              <w:t>are severe and your healthcare provider may need to have you stop taking LORBRENA.</w:t>
            </w:r>
            <w:r w:rsidR="00EA2DD0">
              <w:rPr>
                <w:rFonts w:ascii="Arial" w:hAnsi="Arial" w:cs="Arial"/>
                <w:color w:val="000000"/>
              </w:rPr>
              <w:t xml:space="preserve"> </w:t>
            </w:r>
            <w:r w:rsidR="00B82251" w:rsidRPr="00886DE0">
              <w:rPr>
                <w:rFonts w:ascii="Arial" w:hAnsi="Arial" w:cs="Arial"/>
                <w:b/>
                <w:color w:val="000000"/>
              </w:rPr>
              <w:t xml:space="preserve">See “What are possible side effects of </w:t>
            </w:r>
            <w:r w:rsidR="00B82251">
              <w:rPr>
                <w:rFonts w:ascii="Arial" w:hAnsi="Arial" w:cs="Arial"/>
                <w:b/>
                <w:color w:val="000000"/>
              </w:rPr>
              <w:t>LORBRENA</w:t>
            </w:r>
            <w:r w:rsidR="00B82251" w:rsidRPr="00886DE0">
              <w:rPr>
                <w:rFonts w:ascii="Arial" w:hAnsi="Arial" w:cs="Arial"/>
                <w:b/>
                <w:color w:val="000000"/>
              </w:rPr>
              <w:t>?” for more information about side effects.</w:t>
            </w:r>
          </w:p>
        </w:tc>
      </w:tr>
      <w:tr w:rsidR="00B82251" w:rsidRPr="00886DE0" w:rsidTr="001C7EE5">
        <w:tc>
          <w:tcPr>
            <w:tcW w:w="10746" w:type="dxa"/>
            <w:shd w:val="clear" w:color="auto" w:fill="auto"/>
          </w:tcPr>
          <w:p w:rsidR="00E7440A" w:rsidRPr="005C06DD" w:rsidRDefault="00B82251" w:rsidP="00E7440A">
            <w:pPr>
              <w:keepNext/>
              <w:keepLines/>
              <w:widowControl w:val="0"/>
              <w:autoSpaceDE w:val="0"/>
              <w:autoSpaceDN w:val="0"/>
              <w:adjustRightInd w:val="0"/>
              <w:spacing w:before="60" w:after="60"/>
              <w:rPr>
                <w:rFonts w:ascii="Arial" w:hAnsi="Arial" w:cs="Arial"/>
                <w:b/>
                <w:color w:val="000000"/>
              </w:rPr>
            </w:pPr>
            <w:r w:rsidRPr="00886DE0">
              <w:rPr>
                <w:rFonts w:ascii="Arial" w:hAnsi="Arial" w:cs="Arial"/>
                <w:b/>
                <w:color w:val="000000"/>
              </w:rPr>
              <w:t xml:space="preserve">What is </w:t>
            </w:r>
            <w:r>
              <w:rPr>
                <w:rFonts w:ascii="Arial" w:hAnsi="Arial" w:cs="Arial"/>
                <w:b/>
                <w:color w:val="000000"/>
              </w:rPr>
              <w:t>LORBRENA</w:t>
            </w:r>
            <w:r w:rsidRPr="00886DE0">
              <w:rPr>
                <w:rFonts w:ascii="Arial" w:hAnsi="Arial" w:cs="Arial"/>
                <w:b/>
                <w:color w:val="000000"/>
              </w:rPr>
              <w:t xml:space="preserve">? </w:t>
            </w:r>
          </w:p>
          <w:p w:rsidR="00E7440A" w:rsidRPr="005C06DD" w:rsidRDefault="00E7440A" w:rsidP="00E7440A">
            <w:pPr>
              <w:widowControl w:val="0"/>
              <w:autoSpaceDE w:val="0"/>
              <w:autoSpaceDN w:val="0"/>
              <w:adjustRightInd w:val="0"/>
              <w:spacing w:before="60" w:after="60"/>
              <w:rPr>
                <w:rFonts w:ascii="Arial" w:hAnsi="Arial" w:cs="Arial"/>
                <w:color w:val="000000"/>
              </w:rPr>
            </w:pPr>
            <w:r w:rsidRPr="005C06DD">
              <w:rPr>
                <w:rFonts w:ascii="Arial" w:hAnsi="Arial" w:cs="Arial"/>
                <w:color w:val="000000"/>
              </w:rPr>
              <w:t xml:space="preserve">LORBRENA is a prescription medicine that is used to treat people with non-small cell lung cancer (NSCLC) </w:t>
            </w:r>
          </w:p>
          <w:p w:rsidR="00E7440A" w:rsidRPr="005C06DD" w:rsidRDefault="00E7440A" w:rsidP="006577B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 xml:space="preserve">that is caused by an abnormal anaplastic lymphoma kinase (ALK) gene </w:t>
            </w:r>
            <w:r w:rsidRPr="005C06DD">
              <w:rPr>
                <w:rFonts w:ascii="Arial" w:hAnsi="Arial" w:cs="Arial"/>
                <w:b/>
                <w:color w:val="000000"/>
              </w:rPr>
              <w:t>and,</w:t>
            </w:r>
            <w:r w:rsidRPr="005C06DD">
              <w:rPr>
                <w:rFonts w:ascii="Arial" w:hAnsi="Arial" w:cs="Arial"/>
                <w:color w:val="000000"/>
              </w:rPr>
              <w:t xml:space="preserve"> </w:t>
            </w:r>
          </w:p>
          <w:p w:rsidR="00E7440A" w:rsidRPr="005C06DD" w:rsidRDefault="00E7440A" w:rsidP="006577B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 xml:space="preserve">that has spread to other parts of your body </w:t>
            </w:r>
            <w:r w:rsidRPr="005C06DD">
              <w:rPr>
                <w:rFonts w:ascii="Arial" w:hAnsi="Arial" w:cs="Arial"/>
                <w:b/>
                <w:color w:val="000000"/>
              </w:rPr>
              <w:t>and,</w:t>
            </w:r>
            <w:r w:rsidRPr="005C06DD">
              <w:rPr>
                <w:rFonts w:ascii="Arial" w:hAnsi="Arial" w:cs="Arial"/>
                <w:color w:val="000000"/>
              </w:rPr>
              <w:t xml:space="preserve"> </w:t>
            </w:r>
          </w:p>
          <w:p w:rsidR="00E7440A" w:rsidRDefault="00E7440A" w:rsidP="006577B6">
            <w:pPr>
              <w:widowControl w:val="0"/>
              <w:numPr>
                <w:ilvl w:val="0"/>
                <w:numId w:val="12"/>
              </w:numPr>
              <w:autoSpaceDE w:val="0"/>
              <w:autoSpaceDN w:val="0"/>
              <w:adjustRightInd w:val="0"/>
              <w:spacing w:before="60" w:after="60"/>
              <w:ind w:left="270" w:hanging="270"/>
              <w:rPr>
                <w:rFonts w:ascii="Arial" w:hAnsi="Arial" w:cs="Arial"/>
                <w:color w:val="000000"/>
              </w:rPr>
            </w:pPr>
            <w:r w:rsidRPr="005C06DD">
              <w:rPr>
                <w:rFonts w:ascii="Arial" w:hAnsi="Arial" w:cs="Arial"/>
                <w:color w:val="000000"/>
              </w:rPr>
              <w:t>who have taken the medicine alectinib or</w:t>
            </w:r>
            <w:r>
              <w:rPr>
                <w:rFonts w:ascii="Arial" w:hAnsi="Arial" w:cs="Arial"/>
                <w:color w:val="000000"/>
              </w:rPr>
              <w:t xml:space="preserve"> ceritinib or who</w:t>
            </w:r>
            <w:r w:rsidRPr="005C06DD">
              <w:rPr>
                <w:rFonts w:ascii="Arial" w:hAnsi="Arial" w:cs="Arial"/>
                <w:color w:val="000000"/>
              </w:rPr>
              <w:t xml:space="preserve"> </w:t>
            </w:r>
            <w:r>
              <w:rPr>
                <w:rFonts w:ascii="Arial" w:hAnsi="Arial" w:cs="Arial"/>
                <w:color w:val="000000"/>
              </w:rPr>
              <w:t xml:space="preserve">have taken both the medicine </w:t>
            </w:r>
            <w:r w:rsidRPr="005C06DD">
              <w:rPr>
                <w:rFonts w:ascii="Arial" w:hAnsi="Arial" w:cs="Arial"/>
                <w:color w:val="000000"/>
              </w:rPr>
              <w:t>crizotinib and at least 1</w:t>
            </w:r>
            <w:r w:rsidR="00D33C3E">
              <w:rPr>
                <w:rFonts w:ascii="Arial" w:hAnsi="Arial" w:cs="Arial"/>
                <w:color w:val="000000"/>
              </w:rPr>
              <w:t> </w:t>
            </w:r>
            <w:r w:rsidRPr="005C06DD">
              <w:rPr>
                <w:rFonts w:ascii="Arial" w:hAnsi="Arial" w:cs="Arial"/>
                <w:color w:val="000000"/>
              </w:rPr>
              <w:t>other medicine to treat NSCLC that is caused by the ALK gene,</w:t>
            </w:r>
            <w:r>
              <w:rPr>
                <w:rFonts w:ascii="Arial" w:hAnsi="Arial" w:cs="Arial"/>
                <w:color w:val="000000"/>
              </w:rPr>
              <w:t xml:space="preserve"> </w:t>
            </w:r>
            <w:r>
              <w:rPr>
                <w:rFonts w:ascii="Arial" w:hAnsi="Arial" w:cs="Arial"/>
                <w:b/>
                <w:color w:val="000000"/>
              </w:rPr>
              <w:t>and</w:t>
            </w:r>
          </w:p>
          <w:p w:rsidR="00E7440A" w:rsidRPr="005C06DD" w:rsidRDefault="00E7440A" w:rsidP="006577B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their NSCLC</w:t>
            </w:r>
            <w:r>
              <w:rPr>
                <w:rFonts w:ascii="Arial" w:hAnsi="Arial" w:cs="Arial"/>
                <w:color w:val="000000"/>
              </w:rPr>
              <w:t xml:space="preserve"> is no longer responding to these treatments</w:t>
            </w:r>
            <w:r w:rsidR="00821C49">
              <w:rPr>
                <w:rFonts w:ascii="Arial" w:hAnsi="Arial" w:cs="Arial"/>
                <w:color w:val="000000"/>
              </w:rPr>
              <w:t>.</w:t>
            </w:r>
            <w:r w:rsidRPr="005C06DD">
              <w:rPr>
                <w:rFonts w:ascii="Arial" w:hAnsi="Arial" w:cs="Arial"/>
                <w:color w:val="000000"/>
              </w:rPr>
              <w:t xml:space="preserve"> </w:t>
            </w:r>
          </w:p>
          <w:p w:rsidR="00B82251" w:rsidRPr="00886DE0" w:rsidRDefault="00E7440A" w:rsidP="00E7440A">
            <w:pPr>
              <w:widowControl w:val="0"/>
              <w:autoSpaceDE w:val="0"/>
              <w:autoSpaceDN w:val="0"/>
              <w:adjustRightInd w:val="0"/>
              <w:rPr>
                <w:rFonts w:ascii="Arial" w:hAnsi="Arial" w:cs="Arial"/>
                <w:color w:val="000000"/>
              </w:rPr>
            </w:pPr>
            <w:r w:rsidRPr="005C06DD">
              <w:rPr>
                <w:rFonts w:ascii="Arial" w:hAnsi="Arial" w:cs="Arial"/>
                <w:color w:val="000000"/>
              </w:rPr>
              <w:t>It is not known if LORBRENA is safe and effective in children.</w:t>
            </w:r>
          </w:p>
        </w:tc>
      </w:tr>
      <w:tr w:rsidR="00E7440A" w:rsidRPr="00886DE0" w:rsidTr="001C7EE5">
        <w:tc>
          <w:tcPr>
            <w:tcW w:w="10746" w:type="dxa"/>
            <w:shd w:val="clear" w:color="auto" w:fill="auto"/>
          </w:tcPr>
          <w:p w:rsidR="00E7440A" w:rsidRPr="00886DE0" w:rsidRDefault="00E7440A" w:rsidP="00E7440A">
            <w:pPr>
              <w:keepNext/>
              <w:keepLines/>
              <w:widowControl w:val="0"/>
              <w:autoSpaceDE w:val="0"/>
              <w:autoSpaceDN w:val="0"/>
              <w:adjustRightInd w:val="0"/>
              <w:spacing w:before="60" w:after="60"/>
              <w:rPr>
                <w:rFonts w:ascii="Arial" w:hAnsi="Arial" w:cs="Arial"/>
                <w:b/>
                <w:color w:val="000000"/>
              </w:rPr>
            </w:pPr>
            <w:r w:rsidRPr="005C06DD">
              <w:rPr>
                <w:rFonts w:ascii="Arial" w:hAnsi="Arial" w:cs="Arial"/>
                <w:b/>
                <w:color w:val="000000"/>
              </w:rPr>
              <w:t>Do</w:t>
            </w:r>
            <w:r w:rsidRPr="0085448F">
              <w:rPr>
                <w:rFonts w:ascii="Arial" w:hAnsi="Arial" w:cs="Arial"/>
                <w:b/>
                <w:color w:val="000000"/>
              </w:rPr>
              <w:t xml:space="preserve"> not take LORBRENA if you </w:t>
            </w:r>
            <w:r w:rsidRPr="0085448F">
              <w:rPr>
                <w:rFonts w:ascii="Arial" w:hAnsi="Arial" w:cs="Arial"/>
                <w:color w:val="000000"/>
              </w:rPr>
              <w:t xml:space="preserve">take certain other medicines called strong CYP3A inducers. Ask your healthcare provider for a list of these medicines if you are not sure.  </w:t>
            </w:r>
          </w:p>
        </w:tc>
      </w:tr>
      <w:tr w:rsidR="00B82251" w:rsidRPr="00886DE0" w:rsidTr="001C7EE5">
        <w:tc>
          <w:tcPr>
            <w:tcW w:w="10746" w:type="dxa"/>
            <w:shd w:val="clear" w:color="auto" w:fill="auto"/>
          </w:tcPr>
          <w:p w:rsidR="00B61E56" w:rsidRPr="005C06DD" w:rsidRDefault="00B61E56" w:rsidP="00B61E56">
            <w:pPr>
              <w:widowControl w:val="0"/>
              <w:spacing w:before="60" w:after="60"/>
              <w:rPr>
                <w:rFonts w:ascii="Arial" w:hAnsi="Arial" w:cs="Arial"/>
                <w:b/>
                <w:color w:val="000000"/>
              </w:rPr>
            </w:pPr>
            <w:r w:rsidRPr="005C06DD">
              <w:rPr>
                <w:rFonts w:ascii="Arial" w:hAnsi="Arial" w:cs="Arial"/>
                <w:b/>
                <w:color w:val="000000"/>
              </w:rPr>
              <w:t>Before taking LORBRENA, tell your healthcare provider about all of your medical conditions, including if you:</w:t>
            </w:r>
          </w:p>
          <w:p w:rsidR="00B61E56" w:rsidRDefault="00B61E56" w:rsidP="00B61E56">
            <w:pPr>
              <w:widowControl w:val="0"/>
              <w:numPr>
                <w:ilvl w:val="0"/>
                <w:numId w:val="12"/>
              </w:numPr>
              <w:autoSpaceDE w:val="0"/>
              <w:autoSpaceDN w:val="0"/>
              <w:adjustRightInd w:val="0"/>
              <w:spacing w:before="60" w:after="60"/>
              <w:ind w:left="340" w:hanging="340"/>
              <w:rPr>
                <w:rFonts w:ascii="Arial" w:hAnsi="Arial" w:cs="Arial"/>
                <w:color w:val="000000"/>
              </w:rPr>
            </w:pPr>
            <w:r>
              <w:rPr>
                <w:rFonts w:ascii="Arial" w:hAnsi="Arial" w:cs="Arial"/>
                <w:color w:val="000000"/>
              </w:rPr>
              <w:t>are taking other medications</w:t>
            </w:r>
          </w:p>
          <w:p w:rsidR="00B61E56" w:rsidRDefault="00821C49" w:rsidP="00B61E56">
            <w:pPr>
              <w:widowControl w:val="0"/>
              <w:numPr>
                <w:ilvl w:val="0"/>
                <w:numId w:val="12"/>
              </w:numPr>
              <w:autoSpaceDE w:val="0"/>
              <w:autoSpaceDN w:val="0"/>
              <w:adjustRightInd w:val="0"/>
              <w:spacing w:before="60" w:after="60"/>
              <w:ind w:left="340" w:hanging="340"/>
              <w:rPr>
                <w:rFonts w:ascii="Arial" w:hAnsi="Arial" w:cs="Arial"/>
                <w:color w:val="000000"/>
              </w:rPr>
            </w:pPr>
            <w:r>
              <w:rPr>
                <w:rFonts w:ascii="Arial" w:hAnsi="Arial" w:cs="Arial"/>
                <w:color w:val="000000"/>
              </w:rPr>
              <w:t>h</w:t>
            </w:r>
            <w:r w:rsidR="00B61E56">
              <w:rPr>
                <w:rFonts w:ascii="Arial" w:hAnsi="Arial" w:cs="Arial"/>
                <w:color w:val="000000"/>
              </w:rPr>
              <w:t>ave had episodes of depression or seizures</w:t>
            </w:r>
          </w:p>
          <w:p w:rsidR="00B61E56" w:rsidRPr="005C06DD" w:rsidRDefault="00B61E56" w:rsidP="00B61E5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have high levels of cholesterol or triglycerides in your blood</w:t>
            </w:r>
          </w:p>
          <w:p w:rsidR="00B61E56" w:rsidRDefault="00B61E56" w:rsidP="00B61E5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have problems</w:t>
            </w:r>
            <w:r>
              <w:rPr>
                <w:rFonts w:ascii="Arial" w:hAnsi="Arial" w:cs="Arial"/>
                <w:color w:val="000000"/>
              </w:rPr>
              <w:t xml:space="preserve"> with your heart beat</w:t>
            </w:r>
            <w:r w:rsidRPr="005C06DD">
              <w:rPr>
                <w:rFonts w:ascii="Arial" w:hAnsi="Arial" w:cs="Arial"/>
                <w:color w:val="000000"/>
              </w:rPr>
              <w:t xml:space="preserve"> </w:t>
            </w:r>
          </w:p>
          <w:p w:rsidR="00B61E56" w:rsidRPr="005C06DD" w:rsidRDefault="00B61E56" w:rsidP="00B61E56">
            <w:pPr>
              <w:widowControl w:val="0"/>
              <w:numPr>
                <w:ilvl w:val="0"/>
                <w:numId w:val="12"/>
              </w:numPr>
              <w:autoSpaceDE w:val="0"/>
              <w:autoSpaceDN w:val="0"/>
              <w:adjustRightInd w:val="0"/>
              <w:spacing w:before="60" w:after="60"/>
              <w:ind w:left="340" w:hanging="340"/>
              <w:rPr>
                <w:rFonts w:ascii="Arial" w:hAnsi="Arial" w:cs="Arial"/>
                <w:color w:val="000000"/>
              </w:rPr>
            </w:pPr>
            <w:r>
              <w:rPr>
                <w:rFonts w:ascii="Arial" w:hAnsi="Arial" w:cs="Arial"/>
                <w:color w:val="000000"/>
              </w:rPr>
              <w:t>have lung or breathing problems</w:t>
            </w:r>
          </w:p>
          <w:p w:rsidR="00B61E56" w:rsidRPr="005C06DD" w:rsidRDefault="00B61E56" w:rsidP="00B61E56">
            <w:pPr>
              <w:widowControl w:val="0"/>
              <w:numPr>
                <w:ilvl w:val="0"/>
                <w:numId w:val="12"/>
              </w:numPr>
              <w:autoSpaceDE w:val="0"/>
              <w:autoSpaceDN w:val="0"/>
              <w:adjustRightInd w:val="0"/>
              <w:spacing w:before="60" w:after="60"/>
              <w:ind w:left="340" w:hanging="340"/>
              <w:rPr>
                <w:rFonts w:ascii="Arial" w:hAnsi="Arial" w:cs="Arial"/>
                <w:color w:val="000000"/>
              </w:rPr>
            </w:pPr>
            <w:r w:rsidRPr="005C06DD">
              <w:rPr>
                <w:rFonts w:ascii="Arial" w:hAnsi="Arial" w:cs="Arial"/>
                <w:color w:val="000000"/>
              </w:rPr>
              <w:t xml:space="preserve">are pregnant or plan to become pregnant. LORBRENA can harm your unborn baby. </w:t>
            </w:r>
          </w:p>
          <w:p w:rsidR="00B61E56" w:rsidRPr="0096462B" w:rsidRDefault="00B61E56" w:rsidP="00B61E56">
            <w:pPr>
              <w:pStyle w:val="ListParagraph"/>
              <w:widowControl w:val="0"/>
              <w:numPr>
                <w:ilvl w:val="0"/>
                <w:numId w:val="56"/>
              </w:numPr>
              <w:autoSpaceDE w:val="0"/>
              <w:autoSpaceDN w:val="0"/>
              <w:adjustRightInd w:val="0"/>
              <w:spacing w:before="60" w:after="60"/>
              <w:ind w:left="700"/>
              <w:rPr>
                <w:rFonts w:ascii="Arial" w:hAnsi="Arial" w:cs="Arial"/>
                <w:color w:val="000000"/>
                <w:sz w:val="20"/>
                <w:szCs w:val="20"/>
              </w:rPr>
            </w:pPr>
            <w:r w:rsidRPr="0085448F">
              <w:rPr>
                <w:rFonts w:ascii="Arial" w:hAnsi="Arial" w:cs="Arial"/>
                <w:color w:val="000000"/>
                <w:sz w:val="20"/>
                <w:szCs w:val="20"/>
              </w:rPr>
              <w:t>Your</w:t>
            </w:r>
            <w:r w:rsidRPr="0096462B">
              <w:rPr>
                <w:rFonts w:ascii="Arial" w:hAnsi="Arial" w:cs="Arial"/>
                <w:color w:val="000000"/>
                <w:sz w:val="20"/>
                <w:szCs w:val="20"/>
              </w:rPr>
              <w:t xml:space="preserve"> healthcare provider will do a pregnancy test before you start treatment with LO</w:t>
            </w:r>
            <w:r>
              <w:rPr>
                <w:rFonts w:ascii="Arial" w:hAnsi="Arial" w:cs="Arial"/>
                <w:color w:val="000000"/>
                <w:sz w:val="20"/>
                <w:szCs w:val="20"/>
              </w:rPr>
              <w:t>R</w:t>
            </w:r>
            <w:r w:rsidRPr="0096462B">
              <w:rPr>
                <w:rFonts w:ascii="Arial" w:hAnsi="Arial" w:cs="Arial"/>
                <w:color w:val="000000"/>
                <w:sz w:val="20"/>
                <w:szCs w:val="20"/>
              </w:rPr>
              <w:t xml:space="preserve">BRENA. </w:t>
            </w:r>
          </w:p>
          <w:p w:rsidR="00B61E56" w:rsidRPr="0096462B" w:rsidRDefault="00B61E56" w:rsidP="005C47A9">
            <w:pPr>
              <w:pStyle w:val="ListParagraph"/>
              <w:widowControl w:val="0"/>
              <w:numPr>
                <w:ilvl w:val="0"/>
                <w:numId w:val="56"/>
              </w:numPr>
              <w:autoSpaceDE w:val="0"/>
              <w:autoSpaceDN w:val="0"/>
              <w:adjustRightInd w:val="0"/>
              <w:spacing w:before="60" w:after="60"/>
              <w:ind w:left="540" w:hanging="200"/>
              <w:rPr>
                <w:rFonts w:ascii="Arial" w:hAnsi="Arial" w:cs="Arial"/>
                <w:color w:val="000000"/>
                <w:sz w:val="20"/>
                <w:szCs w:val="20"/>
              </w:rPr>
            </w:pPr>
            <w:r w:rsidRPr="0096462B">
              <w:rPr>
                <w:rFonts w:ascii="Arial" w:hAnsi="Arial" w:cs="Arial"/>
                <w:sz w:val="20"/>
                <w:szCs w:val="20"/>
              </w:rPr>
              <w:t>Tell your healthcare provider right away if you become pregnant or think you may be pregnant</w:t>
            </w:r>
            <w:r>
              <w:rPr>
                <w:rFonts w:ascii="Arial" w:hAnsi="Arial" w:cs="Arial"/>
                <w:sz w:val="20"/>
                <w:szCs w:val="20"/>
              </w:rPr>
              <w:t xml:space="preserve"> during treatment with LORBRENA</w:t>
            </w:r>
            <w:r w:rsidRPr="0096462B">
              <w:rPr>
                <w:rFonts w:ascii="Arial" w:hAnsi="Arial" w:cs="Arial"/>
                <w:sz w:val="20"/>
                <w:szCs w:val="20"/>
              </w:rPr>
              <w:t>.</w:t>
            </w:r>
          </w:p>
          <w:p w:rsidR="00B61E56" w:rsidRPr="0085448F" w:rsidRDefault="00B61E56" w:rsidP="006577B6">
            <w:pPr>
              <w:pStyle w:val="Paragraph"/>
              <w:widowControl w:val="0"/>
              <w:numPr>
                <w:ilvl w:val="1"/>
                <w:numId w:val="61"/>
              </w:numPr>
              <w:spacing w:before="60" w:after="60"/>
              <w:ind w:left="1080"/>
              <w:rPr>
                <w:rFonts w:ascii="Arial" w:hAnsi="Arial" w:cs="Arial"/>
                <w:color w:val="000000"/>
                <w:sz w:val="20"/>
                <w:szCs w:val="20"/>
              </w:rPr>
            </w:pPr>
            <w:r w:rsidRPr="0085448F">
              <w:rPr>
                <w:rFonts w:ascii="Arial" w:hAnsi="Arial" w:cs="Arial"/>
                <w:b/>
                <w:color w:val="000000"/>
                <w:sz w:val="20"/>
                <w:szCs w:val="20"/>
              </w:rPr>
              <w:t>Females</w:t>
            </w:r>
            <w:r w:rsidRPr="0085448F">
              <w:rPr>
                <w:rFonts w:ascii="Arial" w:hAnsi="Arial" w:cs="Arial"/>
                <w:color w:val="000000"/>
                <w:sz w:val="20"/>
                <w:szCs w:val="20"/>
              </w:rPr>
              <w:t xml:space="preserve"> who are able to become pregnant should use </w:t>
            </w:r>
            <w:r w:rsidR="00FA3EF0" w:rsidRPr="007B27A8">
              <w:rPr>
                <w:rFonts w:ascii="Arial" w:hAnsi="Arial" w:cs="Arial"/>
                <w:color w:val="000000"/>
                <w:sz w:val="20"/>
                <w:szCs w:val="20"/>
              </w:rPr>
              <w:t>effective non-hormonal birth control</w:t>
            </w:r>
            <w:r w:rsidR="00FA3EF0" w:rsidRPr="0085448F">
              <w:rPr>
                <w:rFonts w:ascii="Arial" w:hAnsi="Arial" w:cs="Arial"/>
                <w:color w:val="000000"/>
                <w:sz w:val="20"/>
                <w:szCs w:val="20"/>
              </w:rPr>
              <w:t xml:space="preserve"> </w:t>
            </w:r>
            <w:r w:rsidRPr="0085448F">
              <w:rPr>
                <w:rFonts w:ascii="Arial" w:hAnsi="Arial" w:cs="Arial"/>
                <w:color w:val="000000"/>
                <w:sz w:val="20"/>
                <w:szCs w:val="20"/>
              </w:rPr>
              <w:t xml:space="preserve">during treatment with LORBRENA and for at </w:t>
            </w:r>
            <w:r w:rsidR="0031530E" w:rsidRPr="0085448F">
              <w:rPr>
                <w:rFonts w:ascii="Arial" w:hAnsi="Arial" w:cs="Arial"/>
                <w:color w:val="000000"/>
                <w:sz w:val="20"/>
                <w:szCs w:val="20"/>
              </w:rPr>
              <w:t>least</w:t>
            </w:r>
            <w:r w:rsidR="0031530E" w:rsidRPr="0085448F">
              <w:rPr>
                <w:rFonts w:ascii="Arial" w:hAnsi="Arial" w:cs="Arial"/>
                <w:sz w:val="20"/>
                <w:szCs w:val="20"/>
              </w:rPr>
              <w:t xml:space="preserve"> </w:t>
            </w:r>
            <w:r w:rsidR="009820D8">
              <w:rPr>
                <w:rFonts w:ascii="Arial" w:hAnsi="Arial" w:cs="Arial"/>
                <w:sz w:val="20"/>
                <w:szCs w:val="20"/>
              </w:rPr>
              <w:t xml:space="preserve">6 months </w:t>
            </w:r>
            <w:r w:rsidR="0031530E" w:rsidRPr="0085448F">
              <w:rPr>
                <w:rFonts w:ascii="Arial" w:hAnsi="Arial" w:cs="Arial"/>
                <w:color w:val="000000"/>
                <w:sz w:val="20"/>
                <w:szCs w:val="20"/>
              </w:rPr>
              <w:t>after</w:t>
            </w:r>
            <w:r w:rsidRPr="0085448F">
              <w:rPr>
                <w:rFonts w:ascii="Arial" w:hAnsi="Arial" w:cs="Arial"/>
                <w:color w:val="000000"/>
                <w:sz w:val="20"/>
                <w:szCs w:val="20"/>
              </w:rPr>
              <w:t xml:space="preserve"> the final dose of LORBRENA. Birth control pills </w:t>
            </w:r>
            <w:r w:rsidRPr="0085448F">
              <w:rPr>
                <w:rFonts w:ascii="Arial" w:hAnsi="Arial" w:cs="Arial"/>
                <w:color w:val="000000"/>
                <w:sz w:val="20"/>
                <w:szCs w:val="20"/>
              </w:rPr>
              <w:lastRenderedPageBreak/>
              <w:t xml:space="preserve">(oral contraceptives) and other hormonal forms of birth control may not be effective if used during treatment with LORBRENA. </w:t>
            </w:r>
            <w:r w:rsidRPr="0085448F">
              <w:rPr>
                <w:rFonts w:ascii="Arial" w:hAnsi="Arial" w:cs="Arial"/>
                <w:sz w:val="20"/>
                <w:szCs w:val="20"/>
              </w:rPr>
              <w:t>Talk to your healthcare provider about birth control choices that are right for you during t</w:t>
            </w:r>
            <w:r>
              <w:rPr>
                <w:rFonts w:ascii="Arial" w:hAnsi="Arial" w:cs="Arial"/>
                <w:sz w:val="20"/>
                <w:szCs w:val="20"/>
              </w:rPr>
              <w:t>his time</w:t>
            </w:r>
            <w:r w:rsidRPr="0085448F">
              <w:rPr>
                <w:rFonts w:ascii="Arial" w:hAnsi="Arial" w:cs="Arial"/>
                <w:sz w:val="20"/>
                <w:szCs w:val="20"/>
              </w:rPr>
              <w:t>.</w:t>
            </w:r>
          </w:p>
          <w:p w:rsidR="00B61E56" w:rsidRPr="0085448F" w:rsidRDefault="00B61E56" w:rsidP="006577B6">
            <w:pPr>
              <w:pStyle w:val="Paragraph"/>
              <w:widowControl w:val="0"/>
              <w:numPr>
                <w:ilvl w:val="1"/>
                <w:numId w:val="61"/>
              </w:numPr>
              <w:spacing w:before="60" w:after="60"/>
              <w:ind w:left="1080"/>
              <w:rPr>
                <w:rFonts w:ascii="Arial" w:hAnsi="Arial" w:cs="Arial"/>
                <w:color w:val="000000"/>
                <w:sz w:val="20"/>
                <w:szCs w:val="20"/>
              </w:rPr>
            </w:pPr>
            <w:r w:rsidRPr="0085448F">
              <w:rPr>
                <w:rFonts w:ascii="Arial" w:hAnsi="Arial" w:cs="Arial"/>
                <w:b/>
                <w:color w:val="000000"/>
                <w:sz w:val="20"/>
                <w:szCs w:val="20"/>
              </w:rPr>
              <w:t>Males</w:t>
            </w:r>
            <w:r w:rsidRPr="0085448F">
              <w:rPr>
                <w:rFonts w:ascii="Arial" w:hAnsi="Arial" w:cs="Arial"/>
                <w:color w:val="000000"/>
                <w:sz w:val="20"/>
                <w:szCs w:val="20"/>
              </w:rPr>
              <w:t xml:space="preserve"> who have female partners </w:t>
            </w:r>
            <w:r>
              <w:rPr>
                <w:rFonts w:ascii="Arial" w:hAnsi="Arial" w:cs="Arial"/>
                <w:color w:val="000000"/>
                <w:sz w:val="20"/>
                <w:szCs w:val="20"/>
              </w:rPr>
              <w:t>who</w:t>
            </w:r>
            <w:r w:rsidRPr="0085448F">
              <w:rPr>
                <w:rFonts w:ascii="Arial" w:hAnsi="Arial" w:cs="Arial"/>
                <w:color w:val="000000"/>
                <w:sz w:val="20"/>
                <w:szCs w:val="20"/>
              </w:rPr>
              <w:t xml:space="preserve"> are able to become pregnant should </w:t>
            </w:r>
            <w:r>
              <w:rPr>
                <w:rFonts w:ascii="Arial" w:hAnsi="Arial" w:cs="Arial"/>
                <w:color w:val="000000"/>
                <w:sz w:val="20"/>
                <w:szCs w:val="20"/>
              </w:rPr>
              <w:t xml:space="preserve">use </w:t>
            </w:r>
            <w:r w:rsidRPr="0085448F">
              <w:rPr>
                <w:rFonts w:ascii="Arial" w:hAnsi="Arial" w:cs="Arial"/>
                <w:color w:val="000000"/>
                <w:sz w:val="20"/>
                <w:szCs w:val="20"/>
              </w:rPr>
              <w:t xml:space="preserve">effective birth control during treatment with LORBRENA and for at least 3 months after the final dose of LORBRENA. </w:t>
            </w:r>
          </w:p>
          <w:p w:rsidR="00B61E56" w:rsidRPr="0085448F" w:rsidRDefault="00B61E56" w:rsidP="005C47A9">
            <w:pPr>
              <w:widowControl w:val="0"/>
              <w:numPr>
                <w:ilvl w:val="0"/>
                <w:numId w:val="17"/>
              </w:numPr>
              <w:autoSpaceDE w:val="0"/>
              <w:autoSpaceDN w:val="0"/>
              <w:adjustRightInd w:val="0"/>
              <w:spacing w:before="60" w:after="60"/>
              <w:ind w:left="270" w:hanging="270"/>
              <w:rPr>
                <w:rFonts w:ascii="Arial" w:hAnsi="Arial" w:cs="Arial"/>
                <w:b/>
                <w:color w:val="000000"/>
              </w:rPr>
            </w:pPr>
            <w:r w:rsidRPr="0085448F">
              <w:rPr>
                <w:rFonts w:ascii="Arial" w:hAnsi="Arial" w:cs="Arial"/>
                <w:color w:val="000000"/>
              </w:rPr>
              <w:t xml:space="preserve">are breastfeeding or plan to breastfeed. It is not known if LORBRENA passes into your breast milk. Do not breastfeed during treatment with LORBRENA and for </w:t>
            </w:r>
            <w:r w:rsidRPr="0085448F">
              <w:rPr>
                <w:rFonts w:ascii="Arial" w:hAnsi="Arial" w:cs="Arial"/>
              </w:rPr>
              <w:t xml:space="preserve">7 days </w:t>
            </w:r>
            <w:r w:rsidRPr="0085448F">
              <w:rPr>
                <w:rFonts w:ascii="Arial" w:hAnsi="Arial" w:cs="Arial"/>
                <w:color w:val="000000"/>
              </w:rPr>
              <w:t>after the final dose. Talk to your healthcare provider about the best way to feed your baby during this time.</w:t>
            </w:r>
            <w:r w:rsidRPr="0085448F">
              <w:rPr>
                <w:rFonts w:ascii="Arial" w:hAnsi="Arial" w:cs="Arial"/>
                <w:b/>
                <w:color w:val="000000"/>
              </w:rPr>
              <w:t xml:space="preserve"> </w:t>
            </w:r>
          </w:p>
          <w:p w:rsidR="00B82251" w:rsidRPr="00886DE0" w:rsidRDefault="00B61E56" w:rsidP="009C3647">
            <w:pPr>
              <w:widowControl w:val="0"/>
              <w:autoSpaceDE w:val="0"/>
              <w:autoSpaceDN w:val="0"/>
              <w:adjustRightInd w:val="0"/>
              <w:spacing w:before="60" w:after="60"/>
              <w:rPr>
                <w:rFonts w:ascii="Arial" w:hAnsi="Arial" w:cs="Arial"/>
                <w:color w:val="000000"/>
              </w:rPr>
            </w:pPr>
            <w:r w:rsidRPr="0085448F">
              <w:rPr>
                <w:rFonts w:ascii="Arial" w:hAnsi="Arial" w:cs="Arial"/>
                <w:b/>
                <w:color w:val="000000"/>
              </w:rPr>
              <w:t xml:space="preserve">Tell your healthcare provider about </w:t>
            </w:r>
            <w:r w:rsidR="009C3647">
              <w:rPr>
                <w:rFonts w:ascii="Arial" w:hAnsi="Arial" w:cs="Arial"/>
                <w:b/>
                <w:color w:val="000000"/>
              </w:rPr>
              <w:t xml:space="preserve">all </w:t>
            </w:r>
            <w:r w:rsidRPr="0085448F">
              <w:rPr>
                <w:rFonts w:ascii="Arial" w:hAnsi="Arial" w:cs="Arial"/>
                <w:b/>
                <w:color w:val="000000"/>
              </w:rPr>
              <w:t>the</w:t>
            </w:r>
            <w:r>
              <w:rPr>
                <w:rFonts w:ascii="Arial" w:hAnsi="Arial" w:cs="Arial"/>
                <w:b/>
                <w:color w:val="000000"/>
              </w:rPr>
              <w:t xml:space="preserve"> </w:t>
            </w:r>
            <w:r w:rsidRPr="0085448F">
              <w:rPr>
                <w:rFonts w:ascii="Arial" w:hAnsi="Arial" w:cs="Arial"/>
                <w:b/>
                <w:color w:val="000000"/>
              </w:rPr>
              <w:t xml:space="preserve">medicines you take, including </w:t>
            </w:r>
            <w:r w:rsidRPr="0085448F">
              <w:rPr>
                <w:rFonts w:ascii="Arial" w:hAnsi="Arial" w:cs="Arial"/>
                <w:color w:val="000000"/>
              </w:rPr>
              <w:t>prescription medicines, over</w:t>
            </w:r>
            <w:r w:rsidRPr="0085448F">
              <w:rPr>
                <w:rFonts w:ascii="Arial" w:hAnsi="Arial" w:cs="Arial"/>
                <w:color w:val="000000"/>
              </w:rPr>
              <w:noBreakHyphen/>
              <w:t>the</w:t>
            </w:r>
            <w:r w:rsidRPr="0085448F">
              <w:rPr>
                <w:rFonts w:ascii="Arial" w:hAnsi="Arial" w:cs="Arial"/>
                <w:color w:val="000000"/>
              </w:rPr>
              <w:noBreakHyphen/>
              <w:t>counter medicines, vitamins, and herbal supplements.</w:t>
            </w:r>
            <w:r>
              <w:rPr>
                <w:rFonts w:ascii="Arial" w:hAnsi="Arial" w:cs="Arial"/>
                <w:color w:val="000000"/>
              </w:rPr>
              <w:t xml:space="preserve"> </w:t>
            </w:r>
          </w:p>
        </w:tc>
      </w:tr>
      <w:tr w:rsidR="00371D28" w:rsidRPr="00886DE0" w:rsidTr="001C7EE5">
        <w:tc>
          <w:tcPr>
            <w:tcW w:w="10746" w:type="dxa"/>
            <w:shd w:val="clear" w:color="auto" w:fill="auto"/>
          </w:tcPr>
          <w:p w:rsidR="00371D28" w:rsidRPr="0085448F" w:rsidRDefault="00371D28" w:rsidP="002356B5">
            <w:pPr>
              <w:widowControl w:val="0"/>
              <w:autoSpaceDE w:val="0"/>
              <w:autoSpaceDN w:val="0"/>
              <w:adjustRightInd w:val="0"/>
              <w:spacing w:before="60" w:after="60"/>
              <w:rPr>
                <w:rFonts w:ascii="Arial" w:hAnsi="Arial" w:cs="Arial"/>
                <w:b/>
                <w:color w:val="000000"/>
              </w:rPr>
            </w:pPr>
            <w:r w:rsidRPr="005C06DD">
              <w:rPr>
                <w:rFonts w:ascii="Arial" w:hAnsi="Arial" w:cs="Arial"/>
                <w:b/>
                <w:color w:val="000000"/>
              </w:rPr>
              <w:lastRenderedPageBreak/>
              <w:t>How</w:t>
            </w:r>
            <w:r w:rsidRPr="0085448F">
              <w:rPr>
                <w:rFonts w:ascii="Arial" w:hAnsi="Arial" w:cs="Arial"/>
                <w:b/>
                <w:color w:val="000000"/>
              </w:rPr>
              <w:t xml:space="preserve"> should I take LORBRENA? </w:t>
            </w:r>
          </w:p>
          <w:p w:rsidR="00371D28" w:rsidRPr="005C47A9"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 xml:space="preserve">Take LORBRENA exactly as your healthcare provider tells you to take it. Do not change your dose or stop taking LORBRENA unless your healthcare provider tells you to. </w:t>
            </w:r>
          </w:p>
          <w:p w:rsidR="00371D28" w:rsidRPr="008D5890"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Your healthcare provider may change your dose, temporarily st</w:t>
            </w:r>
            <w:r w:rsidRPr="00D5276D">
              <w:rPr>
                <w:rFonts w:ascii="Arial" w:hAnsi="Arial" w:cs="Arial"/>
                <w:color w:val="000000"/>
              </w:rPr>
              <w:t xml:space="preserve">op, or permanently stop treatment with LORBRENA if you develop side effects. </w:t>
            </w:r>
          </w:p>
          <w:p w:rsidR="00371D28" w:rsidRPr="005C47A9"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E0070F">
              <w:rPr>
                <w:rFonts w:ascii="Arial" w:hAnsi="Arial" w:cs="Arial"/>
                <w:color w:val="000000"/>
              </w:rPr>
              <w:t>Swallow LORBRENA tablets whole.</w:t>
            </w:r>
            <w:r w:rsidRPr="00B833F2">
              <w:rPr>
                <w:rFonts w:ascii="Arial" w:hAnsi="Arial" w:cs="Arial"/>
                <w:color w:val="000000"/>
              </w:rPr>
              <w:t xml:space="preserve"> Do not chew, crush</w:t>
            </w:r>
            <w:r w:rsidR="0067702D">
              <w:rPr>
                <w:rFonts w:ascii="Arial" w:hAnsi="Arial" w:cs="Arial"/>
                <w:color w:val="000000"/>
              </w:rPr>
              <w:t>,</w:t>
            </w:r>
            <w:r w:rsidRPr="00B833F2">
              <w:rPr>
                <w:rFonts w:ascii="Arial" w:hAnsi="Arial" w:cs="Arial"/>
                <w:color w:val="000000"/>
              </w:rPr>
              <w:t xml:space="preserve"> or split LORBRENA tablets. Do not take LORBRENA tablets if they are broken, cracked</w:t>
            </w:r>
            <w:r w:rsidR="0067702D">
              <w:rPr>
                <w:rFonts w:ascii="Arial" w:hAnsi="Arial" w:cs="Arial"/>
                <w:color w:val="000000"/>
              </w:rPr>
              <w:t>,</w:t>
            </w:r>
            <w:r w:rsidRPr="00B833F2">
              <w:rPr>
                <w:rFonts w:ascii="Arial" w:hAnsi="Arial" w:cs="Arial"/>
                <w:color w:val="000000"/>
              </w:rPr>
              <w:t xml:space="preserve"> or not intact. </w:t>
            </w:r>
          </w:p>
          <w:p w:rsidR="00371D28" w:rsidRPr="005C47A9"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 xml:space="preserve">Take LORBRENA at </w:t>
            </w:r>
            <w:r w:rsidR="00A37BE6">
              <w:rPr>
                <w:rFonts w:ascii="Arial" w:hAnsi="Arial" w:cs="Arial"/>
                <w:color w:val="000000"/>
              </w:rPr>
              <w:t xml:space="preserve">approximately </w:t>
            </w:r>
            <w:r w:rsidRPr="005C47A9">
              <w:rPr>
                <w:rFonts w:ascii="Arial" w:hAnsi="Arial" w:cs="Arial"/>
                <w:color w:val="000000"/>
              </w:rPr>
              <w:t xml:space="preserve">the same time each day.  </w:t>
            </w:r>
          </w:p>
          <w:p w:rsidR="00371D28" w:rsidRPr="005C47A9"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 xml:space="preserve">You may take LORBRENA with or without food. </w:t>
            </w:r>
          </w:p>
          <w:p w:rsidR="00371D28" w:rsidRPr="005C47A9" w:rsidRDefault="00371D28" w:rsidP="005C47A9">
            <w:pPr>
              <w:widowControl w:val="0"/>
              <w:numPr>
                <w:ilvl w:val="0"/>
                <w:numId w:val="13"/>
              </w:numPr>
              <w:tabs>
                <w:tab w:val="left" w:pos="270"/>
              </w:tabs>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 xml:space="preserve">If you miss a dose, take it as soon as you remember. </w:t>
            </w:r>
            <w:r w:rsidR="00A37BE6">
              <w:rPr>
                <w:rFonts w:ascii="Arial" w:hAnsi="Arial" w:cs="Arial"/>
                <w:color w:val="000000"/>
              </w:rPr>
              <w:t>However, i</w:t>
            </w:r>
            <w:r w:rsidRPr="005C47A9">
              <w:rPr>
                <w:rFonts w:ascii="Arial" w:hAnsi="Arial" w:cs="Arial"/>
                <w:color w:val="000000"/>
              </w:rPr>
              <w:t xml:space="preserve">f it is close to </w:t>
            </w:r>
            <w:r w:rsidR="00A37BE6">
              <w:rPr>
                <w:rFonts w:ascii="Arial" w:hAnsi="Arial" w:cs="Arial"/>
                <w:color w:val="000000"/>
              </w:rPr>
              <w:t xml:space="preserve">the time of </w:t>
            </w:r>
            <w:r w:rsidRPr="005C47A9">
              <w:rPr>
                <w:rFonts w:ascii="Arial" w:hAnsi="Arial" w:cs="Arial"/>
                <w:color w:val="000000"/>
              </w:rPr>
              <w:t>your next dose (within 4</w:t>
            </w:r>
            <w:r w:rsidR="00103B33">
              <w:rPr>
                <w:rFonts w:ascii="Arial" w:hAnsi="Arial" w:cs="Arial"/>
                <w:color w:val="000000"/>
              </w:rPr>
              <w:t> </w:t>
            </w:r>
            <w:r w:rsidRPr="005C47A9">
              <w:rPr>
                <w:rFonts w:ascii="Arial" w:hAnsi="Arial" w:cs="Arial"/>
                <w:color w:val="000000"/>
              </w:rPr>
              <w:t>hours), just take your next dose at your regular time.</w:t>
            </w:r>
          </w:p>
          <w:p w:rsidR="00371D28" w:rsidRPr="0085448F" w:rsidRDefault="00371D28" w:rsidP="009820D8">
            <w:pPr>
              <w:widowControl w:val="0"/>
              <w:autoSpaceDE w:val="0"/>
              <w:autoSpaceDN w:val="0"/>
              <w:adjustRightInd w:val="0"/>
              <w:spacing w:before="60" w:after="60"/>
              <w:ind w:left="270" w:hanging="270"/>
              <w:rPr>
                <w:rFonts w:ascii="Arial" w:hAnsi="Arial" w:cs="Arial"/>
                <w:color w:val="000000"/>
              </w:rPr>
            </w:pPr>
            <w:r w:rsidRPr="005C47A9">
              <w:rPr>
                <w:rFonts w:ascii="Arial" w:hAnsi="Arial" w:cs="Arial"/>
                <w:color w:val="000000"/>
              </w:rPr>
              <w:t>●</w:t>
            </w:r>
            <w:r w:rsidR="005C47A9">
              <w:rPr>
                <w:rFonts w:ascii="Arial" w:hAnsi="Arial" w:cs="Arial"/>
                <w:color w:val="000000"/>
              </w:rPr>
              <w:tab/>
            </w:r>
            <w:r w:rsidRPr="005C47A9">
              <w:rPr>
                <w:rFonts w:ascii="Arial" w:hAnsi="Arial" w:cs="Arial"/>
                <w:color w:val="000000"/>
              </w:rPr>
              <w:t>If you vomit after taking a dose of LORBRENA, do not take an extra dose. Take your next dose at your regular time.</w:t>
            </w:r>
            <w:r w:rsidRPr="0085448F">
              <w:rPr>
                <w:rFonts w:ascii="Arial" w:hAnsi="Arial" w:cs="Arial"/>
                <w:color w:val="000000"/>
              </w:rPr>
              <w:t xml:space="preserve"> </w:t>
            </w:r>
          </w:p>
        </w:tc>
      </w:tr>
      <w:tr w:rsidR="00B82251" w:rsidRPr="00886DE0" w:rsidTr="001C7EE5">
        <w:tc>
          <w:tcPr>
            <w:tcW w:w="10746" w:type="dxa"/>
            <w:shd w:val="clear" w:color="auto" w:fill="auto"/>
          </w:tcPr>
          <w:p w:rsidR="00371D28" w:rsidRPr="005C06DD" w:rsidRDefault="00371D28" w:rsidP="00371D28">
            <w:pPr>
              <w:pStyle w:val="BodyText3"/>
              <w:widowControl w:val="0"/>
              <w:spacing w:before="60" w:after="60"/>
              <w:jc w:val="left"/>
              <w:rPr>
                <w:rFonts w:ascii="Arial" w:hAnsi="Arial" w:cs="Arial"/>
                <w:i w:val="0"/>
                <w:color w:val="000000"/>
                <w:sz w:val="20"/>
              </w:rPr>
            </w:pPr>
            <w:r w:rsidRPr="005C06DD">
              <w:rPr>
                <w:rFonts w:ascii="Arial" w:hAnsi="Arial" w:cs="Arial"/>
                <w:i w:val="0"/>
                <w:color w:val="000000"/>
                <w:sz w:val="20"/>
              </w:rPr>
              <w:t>What are the possible side effects of LORBRENA?</w:t>
            </w:r>
          </w:p>
          <w:p w:rsidR="00371D28" w:rsidRPr="005C06DD" w:rsidRDefault="00371D28" w:rsidP="00371D28">
            <w:pPr>
              <w:pStyle w:val="ListParagraph"/>
              <w:widowControl w:val="0"/>
              <w:numPr>
                <w:ilvl w:val="0"/>
                <w:numId w:val="15"/>
              </w:numPr>
              <w:spacing w:before="60" w:after="60"/>
              <w:ind w:left="360"/>
              <w:rPr>
                <w:rFonts w:ascii="Arial" w:hAnsi="Arial" w:cs="Arial"/>
                <w:b/>
                <w:color w:val="000000"/>
                <w:sz w:val="20"/>
                <w:szCs w:val="20"/>
              </w:rPr>
            </w:pPr>
            <w:r w:rsidRPr="005C06DD">
              <w:rPr>
                <w:rFonts w:ascii="Arial" w:hAnsi="Arial" w:cs="Arial"/>
                <w:b/>
                <w:color w:val="000000"/>
                <w:sz w:val="20"/>
                <w:szCs w:val="20"/>
              </w:rPr>
              <w:t>See “What is the most important information I should know about LORBRENA?”</w:t>
            </w:r>
          </w:p>
          <w:p w:rsidR="00371D28" w:rsidRPr="005C06DD" w:rsidRDefault="00371D28" w:rsidP="00371D28">
            <w:pPr>
              <w:widowControl w:val="0"/>
              <w:autoSpaceDE w:val="0"/>
              <w:autoSpaceDN w:val="0"/>
              <w:adjustRightInd w:val="0"/>
              <w:spacing w:before="60" w:after="60"/>
              <w:rPr>
                <w:rFonts w:ascii="Arial" w:hAnsi="Arial" w:cs="Arial"/>
                <w:b/>
                <w:color w:val="000000"/>
              </w:rPr>
            </w:pPr>
            <w:r w:rsidRPr="005C06DD">
              <w:rPr>
                <w:rFonts w:ascii="Arial" w:hAnsi="Arial" w:cs="Arial"/>
                <w:b/>
                <w:color w:val="000000"/>
              </w:rPr>
              <w:t>The most common side effects of LORBRENA include:</w:t>
            </w:r>
          </w:p>
          <w:p w:rsidR="00371D28" w:rsidRPr="0085448F"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sidRPr="0085448F">
              <w:rPr>
                <w:rFonts w:ascii="Arial" w:hAnsi="Arial" w:cs="Arial"/>
                <w:color w:val="000000"/>
                <w:sz w:val="20"/>
                <w:szCs w:val="20"/>
              </w:rPr>
              <w:t xml:space="preserve">swelling </w:t>
            </w:r>
            <w:r>
              <w:rPr>
                <w:rFonts w:ascii="Arial" w:hAnsi="Arial" w:cs="Arial"/>
                <w:color w:val="000000"/>
                <w:sz w:val="20"/>
                <w:szCs w:val="20"/>
              </w:rPr>
              <w:t>in your</w:t>
            </w:r>
            <w:r w:rsidRPr="0085448F">
              <w:rPr>
                <w:rFonts w:ascii="Arial" w:hAnsi="Arial" w:cs="Arial"/>
                <w:color w:val="000000"/>
                <w:sz w:val="20"/>
                <w:szCs w:val="20"/>
              </w:rPr>
              <w:t xml:space="preserve"> </w:t>
            </w:r>
            <w:r>
              <w:rPr>
                <w:rFonts w:ascii="Arial" w:hAnsi="Arial" w:cs="Arial"/>
                <w:color w:val="000000"/>
                <w:sz w:val="20"/>
                <w:szCs w:val="20"/>
              </w:rPr>
              <w:t xml:space="preserve">arms, legs, </w:t>
            </w:r>
            <w:r w:rsidRPr="0085448F">
              <w:rPr>
                <w:rFonts w:ascii="Arial" w:hAnsi="Arial" w:cs="Arial"/>
                <w:color w:val="000000"/>
                <w:sz w:val="20"/>
                <w:szCs w:val="20"/>
              </w:rPr>
              <w:t>hands and feet (edema)</w:t>
            </w:r>
          </w:p>
          <w:p w:rsidR="00371D28"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sidRPr="0085448F">
              <w:rPr>
                <w:rFonts w:ascii="Arial" w:hAnsi="Arial" w:cs="Arial"/>
                <w:color w:val="000000"/>
                <w:sz w:val="20"/>
                <w:szCs w:val="20"/>
              </w:rPr>
              <w:t xml:space="preserve">numbness </w:t>
            </w:r>
            <w:r>
              <w:rPr>
                <w:rFonts w:ascii="Arial" w:hAnsi="Arial" w:cs="Arial"/>
                <w:color w:val="000000"/>
                <w:sz w:val="20"/>
                <w:szCs w:val="20"/>
              </w:rPr>
              <w:t>and</w:t>
            </w:r>
            <w:r w:rsidRPr="0085448F">
              <w:rPr>
                <w:rFonts w:ascii="Arial" w:hAnsi="Arial" w:cs="Arial"/>
                <w:color w:val="000000"/>
                <w:sz w:val="20"/>
                <w:szCs w:val="20"/>
              </w:rPr>
              <w:t xml:space="preserve"> </w:t>
            </w:r>
            <w:r>
              <w:rPr>
                <w:rFonts w:ascii="Arial" w:hAnsi="Arial" w:cs="Arial"/>
                <w:color w:val="000000"/>
                <w:sz w:val="20"/>
                <w:szCs w:val="20"/>
              </w:rPr>
              <w:t>tingling feeling</w:t>
            </w:r>
            <w:r w:rsidRPr="0085448F">
              <w:rPr>
                <w:rFonts w:ascii="Arial" w:hAnsi="Arial" w:cs="Arial"/>
                <w:color w:val="000000"/>
                <w:sz w:val="20"/>
                <w:szCs w:val="20"/>
              </w:rPr>
              <w:t xml:space="preserve"> in </w:t>
            </w:r>
            <w:r>
              <w:rPr>
                <w:rFonts w:ascii="Arial" w:hAnsi="Arial" w:cs="Arial"/>
                <w:color w:val="000000"/>
                <w:sz w:val="20"/>
                <w:szCs w:val="20"/>
              </w:rPr>
              <w:t>your</w:t>
            </w:r>
            <w:r w:rsidRPr="0085448F">
              <w:rPr>
                <w:rFonts w:ascii="Arial" w:hAnsi="Arial" w:cs="Arial"/>
                <w:color w:val="000000"/>
                <w:sz w:val="20"/>
                <w:szCs w:val="20"/>
              </w:rPr>
              <w:t xml:space="preserve"> joints or </w:t>
            </w:r>
            <w:r>
              <w:rPr>
                <w:rFonts w:ascii="Arial" w:hAnsi="Arial" w:cs="Arial"/>
                <w:color w:val="000000"/>
                <w:sz w:val="20"/>
                <w:szCs w:val="20"/>
              </w:rPr>
              <w:t>arms and legs</w:t>
            </w:r>
            <w:r w:rsidRPr="0085448F">
              <w:rPr>
                <w:rFonts w:ascii="Arial" w:hAnsi="Arial" w:cs="Arial"/>
                <w:color w:val="000000"/>
                <w:sz w:val="20"/>
                <w:szCs w:val="20"/>
              </w:rPr>
              <w:t xml:space="preserve"> (peripheral neuropathy)</w:t>
            </w:r>
          </w:p>
          <w:p w:rsidR="00371D28"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 xml:space="preserve">difficulty thinking or confusion </w:t>
            </w:r>
          </w:p>
          <w:p w:rsidR="00371D28" w:rsidRPr="0085448F"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difficulty breathing</w:t>
            </w:r>
          </w:p>
          <w:p w:rsidR="00371D28" w:rsidRPr="0085448F"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tiredness</w:t>
            </w:r>
            <w:r w:rsidRPr="0085448F">
              <w:rPr>
                <w:rFonts w:ascii="Arial" w:hAnsi="Arial" w:cs="Arial"/>
                <w:color w:val="000000"/>
                <w:sz w:val="20"/>
                <w:szCs w:val="20"/>
              </w:rPr>
              <w:t xml:space="preserve"> (fatigue)</w:t>
            </w:r>
          </w:p>
          <w:p w:rsidR="00371D28"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weight gain</w:t>
            </w:r>
          </w:p>
          <w:p w:rsidR="00371D28"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 xml:space="preserve">pain in your joints </w:t>
            </w:r>
          </w:p>
          <w:p w:rsidR="00371D28"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changes in mood, feeling sad or anxious</w:t>
            </w:r>
          </w:p>
          <w:p w:rsidR="00371D28" w:rsidRPr="0085448F" w:rsidRDefault="00371D28" w:rsidP="00371D28">
            <w:pPr>
              <w:pStyle w:val="ListParagraph"/>
              <w:widowControl w:val="0"/>
              <w:numPr>
                <w:ilvl w:val="0"/>
                <w:numId w:val="59"/>
              </w:numPr>
              <w:autoSpaceDE w:val="0"/>
              <w:autoSpaceDN w:val="0"/>
              <w:adjustRightInd w:val="0"/>
              <w:spacing w:before="60" w:after="60"/>
              <w:ind w:left="340" w:hanging="340"/>
              <w:rPr>
                <w:rFonts w:ascii="Arial" w:hAnsi="Arial" w:cs="Arial"/>
                <w:color w:val="000000"/>
                <w:sz w:val="20"/>
                <w:szCs w:val="20"/>
              </w:rPr>
            </w:pPr>
            <w:r>
              <w:rPr>
                <w:rFonts w:ascii="Arial" w:hAnsi="Arial" w:cs="Arial"/>
                <w:color w:val="000000"/>
                <w:sz w:val="20"/>
                <w:szCs w:val="20"/>
              </w:rPr>
              <w:t>diarrhea</w:t>
            </w:r>
          </w:p>
          <w:p w:rsidR="00371D28" w:rsidRPr="0085448F" w:rsidRDefault="00371D28" w:rsidP="00371D28">
            <w:pPr>
              <w:widowControl w:val="0"/>
              <w:autoSpaceDE w:val="0"/>
              <w:autoSpaceDN w:val="0"/>
              <w:adjustRightInd w:val="0"/>
              <w:spacing w:before="60" w:after="60"/>
              <w:rPr>
                <w:rFonts w:ascii="Arial" w:hAnsi="Arial" w:cs="Arial"/>
                <w:color w:val="000000"/>
              </w:rPr>
            </w:pPr>
            <w:r w:rsidRPr="0085448F">
              <w:rPr>
                <w:rFonts w:ascii="Arial" w:hAnsi="Arial" w:cs="Arial"/>
                <w:color w:val="000000"/>
              </w:rPr>
              <w:t>LORBRENA may cause decreased fertility in males. In males, this could affect your ability to father a child. Talk to your healthcare provider if you have concerns about fertility.</w:t>
            </w:r>
          </w:p>
          <w:p w:rsidR="00371D28" w:rsidRPr="0085448F" w:rsidRDefault="00371D28" w:rsidP="00371D28">
            <w:pPr>
              <w:widowControl w:val="0"/>
              <w:tabs>
                <w:tab w:val="left" w:pos="270"/>
              </w:tabs>
              <w:spacing w:before="60" w:after="60"/>
              <w:rPr>
                <w:rFonts w:ascii="Arial" w:hAnsi="Arial" w:cs="Arial"/>
                <w:i/>
                <w:u w:val="single"/>
              </w:rPr>
            </w:pPr>
            <w:r w:rsidRPr="0085448F">
              <w:rPr>
                <w:rFonts w:ascii="Arial" w:hAnsi="Arial" w:cs="Arial"/>
              </w:rPr>
              <w:t>These are not all of the possible side effects of LORBRENA. For more information, ask your healthcare provider or pharmacist.</w:t>
            </w:r>
          </w:p>
          <w:p w:rsidR="00B82251" w:rsidRPr="00886DE0" w:rsidRDefault="00371D28" w:rsidP="00371D28">
            <w:pPr>
              <w:widowControl w:val="0"/>
              <w:autoSpaceDE w:val="0"/>
              <w:autoSpaceDN w:val="0"/>
              <w:adjustRightInd w:val="0"/>
              <w:rPr>
                <w:rFonts w:ascii="Arial" w:hAnsi="Arial" w:cs="Arial"/>
                <w:b/>
                <w:color w:val="000000"/>
              </w:rPr>
            </w:pPr>
            <w:r w:rsidRPr="0085448F">
              <w:rPr>
                <w:rFonts w:ascii="Arial" w:hAnsi="Arial" w:cs="Arial"/>
              </w:rPr>
              <w:t>Call your healthcare provider for medical advice about side effects. You may report side effects to FDA at 1</w:t>
            </w:r>
            <w:r w:rsidRPr="0085448F">
              <w:rPr>
                <w:rFonts w:ascii="Arial" w:hAnsi="Arial" w:cs="Arial"/>
              </w:rPr>
              <w:noBreakHyphen/>
              <w:t>800</w:t>
            </w:r>
            <w:r w:rsidRPr="0085448F">
              <w:rPr>
                <w:rFonts w:ascii="Arial" w:hAnsi="Arial" w:cs="Arial"/>
              </w:rPr>
              <w:noBreakHyphen/>
              <w:t>FDA</w:t>
            </w:r>
            <w:r w:rsidRPr="0085448F">
              <w:rPr>
                <w:rFonts w:ascii="Arial" w:hAnsi="Arial" w:cs="Arial"/>
              </w:rPr>
              <w:noBreakHyphen/>
              <w:t>1088.</w:t>
            </w:r>
          </w:p>
        </w:tc>
      </w:tr>
      <w:tr w:rsidR="00B82251" w:rsidRPr="00886DE0" w:rsidTr="001C7EE5">
        <w:tc>
          <w:tcPr>
            <w:tcW w:w="10746" w:type="dxa"/>
            <w:shd w:val="clear" w:color="auto" w:fill="auto"/>
          </w:tcPr>
          <w:p w:rsidR="00371D28" w:rsidRPr="005C06DD" w:rsidRDefault="00371D28" w:rsidP="00371D28">
            <w:pPr>
              <w:widowControl w:val="0"/>
              <w:autoSpaceDE w:val="0"/>
              <w:autoSpaceDN w:val="0"/>
              <w:adjustRightInd w:val="0"/>
              <w:spacing w:before="60" w:after="60"/>
              <w:rPr>
                <w:rFonts w:ascii="Arial" w:hAnsi="Arial" w:cs="Arial"/>
                <w:color w:val="000000"/>
              </w:rPr>
            </w:pPr>
            <w:r w:rsidRPr="005C06DD">
              <w:rPr>
                <w:rFonts w:ascii="Arial" w:hAnsi="Arial" w:cs="Arial"/>
                <w:b/>
                <w:color w:val="000000"/>
              </w:rPr>
              <w:t>How should I store LORBRENA?</w:t>
            </w:r>
            <w:r w:rsidRPr="005C06DD">
              <w:rPr>
                <w:rFonts w:ascii="Arial" w:hAnsi="Arial" w:cs="Arial"/>
                <w:color w:val="000000"/>
              </w:rPr>
              <w:t xml:space="preserve"> </w:t>
            </w:r>
          </w:p>
          <w:p w:rsidR="00371D28" w:rsidRPr="005C06DD" w:rsidRDefault="00371D28" w:rsidP="00371D28">
            <w:pPr>
              <w:pStyle w:val="ListParagraph"/>
              <w:widowControl w:val="0"/>
              <w:numPr>
                <w:ilvl w:val="0"/>
                <w:numId w:val="14"/>
              </w:numPr>
              <w:autoSpaceDE w:val="0"/>
              <w:autoSpaceDN w:val="0"/>
              <w:adjustRightInd w:val="0"/>
              <w:spacing w:before="60" w:after="60"/>
              <w:ind w:left="360"/>
              <w:rPr>
                <w:rFonts w:ascii="Arial" w:hAnsi="Arial" w:cs="Arial"/>
                <w:b/>
                <w:color w:val="000000"/>
                <w:sz w:val="20"/>
                <w:szCs w:val="20"/>
              </w:rPr>
            </w:pPr>
            <w:r w:rsidRPr="005C06DD">
              <w:rPr>
                <w:rFonts w:ascii="Arial" w:hAnsi="Arial" w:cs="Arial"/>
                <w:color w:val="000000"/>
                <w:sz w:val="20"/>
                <w:szCs w:val="20"/>
              </w:rPr>
              <w:t>Store LORBRENA at room temperature between 68°F to 77°F (20°C to 25°C).</w:t>
            </w:r>
          </w:p>
          <w:p w:rsidR="00B82251" w:rsidRPr="00886DE0" w:rsidRDefault="00371D28" w:rsidP="00371D28">
            <w:pPr>
              <w:widowControl w:val="0"/>
              <w:rPr>
                <w:rFonts w:ascii="Arial" w:hAnsi="Arial" w:cs="Arial"/>
                <w:b/>
                <w:color w:val="000000"/>
              </w:rPr>
            </w:pPr>
            <w:r w:rsidRPr="005C06DD">
              <w:rPr>
                <w:rFonts w:ascii="Arial" w:hAnsi="Arial" w:cs="Arial"/>
                <w:b/>
                <w:color w:val="000000"/>
              </w:rPr>
              <w:t>Keep LORBRENA and all medicines out of the reach of children.</w:t>
            </w:r>
          </w:p>
        </w:tc>
      </w:tr>
      <w:tr w:rsidR="00B82251" w:rsidRPr="00886DE0" w:rsidTr="001C7EE5">
        <w:tc>
          <w:tcPr>
            <w:tcW w:w="10746" w:type="dxa"/>
            <w:shd w:val="clear" w:color="auto" w:fill="auto"/>
          </w:tcPr>
          <w:p w:rsidR="00B82251" w:rsidRPr="00886DE0" w:rsidRDefault="00B82251" w:rsidP="00F835D7">
            <w:pPr>
              <w:widowControl w:val="0"/>
              <w:rPr>
                <w:rFonts w:ascii="Arial" w:hAnsi="Arial" w:cs="Arial"/>
                <w:b/>
                <w:color w:val="000000"/>
              </w:rPr>
            </w:pPr>
            <w:r w:rsidRPr="00886DE0">
              <w:rPr>
                <w:rFonts w:ascii="Arial" w:hAnsi="Arial" w:cs="Arial"/>
                <w:b/>
                <w:color w:val="000000"/>
              </w:rPr>
              <w:t xml:space="preserve">General information about </w:t>
            </w:r>
            <w:r w:rsidR="00324D93">
              <w:rPr>
                <w:rFonts w:ascii="Arial" w:hAnsi="Arial" w:cs="Arial"/>
                <w:b/>
                <w:color w:val="000000"/>
              </w:rPr>
              <w:t xml:space="preserve">the safe and effective use of </w:t>
            </w:r>
            <w:r>
              <w:rPr>
                <w:rFonts w:ascii="Arial" w:hAnsi="Arial" w:cs="Arial"/>
                <w:b/>
                <w:color w:val="000000"/>
              </w:rPr>
              <w:t>LORBRENA</w:t>
            </w:r>
          </w:p>
          <w:p w:rsidR="00B82251" w:rsidRPr="00886DE0" w:rsidRDefault="00B82251" w:rsidP="00F835D7">
            <w:pPr>
              <w:widowControl w:val="0"/>
              <w:autoSpaceDE w:val="0"/>
              <w:autoSpaceDN w:val="0"/>
              <w:adjustRightInd w:val="0"/>
            </w:pPr>
            <w:r w:rsidRPr="00886DE0">
              <w:rPr>
                <w:rFonts w:ascii="Arial" w:hAnsi="Arial" w:cs="Arial"/>
                <w:color w:val="000000"/>
              </w:rPr>
              <w:t xml:space="preserve">Medicines are sometimes prescribed for purposes other than those listed in a Patient Information leaflet. Do not use </w:t>
            </w:r>
            <w:r>
              <w:rPr>
                <w:rFonts w:ascii="Arial" w:hAnsi="Arial" w:cs="Arial"/>
                <w:color w:val="000000"/>
              </w:rPr>
              <w:t>LORBRENA</w:t>
            </w:r>
            <w:r w:rsidRPr="00886DE0">
              <w:rPr>
                <w:rFonts w:ascii="Arial" w:hAnsi="Arial" w:cs="Arial"/>
                <w:color w:val="000000"/>
              </w:rPr>
              <w:t xml:space="preserve"> for a condition for which it was not prescribed. Do not give </w:t>
            </w:r>
            <w:r>
              <w:rPr>
                <w:rFonts w:ascii="Arial" w:hAnsi="Arial" w:cs="Arial"/>
                <w:color w:val="000000"/>
              </w:rPr>
              <w:t>LORBRENA</w:t>
            </w:r>
            <w:r w:rsidRPr="00886DE0">
              <w:rPr>
                <w:rFonts w:ascii="Arial" w:hAnsi="Arial" w:cs="Arial"/>
                <w:color w:val="000000"/>
              </w:rPr>
              <w:t xml:space="preserve"> to other people, even if they have the same symptoms </w:t>
            </w:r>
            <w:r>
              <w:rPr>
                <w:rFonts w:ascii="Arial" w:hAnsi="Arial" w:cs="Arial"/>
                <w:color w:val="000000"/>
              </w:rPr>
              <w:t xml:space="preserve">that </w:t>
            </w:r>
            <w:r w:rsidRPr="00886DE0">
              <w:rPr>
                <w:rFonts w:ascii="Arial" w:hAnsi="Arial" w:cs="Arial"/>
                <w:color w:val="000000"/>
              </w:rPr>
              <w:t xml:space="preserve">you have. It may harm them. You can ask your </w:t>
            </w:r>
            <w:r>
              <w:rPr>
                <w:rFonts w:ascii="Arial" w:hAnsi="Arial" w:cs="Arial"/>
                <w:color w:val="000000"/>
              </w:rPr>
              <w:t>healthcare provider</w:t>
            </w:r>
            <w:r w:rsidRPr="00886DE0">
              <w:rPr>
                <w:rFonts w:ascii="Arial" w:hAnsi="Arial" w:cs="Arial"/>
                <w:color w:val="000000"/>
              </w:rPr>
              <w:t xml:space="preserve"> or pharmacist for more information about </w:t>
            </w:r>
            <w:r>
              <w:rPr>
                <w:rFonts w:ascii="Arial" w:hAnsi="Arial" w:cs="Arial"/>
                <w:color w:val="000000"/>
              </w:rPr>
              <w:t>LORBRENA</w:t>
            </w:r>
            <w:r w:rsidRPr="00886DE0">
              <w:rPr>
                <w:rFonts w:ascii="Arial" w:hAnsi="Arial" w:cs="Arial"/>
                <w:color w:val="000000"/>
              </w:rPr>
              <w:t xml:space="preserve"> that is written for health professionals.</w:t>
            </w:r>
          </w:p>
        </w:tc>
      </w:tr>
      <w:tr w:rsidR="001F72DA" w:rsidRPr="00886DE0" w:rsidTr="001C7EE5">
        <w:tc>
          <w:tcPr>
            <w:tcW w:w="10746" w:type="dxa"/>
            <w:shd w:val="clear" w:color="auto" w:fill="auto"/>
          </w:tcPr>
          <w:p w:rsidR="001F72DA" w:rsidRPr="0085448F" w:rsidRDefault="001F72DA" w:rsidP="002356B5">
            <w:pPr>
              <w:keepNext/>
              <w:widowControl w:val="0"/>
              <w:spacing w:before="60" w:after="60"/>
              <w:rPr>
                <w:rFonts w:ascii="Arial" w:hAnsi="Arial" w:cs="Arial"/>
                <w:color w:val="000000"/>
              </w:rPr>
            </w:pPr>
            <w:r w:rsidRPr="0085448F">
              <w:rPr>
                <w:rFonts w:ascii="Arial" w:hAnsi="Arial" w:cs="Arial"/>
                <w:b/>
                <w:color w:val="000000"/>
              </w:rPr>
              <w:lastRenderedPageBreak/>
              <w:t>What are the ingredients in LORBRENA?</w:t>
            </w:r>
          </w:p>
          <w:p w:rsidR="001F72DA" w:rsidRPr="0085448F" w:rsidRDefault="001F72DA" w:rsidP="002356B5">
            <w:pPr>
              <w:keepNext/>
              <w:widowControl w:val="0"/>
              <w:autoSpaceDE w:val="0"/>
              <w:autoSpaceDN w:val="0"/>
              <w:adjustRightInd w:val="0"/>
              <w:spacing w:before="60" w:after="60"/>
              <w:rPr>
                <w:rFonts w:ascii="Arial" w:hAnsi="Arial" w:cs="Arial"/>
                <w:color w:val="000000"/>
              </w:rPr>
            </w:pPr>
            <w:r w:rsidRPr="0085448F">
              <w:rPr>
                <w:rFonts w:ascii="Arial" w:hAnsi="Arial" w:cs="Arial"/>
                <w:b/>
                <w:color w:val="000000"/>
              </w:rPr>
              <w:t xml:space="preserve">Active ingredient: </w:t>
            </w:r>
            <w:r w:rsidRPr="0085448F">
              <w:rPr>
                <w:rFonts w:ascii="Arial" w:hAnsi="Arial" w:cs="Arial"/>
                <w:color w:val="000000"/>
              </w:rPr>
              <w:t>lorlatinib</w:t>
            </w:r>
          </w:p>
          <w:p w:rsidR="001F72DA" w:rsidRPr="0085448F" w:rsidRDefault="001F72DA" w:rsidP="002356B5">
            <w:pPr>
              <w:keepNext/>
              <w:widowControl w:val="0"/>
              <w:spacing w:before="60" w:after="60"/>
              <w:rPr>
                <w:rFonts w:ascii="Arial" w:hAnsi="Arial" w:cs="Arial"/>
                <w:color w:val="000000"/>
              </w:rPr>
            </w:pPr>
            <w:r w:rsidRPr="0085448F">
              <w:rPr>
                <w:rFonts w:ascii="Arial" w:hAnsi="Arial" w:cs="Arial"/>
                <w:b/>
                <w:color w:val="000000"/>
              </w:rPr>
              <w:t>Inactive ingredients:</w:t>
            </w:r>
            <w:r w:rsidRPr="0085448F">
              <w:rPr>
                <w:rFonts w:ascii="Arial" w:hAnsi="Arial" w:cs="Arial"/>
                <w:color w:val="000000"/>
              </w:rPr>
              <w:t xml:space="preserve"> microcrystalline cellulose, dibasic calcium phosphate anhydrous, sodium starch glycolate, and magnesium stearate.</w:t>
            </w:r>
          </w:p>
          <w:p w:rsidR="001F72DA" w:rsidRPr="006E4268" w:rsidRDefault="001F72DA" w:rsidP="000574DD">
            <w:pPr>
              <w:rPr>
                <w:rFonts w:ascii="Arial" w:hAnsi="Arial" w:cs="Arial"/>
                <w:color w:val="000000"/>
              </w:rPr>
            </w:pPr>
            <w:r w:rsidRPr="0085448F">
              <w:rPr>
                <w:rFonts w:ascii="Arial" w:hAnsi="Arial" w:cs="Arial"/>
                <w:color w:val="000000"/>
              </w:rPr>
              <w:t>Film</w:t>
            </w:r>
            <w:r w:rsidR="0061014B">
              <w:rPr>
                <w:rFonts w:ascii="Arial" w:hAnsi="Arial" w:cs="Arial"/>
                <w:color w:val="000000"/>
              </w:rPr>
              <w:noBreakHyphen/>
            </w:r>
            <w:r w:rsidRPr="0085448F">
              <w:rPr>
                <w:rFonts w:ascii="Arial" w:hAnsi="Arial" w:cs="Arial"/>
                <w:color w:val="000000"/>
              </w:rPr>
              <w:t xml:space="preserve">coating contains: </w:t>
            </w:r>
            <w:r w:rsidR="000574DD" w:rsidRPr="000574DD">
              <w:rPr>
                <w:rFonts w:ascii="Arial" w:hAnsi="Arial" w:cs="Arial"/>
                <w:color w:val="000000"/>
              </w:rPr>
              <w:t xml:space="preserve">hydroxypropyl methylcellulose </w:t>
            </w:r>
            <w:r w:rsidR="000574DD">
              <w:rPr>
                <w:rFonts w:ascii="Arial" w:hAnsi="Arial" w:cs="Arial"/>
                <w:color w:val="000000"/>
              </w:rPr>
              <w:t>(</w:t>
            </w:r>
            <w:r w:rsidRPr="0085448F">
              <w:rPr>
                <w:rFonts w:ascii="Arial" w:hAnsi="Arial" w:cs="Arial"/>
                <w:color w:val="000000"/>
              </w:rPr>
              <w:t>HPMC</w:t>
            </w:r>
            <w:r w:rsidR="000574DD">
              <w:rPr>
                <w:rFonts w:ascii="Arial" w:hAnsi="Arial" w:cs="Arial"/>
                <w:color w:val="000000"/>
              </w:rPr>
              <w:t>)</w:t>
            </w:r>
            <w:r w:rsidRPr="0085448F">
              <w:rPr>
                <w:rFonts w:ascii="Arial" w:hAnsi="Arial" w:cs="Arial"/>
                <w:color w:val="000000"/>
              </w:rPr>
              <w:t xml:space="preserve"> 2910/hypromellose, lactose monohydrate, macrogol/</w:t>
            </w:r>
            <w:r w:rsidR="000574DD">
              <w:t xml:space="preserve"> </w:t>
            </w:r>
            <w:r w:rsidR="000574DD" w:rsidRPr="000574DD">
              <w:rPr>
                <w:rFonts w:ascii="Arial" w:hAnsi="Arial" w:cs="Arial"/>
                <w:color w:val="000000"/>
              </w:rPr>
              <w:t>polyethylene glycol</w:t>
            </w:r>
            <w:r w:rsidR="000574DD">
              <w:rPr>
                <w:rFonts w:ascii="Arial" w:hAnsi="Arial" w:cs="Arial"/>
                <w:color w:val="000000"/>
              </w:rPr>
              <w:t xml:space="preserve"> (</w:t>
            </w:r>
            <w:r w:rsidRPr="0085448F">
              <w:rPr>
                <w:rFonts w:ascii="Arial" w:hAnsi="Arial" w:cs="Arial"/>
                <w:color w:val="000000"/>
              </w:rPr>
              <w:t>PEG</w:t>
            </w:r>
            <w:r w:rsidR="000574DD">
              <w:rPr>
                <w:rFonts w:ascii="Arial" w:hAnsi="Arial" w:cs="Arial"/>
                <w:color w:val="000000"/>
              </w:rPr>
              <w:t>)</w:t>
            </w:r>
            <w:r w:rsidRPr="0085448F">
              <w:rPr>
                <w:rFonts w:ascii="Arial" w:hAnsi="Arial" w:cs="Arial"/>
                <w:color w:val="000000"/>
              </w:rPr>
              <w:t xml:space="preserve"> 3350, triacetin, titanium dioxide, ferrosoferric oxide/black iron oxide, and iron oxide red.</w:t>
            </w:r>
          </w:p>
        </w:tc>
      </w:tr>
      <w:tr w:rsidR="001F72DA" w:rsidRPr="00886DE0" w:rsidTr="001C7EE5">
        <w:tc>
          <w:tcPr>
            <w:tcW w:w="10746" w:type="dxa"/>
            <w:shd w:val="clear" w:color="auto" w:fill="auto"/>
          </w:tcPr>
          <w:p w:rsidR="005C47A9" w:rsidRPr="004E428A" w:rsidRDefault="005C47A9" w:rsidP="002356B5">
            <w:pPr>
              <w:widowControl w:val="0"/>
              <w:spacing w:before="60" w:after="60"/>
              <w:rPr>
                <w:rFonts w:ascii="Arial" w:hAnsi="Arial" w:cs="Arial"/>
                <w:b/>
                <w:color w:val="000000"/>
              </w:rPr>
            </w:pPr>
            <w:r w:rsidRPr="00B039D6">
              <w:rPr>
                <w:rFonts w:ascii="Arial" w:hAnsi="Arial" w:cs="Arial"/>
                <w:color w:val="000000"/>
              </w:rPr>
              <w:t xml:space="preserve">For more information, go to </w:t>
            </w:r>
            <w:hyperlink r:id="rId20" w:history="1">
              <w:r w:rsidR="004E428A" w:rsidRPr="004E428A">
                <w:rPr>
                  <w:rStyle w:val="Hyperlink"/>
                  <w:rFonts w:ascii="Arial" w:hAnsi="Arial" w:cs="Arial"/>
                  <w:lang w:val="en"/>
                </w:rPr>
                <w:t>www.LORBRE</w:t>
              </w:r>
              <w:r w:rsidR="004E428A" w:rsidRPr="004E428A">
                <w:rPr>
                  <w:rStyle w:val="Hyperlink"/>
                  <w:rFonts w:ascii="Arial" w:hAnsi="Arial" w:cs="Arial"/>
                  <w:lang w:val="en"/>
                </w:rPr>
                <w:t>N</w:t>
              </w:r>
              <w:r w:rsidR="004E428A" w:rsidRPr="004E428A">
                <w:rPr>
                  <w:rStyle w:val="Hyperlink"/>
                  <w:rFonts w:ascii="Arial" w:hAnsi="Arial" w:cs="Arial"/>
                  <w:lang w:val="en"/>
                </w:rPr>
                <w:t>A.com</w:t>
              </w:r>
            </w:hyperlink>
            <w:r w:rsidRPr="004E428A">
              <w:rPr>
                <w:rFonts w:ascii="Arial" w:hAnsi="Arial" w:cs="Arial"/>
                <w:color w:val="0000FF"/>
              </w:rPr>
              <w:t>.</w:t>
            </w:r>
          </w:p>
          <w:p w:rsidR="001F72DA" w:rsidRDefault="00E57F14" w:rsidP="002356B5">
            <w:pPr>
              <w:widowControl w:val="0"/>
              <w:spacing w:before="60" w:after="60"/>
              <w:rPr>
                <w:rFonts w:ascii="Arial" w:hAnsi="Arial" w:cs="Arial"/>
                <w:noProof/>
              </w:rPr>
            </w:pPr>
            <w:r w:rsidRPr="000B5711">
              <w:rPr>
                <w:rFonts w:ascii="Arial" w:hAnsi="Arial" w:cs="Arial"/>
                <w:noProof/>
              </w:rPr>
              <w:drawing>
                <wp:inline distT="0" distB="0" distL="0" distR="0">
                  <wp:extent cx="1403350" cy="5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3350" cy="508000"/>
                          </a:xfrm>
                          <a:prstGeom prst="rect">
                            <a:avLst/>
                          </a:prstGeom>
                          <a:noFill/>
                          <a:ln>
                            <a:noFill/>
                          </a:ln>
                        </pic:spPr>
                      </pic:pic>
                    </a:graphicData>
                  </a:graphic>
                </wp:inline>
              </w:drawing>
            </w:r>
          </w:p>
          <w:p w:rsidR="001F72DA" w:rsidRPr="0085448F" w:rsidRDefault="001F72DA" w:rsidP="00C05777">
            <w:pPr>
              <w:widowControl w:val="0"/>
              <w:spacing w:before="60" w:after="60"/>
              <w:rPr>
                <w:rFonts w:ascii="Arial" w:hAnsi="Arial" w:cs="Arial"/>
                <w:lang w:val="en-GB" w:eastAsia="en-GB"/>
              </w:rPr>
            </w:pPr>
            <w:r w:rsidRPr="00547019">
              <w:rPr>
                <w:rFonts w:ascii="Arial" w:hAnsi="Arial" w:cs="Arial"/>
                <w:lang w:val="en-GB" w:eastAsia="en-GB"/>
              </w:rPr>
              <w:t>LAB-1163-</w:t>
            </w:r>
            <w:r w:rsidR="00C05777">
              <w:rPr>
                <w:rFonts w:ascii="Arial" w:hAnsi="Arial" w:cs="Arial"/>
                <w:lang w:val="en-GB" w:eastAsia="en-GB"/>
              </w:rPr>
              <w:t>1.0</w:t>
            </w:r>
          </w:p>
        </w:tc>
      </w:tr>
    </w:tbl>
    <w:p w:rsidR="00FA3EF0" w:rsidRPr="007318FB" w:rsidRDefault="001F72DA" w:rsidP="00FA3EF0">
      <w:pPr>
        <w:tabs>
          <w:tab w:val="right" w:pos="10620"/>
        </w:tabs>
        <w:rPr>
          <w:rFonts w:ascii="Arial" w:hAnsi="Arial" w:cs="Arial"/>
          <w:sz w:val="16"/>
          <w:szCs w:val="14"/>
        </w:rPr>
      </w:pPr>
      <w:r w:rsidRPr="0085448F">
        <w:rPr>
          <w:rFonts w:ascii="Arial" w:hAnsi="Arial" w:cs="Arial"/>
          <w:sz w:val="14"/>
          <w:szCs w:val="14"/>
        </w:rPr>
        <w:t>This Patient Information has been approved by the U.S. Food and Drug Administration</w:t>
      </w:r>
      <w:r>
        <w:rPr>
          <w:rFonts w:ascii="Arial" w:hAnsi="Arial" w:cs="Arial"/>
          <w:sz w:val="14"/>
          <w:szCs w:val="14"/>
        </w:rPr>
        <w:t>.</w:t>
      </w:r>
      <w:r w:rsidRPr="0085448F">
        <w:rPr>
          <w:rFonts w:ascii="Arial" w:hAnsi="Arial" w:cs="Arial"/>
          <w:sz w:val="14"/>
          <w:szCs w:val="14"/>
        </w:rPr>
        <w:t xml:space="preserve"> </w:t>
      </w:r>
      <w:r w:rsidR="005C47A9">
        <w:rPr>
          <w:rFonts w:ascii="Arial" w:hAnsi="Arial" w:cs="Arial"/>
          <w:sz w:val="14"/>
          <w:szCs w:val="14"/>
        </w:rPr>
        <w:tab/>
      </w:r>
      <w:r w:rsidR="006826C4">
        <w:rPr>
          <w:rFonts w:ascii="Arial" w:hAnsi="Arial" w:cs="Arial"/>
          <w:sz w:val="14"/>
          <w:szCs w:val="14"/>
        </w:rPr>
        <w:t xml:space="preserve">November </w:t>
      </w:r>
      <w:r w:rsidR="00FA3EF0">
        <w:rPr>
          <w:rFonts w:ascii="Arial" w:hAnsi="Arial" w:cs="Arial"/>
          <w:sz w:val="14"/>
          <w:szCs w:val="14"/>
        </w:rPr>
        <w:t>2018</w:t>
      </w:r>
    </w:p>
    <w:p w:rsidR="00FA3EF0" w:rsidRPr="00BA102E" w:rsidRDefault="00FA3EF0" w:rsidP="00FA3EF0">
      <w:pPr>
        <w:tabs>
          <w:tab w:val="left" w:pos="288"/>
        </w:tabs>
        <w:rPr>
          <w:sz w:val="24"/>
          <w:szCs w:val="24"/>
          <w:u w:val="single"/>
          <w:lang w:val="en"/>
        </w:rPr>
      </w:pPr>
    </w:p>
    <w:p w:rsidR="00191FEC" w:rsidRPr="007318FB" w:rsidRDefault="00191FEC" w:rsidP="00191FEC">
      <w:pPr>
        <w:tabs>
          <w:tab w:val="right" w:pos="10620"/>
        </w:tabs>
        <w:rPr>
          <w:rFonts w:ascii="Arial" w:hAnsi="Arial" w:cs="Arial"/>
          <w:sz w:val="16"/>
          <w:szCs w:val="14"/>
        </w:rPr>
      </w:pPr>
    </w:p>
    <w:p w:rsidR="007609B5" w:rsidRPr="00BA102E" w:rsidRDefault="007609B5" w:rsidP="00246318">
      <w:pPr>
        <w:tabs>
          <w:tab w:val="left" w:pos="288"/>
        </w:tabs>
        <w:rPr>
          <w:sz w:val="24"/>
          <w:szCs w:val="24"/>
          <w:u w:val="single"/>
          <w:lang w:val="en"/>
        </w:rPr>
      </w:pPr>
    </w:p>
    <w:sectPr w:rsidR="007609B5" w:rsidRPr="00BA102E" w:rsidSect="00F2172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7C1" w:rsidRDefault="00B937C1">
      <w:r>
        <w:separator/>
      </w:r>
    </w:p>
  </w:endnote>
  <w:endnote w:type="continuationSeparator" w:id="0">
    <w:p w:rsidR="00B937C1" w:rsidRDefault="00B937C1">
      <w:r>
        <w:continuationSeparator/>
      </w:r>
    </w:p>
  </w:endnote>
  <w:endnote w:type="continuationNotice" w:id="1">
    <w:p w:rsidR="00B937C1" w:rsidRDefault="00B93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 Helvetica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7C1" w:rsidRDefault="00B937C1">
      <w:r>
        <w:separator/>
      </w:r>
    </w:p>
  </w:footnote>
  <w:footnote w:type="continuationSeparator" w:id="0">
    <w:p w:rsidR="00B937C1" w:rsidRDefault="00B937C1">
      <w:r>
        <w:continuationSeparator/>
      </w:r>
    </w:p>
  </w:footnote>
  <w:footnote w:type="continuationNotice" w:id="1">
    <w:p w:rsidR="00B937C1" w:rsidRDefault="00B937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6FB"/>
    <w:multiLevelType w:val="hybridMultilevel"/>
    <w:tmpl w:val="A836B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35083"/>
    <w:multiLevelType w:val="hybridMultilevel"/>
    <w:tmpl w:val="126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25FE4"/>
    <w:multiLevelType w:val="hybridMultilevel"/>
    <w:tmpl w:val="172E8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C3DAD"/>
    <w:multiLevelType w:val="hybridMultilevel"/>
    <w:tmpl w:val="A8D8D3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E36E2"/>
    <w:multiLevelType w:val="hybridMultilevel"/>
    <w:tmpl w:val="7BB6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7353"/>
    <w:multiLevelType w:val="hybridMultilevel"/>
    <w:tmpl w:val="A0046620"/>
    <w:lvl w:ilvl="0" w:tplc="79ECD8D8">
      <w:start w:val="1"/>
      <w:numFmt w:val="bullet"/>
      <w:lvlText w:val="o"/>
      <w:lvlJc w:val="left"/>
      <w:pPr>
        <w:ind w:left="720" w:hanging="360"/>
      </w:pPr>
      <w:rPr>
        <w:rFonts w:ascii="Courier New" w:hAnsi="Courier New" w:cs="Courier New"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8074C"/>
    <w:multiLevelType w:val="hybridMultilevel"/>
    <w:tmpl w:val="0CC2CE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915A80"/>
    <w:multiLevelType w:val="hybridMultilevel"/>
    <w:tmpl w:val="5C2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6687A"/>
    <w:multiLevelType w:val="hybridMultilevel"/>
    <w:tmpl w:val="BD444D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18A51503"/>
    <w:multiLevelType w:val="hybridMultilevel"/>
    <w:tmpl w:val="EB28E90C"/>
    <w:lvl w:ilvl="0" w:tplc="6AFA808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9517798"/>
    <w:multiLevelType w:val="hybridMultilevel"/>
    <w:tmpl w:val="1402E426"/>
    <w:lvl w:ilvl="0" w:tplc="2EA00C56">
      <w:start w:val="1"/>
      <w:numFmt w:val="bullet"/>
      <w:lvlText w:val="o"/>
      <w:lvlJc w:val="left"/>
      <w:pPr>
        <w:ind w:left="720" w:hanging="360"/>
      </w:pPr>
      <w:rPr>
        <w:rFonts w:ascii="Courier New" w:hAnsi="Courier New" w:cs="Courier New" w:hint="default"/>
        <w:sz w:val="20"/>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2313F"/>
    <w:multiLevelType w:val="hybridMultilevel"/>
    <w:tmpl w:val="D790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944B8"/>
    <w:multiLevelType w:val="hybridMultilevel"/>
    <w:tmpl w:val="18CC9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C0631"/>
    <w:multiLevelType w:val="multilevel"/>
    <w:tmpl w:val="396420E4"/>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4" w15:restartNumberingAfterBreak="0">
    <w:nsid w:val="23216E8A"/>
    <w:multiLevelType w:val="hybridMultilevel"/>
    <w:tmpl w:val="B0C26E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678FA"/>
    <w:multiLevelType w:val="hybridMultilevel"/>
    <w:tmpl w:val="3C2AA8D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8518DD"/>
    <w:multiLevelType w:val="hybridMultilevel"/>
    <w:tmpl w:val="E2F21DE4"/>
    <w:lvl w:ilvl="0" w:tplc="0638D0F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12DFD"/>
    <w:multiLevelType w:val="hybridMultilevel"/>
    <w:tmpl w:val="0AA0FE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D72DB7"/>
    <w:multiLevelType w:val="hybridMultilevel"/>
    <w:tmpl w:val="4288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A218BC"/>
    <w:multiLevelType w:val="hybridMultilevel"/>
    <w:tmpl w:val="11DA1F7C"/>
    <w:lvl w:ilvl="0" w:tplc="09AC4FC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1511D"/>
    <w:multiLevelType w:val="hybridMultilevel"/>
    <w:tmpl w:val="215E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F144AD"/>
    <w:multiLevelType w:val="hybridMultilevel"/>
    <w:tmpl w:val="BD3AF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0C5E51A"/>
    <w:multiLevelType w:val="hybridMultilevel"/>
    <w:tmpl w:val="A30C51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1E14547"/>
    <w:multiLevelType w:val="hybridMultilevel"/>
    <w:tmpl w:val="EE08504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205D0"/>
    <w:multiLevelType w:val="hybridMultilevel"/>
    <w:tmpl w:val="DA70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27C55"/>
    <w:multiLevelType w:val="hybridMultilevel"/>
    <w:tmpl w:val="B69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5C1EAD"/>
    <w:multiLevelType w:val="hybridMultilevel"/>
    <w:tmpl w:val="576E9580"/>
    <w:lvl w:ilvl="0" w:tplc="B70029C6">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68B3F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6CA1B93"/>
    <w:multiLevelType w:val="hybridMultilevel"/>
    <w:tmpl w:val="1F846386"/>
    <w:lvl w:ilvl="0" w:tplc="09AC4FCA">
      <w:start w:val="1"/>
      <w:numFmt w:val="bullet"/>
      <w:lvlText w:val="─"/>
      <w:lvlJc w:val="left"/>
      <w:pPr>
        <w:ind w:left="720" w:hanging="360"/>
      </w:pPr>
      <w:rPr>
        <w:rFonts w:ascii="Arial" w:hAnsi="Arial" w:hint="default"/>
      </w:rPr>
    </w:lvl>
    <w:lvl w:ilvl="1" w:tplc="09AC4FCA">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6B6BEF"/>
    <w:multiLevelType w:val="hybridMultilevel"/>
    <w:tmpl w:val="19B0C160"/>
    <w:lvl w:ilvl="0" w:tplc="87983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100095"/>
    <w:multiLevelType w:val="hybridMultilevel"/>
    <w:tmpl w:val="0B40E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AA74B5"/>
    <w:multiLevelType w:val="hybridMultilevel"/>
    <w:tmpl w:val="EBDE5298"/>
    <w:lvl w:ilvl="0" w:tplc="0A744FE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1FA5E4E"/>
    <w:multiLevelType w:val="hybridMultilevel"/>
    <w:tmpl w:val="4B6E3D94"/>
    <w:lvl w:ilvl="0" w:tplc="D758D6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27251D"/>
    <w:multiLevelType w:val="hybridMultilevel"/>
    <w:tmpl w:val="F626B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293DD9"/>
    <w:multiLevelType w:val="hybridMultilevel"/>
    <w:tmpl w:val="62DAD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2A6831"/>
    <w:multiLevelType w:val="hybridMultilevel"/>
    <w:tmpl w:val="FAF4E7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6" w15:restartNumberingAfterBreak="0">
    <w:nsid w:val="45D0722B"/>
    <w:multiLevelType w:val="hybridMultilevel"/>
    <w:tmpl w:val="74D6AFA0"/>
    <w:lvl w:ilvl="0" w:tplc="1E76FF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EE03CE"/>
    <w:multiLevelType w:val="hybridMultilevel"/>
    <w:tmpl w:val="2DE06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596"/>
    <w:multiLevelType w:val="hybridMultilevel"/>
    <w:tmpl w:val="0274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D72325"/>
    <w:multiLevelType w:val="hybridMultilevel"/>
    <w:tmpl w:val="734E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057F60"/>
    <w:multiLevelType w:val="hybridMultilevel"/>
    <w:tmpl w:val="BA164FE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1" w15:restartNumberingAfterBreak="0">
    <w:nsid w:val="4CF81AB0"/>
    <w:multiLevelType w:val="hybridMultilevel"/>
    <w:tmpl w:val="29F059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4E501740"/>
    <w:multiLevelType w:val="hybridMultilevel"/>
    <w:tmpl w:val="567AE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10A351C"/>
    <w:multiLevelType w:val="hybridMultilevel"/>
    <w:tmpl w:val="46E0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347286"/>
    <w:multiLevelType w:val="hybridMultilevel"/>
    <w:tmpl w:val="C490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111B20"/>
    <w:multiLevelType w:val="hybridMultilevel"/>
    <w:tmpl w:val="AF7CB8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6" w15:restartNumberingAfterBreak="0">
    <w:nsid w:val="54173457"/>
    <w:multiLevelType w:val="hybridMultilevel"/>
    <w:tmpl w:val="33B40436"/>
    <w:lvl w:ilvl="0" w:tplc="04090001">
      <w:start w:val="1"/>
      <w:numFmt w:val="bullet"/>
      <w:lvlText w:val=""/>
      <w:lvlJc w:val="left"/>
      <w:pPr>
        <w:ind w:left="1268" w:hanging="360"/>
      </w:pPr>
      <w:rPr>
        <w:rFonts w:ascii="Symbol" w:hAnsi="Symbol" w:hint="default"/>
      </w:rPr>
    </w:lvl>
    <w:lvl w:ilvl="1" w:tplc="04090003">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47" w15:restartNumberingAfterBreak="0">
    <w:nsid w:val="541F7744"/>
    <w:multiLevelType w:val="hybridMultilevel"/>
    <w:tmpl w:val="644A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20722"/>
    <w:multiLevelType w:val="hybridMultilevel"/>
    <w:tmpl w:val="4288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67AA3"/>
    <w:multiLevelType w:val="hybridMultilevel"/>
    <w:tmpl w:val="2E6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647A53"/>
    <w:multiLevelType w:val="multilevel"/>
    <w:tmpl w:val="8F8A0B9E"/>
    <w:lvl w:ilvl="0">
      <w:start w:val="1"/>
      <w:numFmt w:val="decimal"/>
      <w:pStyle w:val="Heading3"/>
      <w:lvlText w:val="%1"/>
      <w:lvlJc w:val="left"/>
      <w:pPr>
        <w:tabs>
          <w:tab w:val="num" w:pos="360"/>
        </w:tabs>
        <w:ind w:left="360" w:hanging="360"/>
      </w:pPr>
      <w:rPr>
        <w:rFonts w:hint="default"/>
      </w:rPr>
    </w:lvl>
    <w:lvl w:ilvl="1">
      <w:start w:val="2"/>
      <w:numFmt w:val="decimal"/>
      <w:isLgl/>
      <w:lvlText w:val="%1.%2"/>
      <w:lvlJc w:val="left"/>
      <w:pPr>
        <w:tabs>
          <w:tab w:val="num" w:pos="648"/>
        </w:tabs>
        <w:ind w:left="648" w:hanging="360"/>
      </w:pPr>
      <w:rPr>
        <w:rFonts w:hint="default"/>
      </w:rPr>
    </w:lvl>
    <w:lvl w:ilvl="2">
      <w:start w:val="1"/>
      <w:numFmt w:val="decimal"/>
      <w:isLgl/>
      <w:lvlText w:val="%1.%2.%3"/>
      <w:lvlJc w:val="left"/>
      <w:pPr>
        <w:tabs>
          <w:tab w:val="num" w:pos="1296"/>
        </w:tabs>
        <w:ind w:left="1296" w:hanging="720"/>
      </w:pPr>
      <w:rPr>
        <w:rFonts w:hint="default"/>
      </w:rPr>
    </w:lvl>
    <w:lvl w:ilvl="3">
      <w:start w:val="1"/>
      <w:numFmt w:val="decimal"/>
      <w:isLgl/>
      <w:lvlText w:val="%1.%2.%3.%4"/>
      <w:lvlJc w:val="left"/>
      <w:pPr>
        <w:tabs>
          <w:tab w:val="num" w:pos="1584"/>
        </w:tabs>
        <w:ind w:left="1584" w:hanging="720"/>
      </w:pPr>
      <w:rPr>
        <w:rFonts w:hint="default"/>
      </w:rPr>
    </w:lvl>
    <w:lvl w:ilvl="4">
      <w:start w:val="1"/>
      <w:numFmt w:val="decimal"/>
      <w:isLgl/>
      <w:lvlText w:val="%1.%2.%3.%4.%5"/>
      <w:lvlJc w:val="left"/>
      <w:pPr>
        <w:tabs>
          <w:tab w:val="num" w:pos="2232"/>
        </w:tabs>
        <w:ind w:left="2232" w:hanging="108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3168"/>
        </w:tabs>
        <w:ind w:left="3168" w:hanging="1440"/>
      </w:pPr>
      <w:rPr>
        <w:rFonts w:hint="default"/>
      </w:rPr>
    </w:lvl>
    <w:lvl w:ilvl="7">
      <w:start w:val="1"/>
      <w:numFmt w:val="decimal"/>
      <w:isLgl/>
      <w:lvlText w:val="%1.%2.%3.%4.%5.%6.%7.%8"/>
      <w:lvlJc w:val="left"/>
      <w:pPr>
        <w:tabs>
          <w:tab w:val="num" w:pos="3456"/>
        </w:tabs>
        <w:ind w:left="3456" w:hanging="1440"/>
      </w:pPr>
      <w:rPr>
        <w:rFonts w:hint="default"/>
      </w:rPr>
    </w:lvl>
    <w:lvl w:ilvl="8">
      <w:start w:val="1"/>
      <w:numFmt w:val="decimal"/>
      <w:isLgl/>
      <w:lvlText w:val="%1.%2.%3.%4.%5.%6.%7.%8.%9"/>
      <w:lvlJc w:val="left"/>
      <w:pPr>
        <w:tabs>
          <w:tab w:val="num" w:pos="4104"/>
        </w:tabs>
        <w:ind w:left="4104" w:hanging="1800"/>
      </w:pPr>
      <w:rPr>
        <w:rFonts w:hint="default"/>
      </w:rPr>
    </w:lvl>
  </w:abstractNum>
  <w:abstractNum w:abstractNumId="51" w15:restartNumberingAfterBreak="0">
    <w:nsid w:val="61C50305"/>
    <w:multiLevelType w:val="hybridMultilevel"/>
    <w:tmpl w:val="28C4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0230FD"/>
    <w:multiLevelType w:val="hybridMultilevel"/>
    <w:tmpl w:val="44840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991FF8"/>
    <w:multiLevelType w:val="hybridMultilevel"/>
    <w:tmpl w:val="43B02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4682B40"/>
    <w:multiLevelType w:val="hybridMultilevel"/>
    <w:tmpl w:val="2226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D2460C"/>
    <w:multiLevelType w:val="hybridMultilevel"/>
    <w:tmpl w:val="072C8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C695773"/>
    <w:multiLevelType w:val="hybridMultilevel"/>
    <w:tmpl w:val="FEACD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D8433BF"/>
    <w:multiLevelType w:val="hybridMultilevel"/>
    <w:tmpl w:val="1B40D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A333EF"/>
    <w:multiLevelType w:val="hybridMultilevel"/>
    <w:tmpl w:val="172416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1F47D7C"/>
    <w:multiLevelType w:val="hybridMultilevel"/>
    <w:tmpl w:val="F3F0C6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0" w15:restartNumberingAfterBreak="0">
    <w:nsid w:val="72B97534"/>
    <w:multiLevelType w:val="hybridMultilevel"/>
    <w:tmpl w:val="2AECFF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2D11B95"/>
    <w:multiLevelType w:val="hybridMultilevel"/>
    <w:tmpl w:val="9192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387AEF"/>
    <w:multiLevelType w:val="hybridMultilevel"/>
    <w:tmpl w:val="0E0E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204B1E"/>
    <w:multiLevelType w:val="hybridMultilevel"/>
    <w:tmpl w:val="2FF0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973805"/>
    <w:multiLevelType w:val="hybridMultilevel"/>
    <w:tmpl w:val="8FBA65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D4E5DC6"/>
    <w:multiLevelType w:val="hybridMultilevel"/>
    <w:tmpl w:val="36280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DFC7AB1"/>
    <w:multiLevelType w:val="hybridMultilevel"/>
    <w:tmpl w:val="A99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553CDF"/>
    <w:multiLevelType w:val="hybridMultilevel"/>
    <w:tmpl w:val="FC42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0"/>
  </w:num>
  <w:num w:numId="3">
    <w:abstractNumId w:val="27"/>
  </w:num>
  <w:num w:numId="4">
    <w:abstractNumId w:val="34"/>
  </w:num>
  <w:num w:numId="5">
    <w:abstractNumId w:val="64"/>
  </w:num>
  <w:num w:numId="6">
    <w:abstractNumId w:val="58"/>
  </w:num>
  <w:num w:numId="7">
    <w:abstractNumId w:val="37"/>
  </w:num>
  <w:num w:numId="8">
    <w:abstractNumId w:val="0"/>
  </w:num>
  <w:num w:numId="9">
    <w:abstractNumId w:val="2"/>
  </w:num>
  <w:num w:numId="10">
    <w:abstractNumId w:val="65"/>
  </w:num>
  <w:num w:numId="11">
    <w:abstractNumId w:val="40"/>
  </w:num>
  <w:num w:numId="12">
    <w:abstractNumId w:val="39"/>
  </w:num>
  <w:num w:numId="13">
    <w:abstractNumId w:val="20"/>
  </w:num>
  <w:num w:numId="14">
    <w:abstractNumId w:val="11"/>
  </w:num>
  <w:num w:numId="15">
    <w:abstractNumId w:val="46"/>
  </w:num>
  <w:num w:numId="16">
    <w:abstractNumId w:val="12"/>
  </w:num>
  <w:num w:numId="17">
    <w:abstractNumId w:val="61"/>
  </w:num>
  <w:num w:numId="18">
    <w:abstractNumId w:val="3"/>
  </w:num>
  <w:num w:numId="19">
    <w:abstractNumId w:val="63"/>
  </w:num>
  <w:num w:numId="20">
    <w:abstractNumId w:val="42"/>
  </w:num>
  <w:num w:numId="21">
    <w:abstractNumId w:val="53"/>
  </w:num>
  <w:num w:numId="22">
    <w:abstractNumId w:val="47"/>
  </w:num>
  <w:num w:numId="23">
    <w:abstractNumId w:val="54"/>
  </w:num>
  <w:num w:numId="24">
    <w:abstractNumId w:val="7"/>
  </w:num>
  <w:num w:numId="25">
    <w:abstractNumId w:val="8"/>
  </w:num>
  <w:num w:numId="26">
    <w:abstractNumId w:val="43"/>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62"/>
  </w:num>
  <w:num w:numId="30">
    <w:abstractNumId w:val="36"/>
  </w:num>
  <w:num w:numId="31">
    <w:abstractNumId w:val="25"/>
  </w:num>
  <w:num w:numId="32">
    <w:abstractNumId w:val="41"/>
  </w:num>
  <w:num w:numId="33">
    <w:abstractNumId w:val="67"/>
  </w:num>
  <w:num w:numId="34">
    <w:abstractNumId w:val="29"/>
  </w:num>
  <w:num w:numId="35">
    <w:abstractNumId w:val="4"/>
  </w:num>
  <w:num w:numId="36">
    <w:abstractNumId w:val="52"/>
  </w:num>
  <w:num w:numId="37">
    <w:abstractNumId w:val="48"/>
  </w:num>
  <w:num w:numId="38">
    <w:abstractNumId w:val="45"/>
  </w:num>
  <w:num w:numId="39">
    <w:abstractNumId w:val="18"/>
  </w:num>
  <w:num w:numId="40">
    <w:abstractNumId w:val="57"/>
  </w:num>
  <w:num w:numId="41">
    <w:abstractNumId w:val="22"/>
  </w:num>
  <w:num w:numId="42">
    <w:abstractNumId w:val="15"/>
  </w:num>
  <w:num w:numId="43">
    <w:abstractNumId w:val="60"/>
  </w:num>
  <w:num w:numId="44">
    <w:abstractNumId w:val="23"/>
  </w:num>
  <w:num w:numId="45">
    <w:abstractNumId w:val="17"/>
  </w:num>
  <w:num w:numId="46">
    <w:abstractNumId w:val="56"/>
  </w:num>
  <w:num w:numId="47">
    <w:abstractNumId w:val="44"/>
  </w:num>
  <w:num w:numId="48">
    <w:abstractNumId w:val="14"/>
  </w:num>
  <w:num w:numId="49">
    <w:abstractNumId w:val="24"/>
  </w:num>
  <w:num w:numId="50">
    <w:abstractNumId w:val="55"/>
  </w:num>
  <w:num w:numId="51">
    <w:abstractNumId w:val="30"/>
  </w:num>
  <w:num w:numId="52">
    <w:abstractNumId w:val="35"/>
  </w:num>
  <w:num w:numId="53">
    <w:abstractNumId w:val="10"/>
  </w:num>
  <w:num w:numId="54">
    <w:abstractNumId w:val="26"/>
  </w:num>
  <w:num w:numId="55">
    <w:abstractNumId w:val="31"/>
  </w:num>
  <w:num w:numId="56">
    <w:abstractNumId w:val="5"/>
  </w:num>
  <w:num w:numId="57">
    <w:abstractNumId w:val="16"/>
  </w:num>
  <w:num w:numId="58">
    <w:abstractNumId w:val="32"/>
  </w:num>
  <w:num w:numId="59">
    <w:abstractNumId w:val="33"/>
  </w:num>
  <w:num w:numId="60">
    <w:abstractNumId w:val="19"/>
  </w:num>
  <w:num w:numId="61">
    <w:abstractNumId w:val="28"/>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9"/>
  </w:num>
  <w:num w:numId="64">
    <w:abstractNumId w:val="6"/>
  </w:num>
  <w:num w:numId="65">
    <w:abstractNumId w:val="38"/>
  </w:num>
  <w:num w:numId="66">
    <w:abstractNumId w:val="66"/>
  </w:num>
  <w:num w:numId="67">
    <w:abstractNumId w:val="49"/>
  </w:num>
  <w:num w:numId="68">
    <w:abstractNumId w:val="21"/>
  </w:num>
  <w:num w:numId="69">
    <w:abstractNumId w:val="1"/>
  </w:num>
  <w:num w:numId="70">
    <w:abstractNumId w:val="5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74"/>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FA"/>
    <w:rsid w:val="0000153A"/>
    <w:rsid w:val="0000261E"/>
    <w:rsid w:val="000027AB"/>
    <w:rsid w:val="00002B06"/>
    <w:rsid w:val="0000378D"/>
    <w:rsid w:val="00003CCB"/>
    <w:rsid w:val="00004764"/>
    <w:rsid w:val="00005253"/>
    <w:rsid w:val="0000529E"/>
    <w:rsid w:val="00005869"/>
    <w:rsid w:val="000059E5"/>
    <w:rsid w:val="00005F8D"/>
    <w:rsid w:val="00006A13"/>
    <w:rsid w:val="000073B8"/>
    <w:rsid w:val="000076FC"/>
    <w:rsid w:val="00011999"/>
    <w:rsid w:val="00011D9E"/>
    <w:rsid w:val="00011FBE"/>
    <w:rsid w:val="00012D67"/>
    <w:rsid w:val="00014809"/>
    <w:rsid w:val="0001656D"/>
    <w:rsid w:val="0001663E"/>
    <w:rsid w:val="000169CD"/>
    <w:rsid w:val="00017415"/>
    <w:rsid w:val="00017832"/>
    <w:rsid w:val="00017D45"/>
    <w:rsid w:val="00020B97"/>
    <w:rsid w:val="00020DE4"/>
    <w:rsid w:val="0002117A"/>
    <w:rsid w:val="00021FE2"/>
    <w:rsid w:val="000225AA"/>
    <w:rsid w:val="00023A77"/>
    <w:rsid w:val="00023B38"/>
    <w:rsid w:val="00023CBF"/>
    <w:rsid w:val="00023D46"/>
    <w:rsid w:val="00023D97"/>
    <w:rsid w:val="00024458"/>
    <w:rsid w:val="00024587"/>
    <w:rsid w:val="00024B69"/>
    <w:rsid w:val="00025DC1"/>
    <w:rsid w:val="00026BD8"/>
    <w:rsid w:val="0002709E"/>
    <w:rsid w:val="000274D5"/>
    <w:rsid w:val="00027CA3"/>
    <w:rsid w:val="000308E6"/>
    <w:rsid w:val="0003121A"/>
    <w:rsid w:val="000312EF"/>
    <w:rsid w:val="00031CFC"/>
    <w:rsid w:val="00032318"/>
    <w:rsid w:val="00032F07"/>
    <w:rsid w:val="000349B7"/>
    <w:rsid w:val="00036A4B"/>
    <w:rsid w:val="000376DB"/>
    <w:rsid w:val="00040067"/>
    <w:rsid w:val="00040D9C"/>
    <w:rsid w:val="00041529"/>
    <w:rsid w:val="000418F7"/>
    <w:rsid w:val="00041AE9"/>
    <w:rsid w:val="00041C38"/>
    <w:rsid w:val="000427E2"/>
    <w:rsid w:val="00043926"/>
    <w:rsid w:val="00043ADD"/>
    <w:rsid w:val="00045DF8"/>
    <w:rsid w:val="0004655E"/>
    <w:rsid w:val="00046AEB"/>
    <w:rsid w:val="0004769A"/>
    <w:rsid w:val="00047EBB"/>
    <w:rsid w:val="00050D36"/>
    <w:rsid w:val="00052EFE"/>
    <w:rsid w:val="000533CE"/>
    <w:rsid w:val="0005484F"/>
    <w:rsid w:val="00054B1B"/>
    <w:rsid w:val="000574DD"/>
    <w:rsid w:val="000605DB"/>
    <w:rsid w:val="0006159E"/>
    <w:rsid w:val="00065287"/>
    <w:rsid w:val="00065743"/>
    <w:rsid w:val="00065802"/>
    <w:rsid w:val="00065B34"/>
    <w:rsid w:val="00065FA4"/>
    <w:rsid w:val="00066DFA"/>
    <w:rsid w:val="000675A1"/>
    <w:rsid w:val="00067A6D"/>
    <w:rsid w:val="00067D3A"/>
    <w:rsid w:val="000707D5"/>
    <w:rsid w:val="00071AB3"/>
    <w:rsid w:val="00071DAE"/>
    <w:rsid w:val="00072EA5"/>
    <w:rsid w:val="00072F87"/>
    <w:rsid w:val="000737B9"/>
    <w:rsid w:val="00073947"/>
    <w:rsid w:val="00074757"/>
    <w:rsid w:val="0007624E"/>
    <w:rsid w:val="00076375"/>
    <w:rsid w:val="00077F5D"/>
    <w:rsid w:val="000801F6"/>
    <w:rsid w:val="00080386"/>
    <w:rsid w:val="000810AD"/>
    <w:rsid w:val="0008126D"/>
    <w:rsid w:val="000813D3"/>
    <w:rsid w:val="00081E18"/>
    <w:rsid w:val="00082AAF"/>
    <w:rsid w:val="00082BE7"/>
    <w:rsid w:val="00082E07"/>
    <w:rsid w:val="00082E2A"/>
    <w:rsid w:val="000840A6"/>
    <w:rsid w:val="000841E7"/>
    <w:rsid w:val="00084AA4"/>
    <w:rsid w:val="0008584D"/>
    <w:rsid w:val="00085A1E"/>
    <w:rsid w:val="0008791E"/>
    <w:rsid w:val="00087AF6"/>
    <w:rsid w:val="00087F2C"/>
    <w:rsid w:val="00090094"/>
    <w:rsid w:val="000902CD"/>
    <w:rsid w:val="0009171D"/>
    <w:rsid w:val="00091DD9"/>
    <w:rsid w:val="00092000"/>
    <w:rsid w:val="00093371"/>
    <w:rsid w:val="000943C9"/>
    <w:rsid w:val="00095011"/>
    <w:rsid w:val="00095B63"/>
    <w:rsid w:val="00096222"/>
    <w:rsid w:val="00096646"/>
    <w:rsid w:val="00096C6C"/>
    <w:rsid w:val="000974E5"/>
    <w:rsid w:val="000978A3"/>
    <w:rsid w:val="000A0C55"/>
    <w:rsid w:val="000A1873"/>
    <w:rsid w:val="000A279B"/>
    <w:rsid w:val="000A2E2C"/>
    <w:rsid w:val="000A6E9C"/>
    <w:rsid w:val="000A72C2"/>
    <w:rsid w:val="000A74A8"/>
    <w:rsid w:val="000A7923"/>
    <w:rsid w:val="000B0165"/>
    <w:rsid w:val="000B0237"/>
    <w:rsid w:val="000B0A38"/>
    <w:rsid w:val="000B1470"/>
    <w:rsid w:val="000B35EF"/>
    <w:rsid w:val="000B4558"/>
    <w:rsid w:val="000B5183"/>
    <w:rsid w:val="000B5711"/>
    <w:rsid w:val="000B5AA0"/>
    <w:rsid w:val="000B6B2F"/>
    <w:rsid w:val="000B7454"/>
    <w:rsid w:val="000B7B6E"/>
    <w:rsid w:val="000B7F8F"/>
    <w:rsid w:val="000C0346"/>
    <w:rsid w:val="000C06C6"/>
    <w:rsid w:val="000C26AF"/>
    <w:rsid w:val="000C323E"/>
    <w:rsid w:val="000C37D2"/>
    <w:rsid w:val="000C3CA8"/>
    <w:rsid w:val="000C53E1"/>
    <w:rsid w:val="000C55FF"/>
    <w:rsid w:val="000C7B03"/>
    <w:rsid w:val="000D190A"/>
    <w:rsid w:val="000D43D6"/>
    <w:rsid w:val="000D4437"/>
    <w:rsid w:val="000D54F0"/>
    <w:rsid w:val="000D586E"/>
    <w:rsid w:val="000D5C1A"/>
    <w:rsid w:val="000D6883"/>
    <w:rsid w:val="000D6D5A"/>
    <w:rsid w:val="000D6E81"/>
    <w:rsid w:val="000D71CA"/>
    <w:rsid w:val="000D74FD"/>
    <w:rsid w:val="000D7709"/>
    <w:rsid w:val="000E0C7D"/>
    <w:rsid w:val="000E16D2"/>
    <w:rsid w:val="000E225A"/>
    <w:rsid w:val="000E35E6"/>
    <w:rsid w:val="000E38D7"/>
    <w:rsid w:val="000E38FA"/>
    <w:rsid w:val="000E3C5E"/>
    <w:rsid w:val="000E3E97"/>
    <w:rsid w:val="000E5AA4"/>
    <w:rsid w:val="000E5ADA"/>
    <w:rsid w:val="000E5CBB"/>
    <w:rsid w:val="000E5FBA"/>
    <w:rsid w:val="000E70E8"/>
    <w:rsid w:val="000F010C"/>
    <w:rsid w:val="000F08F1"/>
    <w:rsid w:val="000F1D68"/>
    <w:rsid w:val="000F1D98"/>
    <w:rsid w:val="000F1DDD"/>
    <w:rsid w:val="000F1E32"/>
    <w:rsid w:val="000F2018"/>
    <w:rsid w:val="000F2099"/>
    <w:rsid w:val="000F3D29"/>
    <w:rsid w:val="000F44EE"/>
    <w:rsid w:val="000F4944"/>
    <w:rsid w:val="000F4D06"/>
    <w:rsid w:val="000F5119"/>
    <w:rsid w:val="000F5C6F"/>
    <w:rsid w:val="000F6167"/>
    <w:rsid w:val="000F6280"/>
    <w:rsid w:val="000F7387"/>
    <w:rsid w:val="000F73E8"/>
    <w:rsid w:val="000F7779"/>
    <w:rsid w:val="000F781E"/>
    <w:rsid w:val="000F7D7A"/>
    <w:rsid w:val="00100287"/>
    <w:rsid w:val="00100AD9"/>
    <w:rsid w:val="00100F30"/>
    <w:rsid w:val="00101F77"/>
    <w:rsid w:val="001021B3"/>
    <w:rsid w:val="00102D40"/>
    <w:rsid w:val="0010375A"/>
    <w:rsid w:val="00103B33"/>
    <w:rsid w:val="00103BAF"/>
    <w:rsid w:val="00106D1F"/>
    <w:rsid w:val="00106EFA"/>
    <w:rsid w:val="001072DC"/>
    <w:rsid w:val="00107E07"/>
    <w:rsid w:val="0011010E"/>
    <w:rsid w:val="00110123"/>
    <w:rsid w:val="0011069D"/>
    <w:rsid w:val="00111E55"/>
    <w:rsid w:val="00112D78"/>
    <w:rsid w:val="001134B4"/>
    <w:rsid w:val="001135EC"/>
    <w:rsid w:val="001138CC"/>
    <w:rsid w:val="00113B24"/>
    <w:rsid w:val="00114370"/>
    <w:rsid w:val="001145F3"/>
    <w:rsid w:val="00115D0E"/>
    <w:rsid w:val="0011606A"/>
    <w:rsid w:val="00117845"/>
    <w:rsid w:val="00121B0E"/>
    <w:rsid w:val="00122090"/>
    <w:rsid w:val="001220FB"/>
    <w:rsid w:val="00122317"/>
    <w:rsid w:val="0012273B"/>
    <w:rsid w:val="001227E5"/>
    <w:rsid w:val="0012333F"/>
    <w:rsid w:val="00123360"/>
    <w:rsid w:val="0012355D"/>
    <w:rsid w:val="00123C6E"/>
    <w:rsid w:val="00123FD7"/>
    <w:rsid w:val="00124375"/>
    <w:rsid w:val="001248A1"/>
    <w:rsid w:val="0012621F"/>
    <w:rsid w:val="001262A9"/>
    <w:rsid w:val="00126471"/>
    <w:rsid w:val="001311CD"/>
    <w:rsid w:val="00132B3C"/>
    <w:rsid w:val="00132FE0"/>
    <w:rsid w:val="00133BBC"/>
    <w:rsid w:val="00134A29"/>
    <w:rsid w:val="00134E72"/>
    <w:rsid w:val="001355CA"/>
    <w:rsid w:val="001357A6"/>
    <w:rsid w:val="00135861"/>
    <w:rsid w:val="001365B9"/>
    <w:rsid w:val="001368DC"/>
    <w:rsid w:val="00137534"/>
    <w:rsid w:val="001375F4"/>
    <w:rsid w:val="001412FE"/>
    <w:rsid w:val="00141994"/>
    <w:rsid w:val="00141DC4"/>
    <w:rsid w:val="001429E4"/>
    <w:rsid w:val="00142AF8"/>
    <w:rsid w:val="00142F21"/>
    <w:rsid w:val="001438F2"/>
    <w:rsid w:val="00143E42"/>
    <w:rsid w:val="00145805"/>
    <w:rsid w:val="00146E2A"/>
    <w:rsid w:val="00150098"/>
    <w:rsid w:val="00150367"/>
    <w:rsid w:val="001514DC"/>
    <w:rsid w:val="00153C2E"/>
    <w:rsid w:val="00153C8B"/>
    <w:rsid w:val="00153E41"/>
    <w:rsid w:val="00153FA3"/>
    <w:rsid w:val="00154595"/>
    <w:rsid w:val="00154BE5"/>
    <w:rsid w:val="001554EF"/>
    <w:rsid w:val="00157FEA"/>
    <w:rsid w:val="001600E9"/>
    <w:rsid w:val="00160533"/>
    <w:rsid w:val="00160C7F"/>
    <w:rsid w:val="00163DA2"/>
    <w:rsid w:val="0016458D"/>
    <w:rsid w:val="00165DE0"/>
    <w:rsid w:val="001668E4"/>
    <w:rsid w:val="0016790B"/>
    <w:rsid w:val="001708EF"/>
    <w:rsid w:val="0017119E"/>
    <w:rsid w:val="00171377"/>
    <w:rsid w:val="00171FEE"/>
    <w:rsid w:val="00172451"/>
    <w:rsid w:val="001728A3"/>
    <w:rsid w:val="00172AF2"/>
    <w:rsid w:val="00173E45"/>
    <w:rsid w:val="001745CB"/>
    <w:rsid w:val="00174972"/>
    <w:rsid w:val="00174988"/>
    <w:rsid w:val="00174F77"/>
    <w:rsid w:val="001761E1"/>
    <w:rsid w:val="00176A06"/>
    <w:rsid w:val="00177719"/>
    <w:rsid w:val="00177835"/>
    <w:rsid w:val="00181647"/>
    <w:rsid w:val="00181ED0"/>
    <w:rsid w:val="00182BF3"/>
    <w:rsid w:val="00182C91"/>
    <w:rsid w:val="001838D6"/>
    <w:rsid w:val="00183DE9"/>
    <w:rsid w:val="00184102"/>
    <w:rsid w:val="001843B1"/>
    <w:rsid w:val="0018470B"/>
    <w:rsid w:val="001879ED"/>
    <w:rsid w:val="00187E63"/>
    <w:rsid w:val="00190A02"/>
    <w:rsid w:val="00191FEC"/>
    <w:rsid w:val="00192259"/>
    <w:rsid w:val="001922F1"/>
    <w:rsid w:val="00193BDB"/>
    <w:rsid w:val="001941CF"/>
    <w:rsid w:val="0019564D"/>
    <w:rsid w:val="00195E01"/>
    <w:rsid w:val="00195F41"/>
    <w:rsid w:val="00196862"/>
    <w:rsid w:val="00197099"/>
    <w:rsid w:val="001A0328"/>
    <w:rsid w:val="001A10C9"/>
    <w:rsid w:val="001A2032"/>
    <w:rsid w:val="001A27E5"/>
    <w:rsid w:val="001A373D"/>
    <w:rsid w:val="001A6301"/>
    <w:rsid w:val="001A6443"/>
    <w:rsid w:val="001A658E"/>
    <w:rsid w:val="001A7309"/>
    <w:rsid w:val="001A7315"/>
    <w:rsid w:val="001B2912"/>
    <w:rsid w:val="001B2E63"/>
    <w:rsid w:val="001B302E"/>
    <w:rsid w:val="001B32F6"/>
    <w:rsid w:val="001B3406"/>
    <w:rsid w:val="001B390E"/>
    <w:rsid w:val="001B3DA0"/>
    <w:rsid w:val="001B3FE2"/>
    <w:rsid w:val="001B4A6C"/>
    <w:rsid w:val="001B5ED8"/>
    <w:rsid w:val="001B6814"/>
    <w:rsid w:val="001B6FE9"/>
    <w:rsid w:val="001C0E97"/>
    <w:rsid w:val="001C1F37"/>
    <w:rsid w:val="001C2882"/>
    <w:rsid w:val="001C33FB"/>
    <w:rsid w:val="001C4135"/>
    <w:rsid w:val="001C448A"/>
    <w:rsid w:val="001C4986"/>
    <w:rsid w:val="001C529A"/>
    <w:rsid w:val="001C68F4"/>
    <w:rsid w:val="001C6A53"/>
    <w:rsid w:val="001C7EE5"/>
    <w:rsid w:val="001D03D1"/>
    <w:rsid w:val="001D066C"/>
    <w:rsid w:val="001D06F5"/>
    <w:rsid w:val="001D0AFB"/>
    <w:rsid w:val="001D1746"/>
    <w:rsid w:val="001D2A84"/>
    <w:rsid w:val="001D31DB"/>
    <w:rsid w:val="001D337A"/>
    <w:rsid w:val="001D398D"/>
    <w:rsid w:val="001D4307"/>
    <w:rsid w:val="001D4853"/>
    <w:rsid w:val="001D5774"/>
    <w:rsid w:val="001D62D4"/>
    <w:rsid w:val="001D65BD"/>
    <w:rsid w:val="001D756B"/>
    <w:rsid w:val="001D766D"/>
    <w:rsid w:val="001D7B28"/>
    <w:rsid w:val="001D7E55"/>
    <w:rsid w:val="001D7E6F"/>
    <w:rsid w:val="001E01AC"/>
    <w:rsid w:val="001E0A6C"/>
    <w:rsid w:val="001E0BC0"/>
    <w:rsid w:val="001E0DEB"/>
    <w:rsid w:val="001E1437"/>
    <w:rsid w:val="001E1B61"/>
    <w:rsid w:val="001E1D15"/>
    <w:rsid w:val="001E3075"/>
    <w:rsid w:val="001E375C"/>
    <w:rsid w:val="001E3D97"/>
    <w:rsid w:val="001E4733"/>
    <w:rsid w:val="001E5E5E"/>
    <w:rsid w:val="001E6C45"/>
    <w:rsid w:val="001E7461"/>
    <w:rsid w:val="001F0237"/>
    <w:rsid w:val="001F1A34"/>
    <w:rsid w:val="001F30B6"/>
    <w:rsid w:val="001F31AF"/>
    <w:rsid w:val="001F3B24"/>
    <w:rsid w:val="001F3D38"/>
    <w:rsid w:val="001F3E44"/>
    <w:rsid w:val="001F3EDA"/>
    <w:rsid w:val="001F45B9"/>
    <w:rsid w:val="001F4B2A"/>
    <w:rsid w:val="001F55B8"/>
    <w:rsid w:val="001F55EA"/>
    <w:rsid w:val="001F6020"/>
    <w:rsid w:val="001F675D"/>
    <w:rsid w:val="001F6927"/>
    <w:rsid w:val="001F72DA"/>
    <w:rsid w:val="002001AD"/>
    <w:rsid w:val="00200DE7"/>
    <w:rsid w:val="002010BD"/>
    <w:rsid w:val="00201392"/>
    <w:rsid w:val="00201E73"/>
    <w:rsid w:val="00203804"/>
    <w:rsid w:val="00203C62"/>
    <w:rsid w:val="00205C48"/>
    <w:rsid w:val="002060BD"/>
    <w:rsid w:val="002068EF"/>
    <w:rsid w:val="00207D91"/>
    <w:rsid w:val="00210783"/>
    <w:rsid w:val="00210819"/>
    <w:rsid w:val="002124DD"/>
    <w:rsid w:val="002125B8"/>
    <w:rsid w:val="00214CD9"/>
    <w:rsid w:val="00215CA4"/>
    <w:rsid w:val="00215E83"/>
    <w:rsid w:val="00217206"/>
    <w:rsid w:val="0021734F"/>
    <w:rsid w:val="00217A57"/>
    <w:rsid w:val="00220FA7"/>
    <w:rsid w:val="00221C15"/>
    <w:rsid w:val="00222D6B"/>
    <w:rsid w:val="00222DAE"/>
    <w:rsid w:val="00224042"/>
    <w:rsid w:val="00224A99"/>
    <w:rsid w:val="00224FEB"/>
    <w:rsid w:val="002255FE"/>
    <w:rsid w:val="00226668"/>
    <w:rsid w:val="002268C9"/>
    <w:rsid w:val="00226AB9"/>
    <w:rsid w:val="00226B63"/>
    <w:rsid w:val="002274A8"/>
    <w:rsid w:val="002313FF"/>
    <w:rsid w:val="002314D4"/>
    <w:rsid w:val="002323AF"/>
    <w:rsid w:val="002324EA"/>
    <w:rsid w:val="00232516"/>
    <w:rsid w:val="00232796"/>
    <w:rsid w:val="002331C8"/>
    <w:rsid w:val="0023450A"/>
    <w:rsid w:val="002345BA"/>
    <w:rsid w:val="0023516F"/>
    <w:rsid w:val="0023569F"/>
    <w:rsid w:val="002356B5"/>
    <w:rsid w:val="002360DF"/>
    <w:rsid w:val="00236D79"/>
    <w:rsid w:val="002371D9"/>
    <w:rsid w:val="0023729A"/>
    <w:rsid w:val="00237C07"/>
    <w:rsid w:val="00237FD1"/>
    <w:rsid w:val="00240E91"/>
    <w:rsid w:val="002419CB"/>
    <w:rsid w:val="00241E33"/>
    <w:rsid w:val="00242A83"/>
    <w:rsid w:val="00242ADA"/>
    <w:rsid w:val="00242EB6"/>
    <w:rsid w:val="002449BA"/>
    <w:rsid w:val="00244AFA"/>
    <w:rsid w:val="00246318"/>
    <w:rsid w:val="00246A14"/>
    <w:rsid w:val="002473C0"/>
    <w:rsid w:val="00250CDF"/>
    <w:rsid w:val="00250E85"/>
    <w:rsid w:val="002520B5"/>
    <w:rsid w:val="00252152"/>
    <w:rsid w:val="002524BA"/>
    <w:rsid w:val="0025276B"/>
    <w:rsid w:val="002559B1"/>
    <w:rsid w:val="00256C2D"/>
    <w:rsid w:val="00256FEC"/>
    <w:rsid w:val="002571F2"/>
    <w:rsid w:val="00257448"/>
    <w:rsid w:val="00257BD5"/>
    <w:rsid w:val="00261CA2"/>
    <w:rsid w:val="00262193"/>
    <w:rsid w:val="00263585"/>
    <w:rsid w:val="00263CC0"/>
    <w:rsid w:val="002643D4"/>
    <w:rsid w:val="002644FE"/>
    <w:rsid w:val="002645FF"/>
    <w:rsid w:val="00265207"/>
    <w:rsid w:val="00265B03"/>
    <w:rsid w:val="00267E69"/>
    <w:rsid w:val="00267ED0"/>
    <w:rsid w:val="00267F98"/>
    <w:rsid w:val="00267FCC"/>
    <w:rsid w:val="0027001F"/>
    <w:rsid w:val="00270213"/>
    <w:rsid w:val="002712C4"/>
    <w:rsid w:val="00273152"/>
    <w:rsid w:val="002731E5"/>
    <w:rsid w:val="00273BB7"/>
    <w:rsid w:val="0027441B"/>
    <w:rsid w:val="002745CA"/>
    <w:rsid w:val="0027484A"/>
    <w:rsid w:val="0027509E"/>
    <w:rsid w:val="00275EF3"/>
    <w:rsid w:val="00275F24"/>
    <w:rsid w:val="00277B19"/>
    <w:rsid w:val="00277C0B"/>
    <w:rsid w:val="00280730"/>
    <w:rsid w:val="00281800"/>
    <w:rsid w:val="002825A1"/>
    <w:rsid w:val="00282FD3"/>
    <w:rsid w:val="002831A3"/>
    <w:rsid w:val="00283F14"/>
    <w:rsid w:val="00284D1F"/>
    <w:rsid w:val="00285207"/>
    <w:rsid w:val="00286168"/>
    <w:rsid w:val="0028670D"/>
    <w:rsid w:val="002872D0"/>
    <w:rsid w:val="0029124C"/>
    <w:rsid w:val="00292AA7"/>
    <w:rsid w:val="0029421D"/>
    <w:rsid w:val="00295720"/>
    <w:rsid w:val="00297D01"/>
    <w:rsid w:val="002A0146"/>
    <w:rsid w:val="002A0309"/>
    <w:rsid w:val="002A0FB7"/>
    <w:rsid w:val="002A2485"/>
    <w:rsid w:val="002A332B"/>
    <w:rsid w:val="002A4F5C"/>
    <w:rsid w:val="002A5D24"/>
    <w:rsid w:val="002A5D8D"/>
    <w:rsid w:val="002A5F50"/>
    <w:rsid w:val="002A5FB5"/>
    <w:rsid w:val="002A67A2"/>
    <w:rsid w:val="002A7C13"/>
    <w:rsid w:val="002A7E70"/>
    <w:rsid w:val="002A7E9A"/>
    <w:rsid w:val="002B00B3"/>
    <w:rsid w:val="002B0214"/>
    <w:rsid w:val="002B0C46"/>
    <w:rsid w:val="002B1B86"/>
    <w:rsid w:val="002B1ECA"/>
    <w:rsid w:val="002B25FF"/>
    <w:rsid w:val="002B2888"/>
    <w:rsid w:val="002B2B99"/>
    <w:rsid w:val="002B2BEE"/>
    <w:rsid w:val="002B3093"/>
    <w:rsid w:val="002B311F"/>
    <w:rsid w:val="002B379A"/>
    <w:rsid w:val="002B467D"/>
    <w:rsid w:val="002B4F73"/>
    <w:rsid w:val="002B51F9"/>
    <w:rsid w:val="002B676A"/>
    <w:rsid w:val="002B6CBC"/>
    <w:rsid w:val="002B6CC8"/>
    <w:rsid w:val="002C0451"/>
    <w:rsid w:val="002C3188"/>
    <w:rsid w:val="002C3903"/>
    <w:rsid w:val="002C392D"/>
    <w:rsid w:val="002C465E"/>
    <w:rsid w:val="002C4662"/>
    <w:rsid w:val="002C4D6E"/>
    <w:rsid w:val="002C4F17"/>
    <w:rsid w:val="002C544C"/>
    <w:rsid w:val="002C551A"/>
    <w:rsid w:val="002C5623"/>
    <w:rsid w:val="002D0957"/>
    <w:rsid w:val="002D118D"/>
    <w:rsid w:val="002D1E96"/>
    <w:rsid w:val="002D23F2"/>
    <w:rsid w:val="002D2510"/>
    <w:rsid w:val="002D2888"/>
    <w:rsid w:val="002D4D84"/>
    <w:rsid w:val="002D5154"/>
    <w:rsid w:val="002D5DFE"/>
    <w:rsid w:val="002D637D"/>
    <w:rsid w:val="002D6D06"/>
    <w:rsid w:val="002D7E44"/>
    <w:rsid w:val="002E0A8E"/>
    <w:rsid w:val="002E1186"/>
    <w:rsid w:val="002E17AA"/>
    <w:rsid w:val="002E20DA"/>
    <w:rsid w:val="002E24A0"/>
    <w:rsid w:val="002E3B13"/>
    <w:rsid w:val="002E3CDA"/>
    <w:rsid w:val="002E42A7"/>
    <w:rsid w:val="002E5DE6"/>
    <w:rsid w:val="002E5EE9"/>
    <w:rsid w:val="002E61F3"/>
    <w:rsid w:val="002F0537"/>
    <w:rsid w:val="002F18C3"/>
    <w:rsid w:val="002F288A"/>
    <w:rsid w:val="002F38E1"/>
    <w:rsid w:val="002F4384"/>
    <w:rsid w:val="002F4612"/>
    <w:rsid w:val="002F4929"/>
    <w:rsid w:val="002F4A5A"/>
    <w:rsid w:val="002F4D4A"/>
    <w:rsid w:val="002F4F5E"/>
    <w:rsid w:val="002F53D8"/>
    <w:rsid w:val="002F7057"/>
    <w:rsid w:val="002F71C8"/>
    <w:rsid w:val="002F755F"/>
    <w:rsid w:val="002F75C3"/>
    <w:rsid w:val="00300468"/>
    <w:rsid w:val="00301922"/>
    <w:rsid w:val="00301B6B"/>
    <w:rsid w:val="0030243C"/>
    <w:rsid w:val="00302868"/>
    <w:rsid w:val="00304A0F"/>
    <w:rsid w:val="00304A20"/>
    <w:rsid w:val="00304A33"/>
    <w:rsid w:val="003050A3"/>
    <w:rsid w:val="0031049F"/>
    <w:rsid w:val="00310C9F"/>
    <w:rsid w:val="00311123"/>
    <w:rsid w:val="00311305"/>
    <w:rsid w:val="003114F9"/>
    <w:rsid w:val="003117CC"/>
    <w:rsid w:val="00311C62"/>
    <w:rsid w:val="003126F5"/>
    <w:rsid w:val="0031279D"/>
    <w:rsid w:val="00313AAD"/>
    <w:rsid w:val="003143AD"/>
    <w:rsid w:val="003152AA"/>
    <w:rsid w:val="0031530E"/>
    <w:rsid w:val="003156F5"/>
    <w:rsid w:val="00315AB2"/>
    <w:rsid w:val="00316032"/>
    <w:rsid w:val="00316B7D"/>
    <w:rsid w:val="003175EA"/>
    <w:rsid w:val="003178EF"/>
    <w:rsid w:val="00320F6E"/>
    <w:rsid w:val="00321158"/>
    <w:rsid w:val="003220E8"/>
    <w:rsid w:val="00322DB0"/>
    <w:rsid w:val="00323462"/>
    <w:rsid w:val="0032386F"/>
    <w:rsid w:val="00323876"/>
    <w:rsid w:val="00324D93"/>
    <w:rsid w:val="003255E8"/>
    <w:rsid w:val="0032561B"/>
    <w:rsid w:val="00325769"/>
    <w:rsid w:val="00326735"/>
    <w:rsid w:val="00326DD7"/>
    <w:rsid w:val="00327008"/>
    <w:rsid w:val="00330BCC"/>
    <w:rsid w:val="003312E9"/>
    <w:rsid w:val="00331628"/>
    <w:rsid w:val="00331BAB"/>
    <w:rsid w:val="0033222F"/>
    <w:rsid w:val="00332CA0"/>
    <w:rsid w:val="00333A7B"/>
    <w:rsid w:val="00334116"/>
    <w:rsid w:val="00334231"/>
    <w:rsid w:val="00334E6E"/>
    <w:rsid w:val="00335003"/>
    <w:rsid w:val="00335144"/>
    <w:rsid w:val="00335180"/>
    <w:rsid w:val="003355C5"/>
    <w:rsid w:val="003357DB"/>
    <w:rsid w:val="00335BA8"/>
    <w:rsid w:val="0033606A"/>
    <w:rsid w:val="003361F6"/>
    <w:rsid w:val="0033663E"/>
    <w:rsid w:val="003366E6"/>
    <w:rsid w:val="00336D05"/>
    <w:rsid w:val="00337ECA"/>
    <w:rsid w:val="00340019"/>
    <w:rsid w:val="003405C8"/>
    <w:rsid w:val="00340E77"/>
    <w:rsid w:val="00344D66"/>
    <w:rsid w:val="00345051"/>
    <w:rsid w:val="00345B81"/>
    <w:rsid w:val="0034655E"/>
    <w:rsid w:val="003467CF"/>
    <w:rsid w:val="00346D61"/>
    <w:rsid w:val="00347284"/>
    <w:rsid w:val="003502DB"/>
    <w:rsid w:val="00351192"/>
    <w:rsid w:val="00352064"/>
    <w:rsid w:val="0035321C"/>
    <w:rsid w:val="00356B09"/>
    <w:rsid w:val="00356C55"/>
    <w:rsid w:val="00357B25"/>
    <w:rsid w:val="00360660"/>
    <w:rsid w:val="0036096D"/>
    <w:rsid w:val="00360EEA"/>
    <w:rsid w:val="00361176"/>
    <w:rsid w:val="00361746"/>
    <w:rsid w:val="00361911"/>
    <w:rsid w:val="00361BCB"/>
    <w:rsid w:val="003622EF"/>
    <w:rsid w:val="0036279D"/>
    <w:rsid w:val="0036285D"/>
    <w:rsid w:val="0036343E"/>
    <w:rsid w:val="00363C3B"/>
    <w:rsid w:val="0036451E"/>
    <w:rsid w:val="003654C2"/>
    <w:rsid w:val="00365EB0"/>
    <w:rsid w:val="003661E6"/>
    <w:rsid w:val="0036640A"/>
    <w:rsid w:val="003668A7"/>
    <w:rsid w:val="00367C4C"/>
    <w:rsid w:val="00370134"/>
    <w:rsid w:val="003706E4"/>
    <w:rsid w:val="00370D6D"/>
    <w:rsid w:val="00371D28"/>
    <w:rsid w:val="003720AC"/>
    <w:rsid w:val="00372EE9"/>
    <w:rsid w:val="00373126"/>
    <w:rsid w:val="00373CB6"/>
    <w:rsid w:val="00373D5A"/>
    <w:rsid w:val="003740A7"/>
    <w:rsid w:val="00375C1A"/>
    <w:rsid w:val="0037713E"/>
    <w:rsid w:val="0037725E"/>
    <w:rsid w:val="003773A4"/>
    <w:rsid w:val="003776CA"/>
    <w:rsid w:val="0037788E"/>
    <w:rsid w:val="00380358"/>
    <w:rsid w:val="00380B13"/>
    <w:rsid w:val="00381491"/>
    <w:rsid w:val="00381B92"/>
    <w:rsid w:val="0038225C"/>
    <w:rsid w:val="003822E3"/>
    <w:rsid w:val="00382553"/>
    <w:rsid w:val="00382829"/>
    <w:rsid w:val="00382E6E"/>
    <w:rsid w:val="003841D8"/>
    <w:rsid w:val="003843AA"/>
    <w:rsid w:val="00385059"/>
    <w:rsid w:val="0038530F"/>
    <w:rsid w:val="0038553F"/>
    <w:rsid w:val="00385A0B"/>
    <w:rsid w:val="00386D42"/>
    <w:rsid w:val="0038747F"/>
    <w:rsid w:val="003912EB"/>
    <w:rsid w:val="00391398"/>
    <w:rsid w:val="00391682"/>
    <w:rsid w:val="00391869"/>
    <w:rsid w:val="0039313F"/>
    <w:rsid w:val="00393BE7"/>
    <w:rsid w:val="00393D2B"/>
    <w:rsid w:val="00393D57"/>
    <w:rsid w:val="00394A8F"/>
    <w:rsid w:val="003953E9"/>
    <w:rsid w:val="003958B5"/>
    <w:rsid w:val="003961A0"/>
    <w:rsid w:val="003979D1"/>
    <w:rsid w:val="00397A14"/>
    <w:rsid w:val="00397CB5"/>
    <w:rsid w:val="003A0777"/>
    <w:rsid w:val="003A1C56"/>
    <w:rsid w:val="003A2971"/>
    <w:rsid w:val="003A2D3D"/>
    <w:rsid w:val="003A3779"/>
    <w:rsid w:val="003A447A"/>
    <w:rsid w:val="003A4BF0"/>
    <w:rsid w:val="003A4C60"/>
    <w:rsid w:val="003A519F"/>
    <w:rsid w:val="003A712B"/>
    <w:rsid w:val="003B17AF"/>
    <w:rsid w:val="003B25F3"/>
    <w:rsid w:val="003B4536"/>
    <w:rsid w:val="003B4E46"/>
    <w:rsid w:val="003B50CE"/>
    <w:rsid w:val="003B5CF3"/>
    <w:rsid w:val="003C02CC"/>
    <w:rsid w:val="003C02FA"/>
    <w:rsid w:val="003C1B3D"/>
    <w:rsid w:val="003C2314"/>
    <w:rsid w:val="003C2504"/>
    <w:rsid w:val="003C4191"/>
    <w:rsid w:val="003C4888"/>
    <w:rsid w:val="003C5309"/>
    <w:rsid w:val="003C60D4"/>
    <w:rsid w:val="003C613E"/>
    <w:rsid w:val="003D0BEA"/>
    <w:rsid w:val="003D14AB"/>
    <w:rsid w:val="003D2654"/>
    <w:rsid w:val="003D2D8A"/>
    <w:rsid w:val="003D388E"/>
    <w:rsid w:val="003D3E84"/>
    <w:rsid w:val="003D44BA"/>
    <w:rsid w:val="003D5CBE"/>
    <w:rsid w:val="003D66B1"/>
    <w:rsid w:val="003E19E3"/>
    <w:rsid w:val="003E1E1C"/>
    <w:rsid w:val="003E270A"/>
    <w:rsid w:val="003E3A3C"/>
    <w:rsid w:val="003E409E"/>
    <w:rsid w:val="003E4424"/>
    <w:rsid w:val="003E5823"/>
    <w:rsid w:val="003E5B02"/>
    <w:rsid w:val="003E5DDE"/>
    <w:rsid w:val="003E683D"/>
    <w:rsid w:val="003E69B5"/>
    <w:rsid w:val="003E72C0"/>
    <w:rsid w:val="003E7AF9"/>
    <w:rsid w:val="003F0624"/>
    <w:rsid w:val="003F0CD7"/>
    <w:rsid w:val="003F1C76"/>
    <w:rsid w:val="003F3AB0"/>
    <w:rsid w:val="003F3FB0"/>
    <w:rsid w:val="003F4037"/>
    <w:rsid w:val="003F4616"/>
    <w:rsid w:val="003F5ED7"/>
    <w:rsid w:val="003F60F1"/>
    <w:rsid w:val="003F611D"/>
    <w:rsid w:val="003F7B25"/>
    <w:rsid w:val="00400AE6"/>
    <w:rsid w:val="0040152C"/>
    <w:rsid w:val="0040152F"/>
    <w:rsid w:val="004017AB"/>
    <w:rsid w:val="00401E02"/>
    <w:rsid w:val="00402D7B"/>
    <w:rsid w:val="00403013"/>
    <w:rsid w:val="004030CC"/>
    <w:rsid w:val="0040380B"/>
    <w:rsid w:val="00403AA0"/>
    <w:rsid w:val="004043AB"/>
    <w:rsid w:val="00404E89"/>
    <w:rsid w:val="00404EB3"/>
    <w:rsid w:val="00405103"/>
    <w:rsid w:val="004066FE"/>
    <w:rsid w:val="0040686F"/>
    <w:rsid w:val="0041007B"/>
    <w:rsid w:val="00410349"/>
    <w:rsid w:val="004103DE"/>
    <w:rsid w:val="00410A8D"/>
    <w:rsid w:val="00410E14"/>
    <w:rsid w:val="00410E1B"/>
    <w:rsid w:val="004119CA"/>
    <w:rsid w:val="00412C69"/>
    <w:rsid w:val="00412D90"/>
    <w:rsid w:val="00412F36"/>
    <w:rsid w:val="00413513"/>
    <w:rsid w:val="00414004"/>
    <w:rsid w:val="004144B2"/>
    <w:rsid w:val="004148B9"/>
    <w:rsid w:val="00415D11"/>
    <w:rsid w:val="00416763"/>
    <w:rsid w:val="00417B0C"/>
    <w:rsid w:val="00417B2B"/>
    <w:rsid w:val="00422AA4"/>
    <w:rsid w:val="004237B0"/>
    <w:rsid w:val="004256DA"/>
    <w:rsid w:val="00425EDB"/>
    <w:rsid w:val="00426069"/>
    <w:rsid w:val="0042633D"/>
    <w:rsid w:val="00426D9D"/>
    <w:rsid w:val="00427466"/>
    <w:rsid w:val="004300FF"/>
    <w:rsid w:val="004302E1"/>
    <w:rsid w:val="00430988"/>
    <w:rsid w:val="004317A0"/>
    <w:rsid w:val="00431E7C"/>
    <w:rsid w:val="00432F92"/>
    <w:rsid w:val="00433D8B"/>
    <w:rsid w:val="00436783"/>
    <w:rsid w:val="00436975"/>
    <w:rsid w:val="004369BA"/>
    <w:rsid w:val="004370DF"/>
    <w:rsid w:val="0043755E"/>
    <w:rsid w:val="00437A1A"/>
    <w:rsid w:val="004416D5"/>
    <w:rsid w:val="00443210"/>
    <w:rsid w:val="0044326E"/>
    <w:rsid w:val="00443504"/>
    <w:rsid w:val="00444233"/>
    <w:rsid w:val="0044480A"/>
    <w:rsid w:val="00445F7D"/>
    <w:rsid w:val="0044641D"/>
    <w:rsid w:val="00446B85"/>
    <w:rsid w:val="00446D69"/>
    <w:rsid w:val="00447017"/>
    <w:rsid w:val="00447274"/>
    <w:rsid w:val="00447B13"/>
    <w:rsid w:val="00450B27"/>
    <w:rsid w:val="0045154B"/>
    <w:rsid w:val="0045258E"/>
    <w:rsid w:val="00452D78"/>
    <w:rsid w:val="00453B90"/>
    <w:rsid w:val="00453BF0"/>
    <w:rsid w:val="00453ED4"/>
    <w:rsid w:val="00454687"/>
    <w:rsid w:val="00454694"/>
    <w:rsid w:val="0045487A"/>
    <w:rsid w:val="00454CDC"/>
    <w:rsid w:val="00455AA3"/>
    <w:rsid w:val="00455C98"/>
    <w:rsid w:val="00455DAA"/>
    <w:rsid w:val="00456364"/>
    <w:rsid w:val="00456D1F"/>
    <w:rsid w:val="00456D50"/>
    <w:rsid w:val="00457F7D"/>
    <w:rsid w:val="004605A1"/>
    <w:rsid w:val="00460A6D"/>
    <w:rsid w:val="00460C25"/>
    <w:rsid w:val="00460DC9"/>
    <w:rsid w:val="00461064"/>
    <w:rsid w:val="004619F8"/>
    <w:rsid w:val="00462853"/>
    <w:rsid w:val="00463632"/>
    <w:rsid w:val="00463FA6"/>
    <w:rsid w:val="00463FCB"/>
    <w:rsid w:val="004642BF"/>
    <w:rsid w:val="00464B1A"/>
    <w:rsid w:val="00464B7E"/>
    <w:rsid w:val="00464E65"/>
    <w:rsid w:val="0046569B"/>
    <w:rsid w:val="00465AE5"/>
    <w:rsid w:val="00465B47"/>
    <w:rsid w:val="004671E8"/>
    <w:rsid w:val="00467804"/>
    <w:rsid w:val="00467E41"/>
    <w:rsid w:val="00470A30"/>
    <w:rsid w:val="00470A40"/>
    <w:rsid w:val="00471713"/>
    <w:rsid w:val="004726E2"/>
    <w:rsid w:val="00473286"/>
    <w:rsid w:val="00473BC3"/>
    <w:rsid w:val="004749C2"/>
    <w:rsid w:val="004752FE"/>
    <w:rsid w:val="004759CE"/>
    <w:rsid w:val="00476018"/>
    <w:rsid w:val="004761CF"/>
    <w:rsid w:val="004763ED"/>
    <w:rsid w:val="00476E4B"/>
    <w:rsid w:val="00477294"/>
    <w:rsid w:val="00480AB9"/>
    <w:rsid w:val="00481646"/>
    <w:rsid w:val="00481711"/>
    <w:rsid w:val="00481B7D"/>
    <w:rsid w:val="00481BD9"/>
    <w:rsid w:val="004829B1"/>
    <w:rsid w:val="00482A62"/>
    <w:rsid w:val="00482BA7"/>
    <w:rsid w:val="00483271"/>
    <w:rsid w:val="00484C72"/>
    <w:rsid w:val="0048502F"/>
    <w:rsid w:val="00485478"/>
    <w:rsid w:val="00485943"/>
    <w:rsid w:val="004859FD"/>
    <w:rsid w:val="0048601D"/>
    <w:rsid w:val="00486134"/>
    <w:rsid w:val="0049001E"/>
    <w:rsid w:val="00490185"/>
    <w:rsid w:val="0049060B"/>
    <w:rsid w:val="00491D90"/>
    <w:rsid w:val="00491DBD"/>
    <w:rsid w:val="0049237F"/>
    <w:rsid w:val="00492D1D"/>
    <w:rsid w:val="00492EDE"/>
    <w:rsid w:val="00494517"/>
    <w:rsid w:val="004946CC"/>
    <w:rsid w:val="004947E5"/>
    <w:rsid w:val="00494E4E"/>
    <w:rsid w:val="00495577"/>
    <w:rsid w:val="004956C5"/>
    <w:rsid w:val="0049638F"/>
    <w:rsid w:val="00496934"/>
    <w:rsid w:val="00496B17"/>
    <w:rsid w:val="00496EDB"/>
    <w:rsid w:val="004A0038"/>
    <w:rsid w:val="004A0286"/>
    <w:rsid w:val="004A06F5"/>
    <w:rsid w:val="004A167B"/>
    <w:rsid w:val="004A1D09"/>
    <w:rsid w:val="004A204E"/>
    <w:rsid w:val="004A3400"/>
    <w:rsid w:val="004A348C"/>
    <w:rsid w:val="004A6FD5"/>
    <w:rsid w:val="004A73ED"/>
    <w:rsid w:val="004A7E9A"/>
    <w:rsid w:val="004B0C4E"/>
    <w:rsid w:val="004B0F1F"/>
    <w:rsid w:val="004B1382"/>
    <w:rsid w:val="004B1488"/>
    <w:rsid w:val="004B19A8"/>
    <w:rsid w:val="004B1B3F"/>
    <w:rsid w:val="004B1CCA"/>
    <w:rsid w:val="004B23C9"/>
    <w:rsid w:val="004B2701"/>
    <w:rsid w:val="004B2BEC"/>
    <w:rsid w:val="004B2F2F"/>
    <w:rsid w:val="004B31E0"/>
    <w:rsid w:val="004B3300"/>
    <w:rsid w:val="004B3B54"/>
    <w:rsid w:val="004B4E61"/>
    <w:rsid w:val="004B617B"/>
    <w:rsid w:val="004C0217"/>
    <w:rsid w:val="004C0F47"/>
    <w:rsid w:val="004C139D"/>
    <w:rsid w:val="004C164D"/>
    <w:rsid w:val="004C1C25"/>
    <w:rsid w:val="004C2093"/>
    <w:rsid w:val="004C21F4"/>
    <w:rsid w:val="004C35CF"/>
    <w:rsid w:val="004C5424"/>
    <w:rsid w:val="004C5A1C"/>
    <w:rsid w:val="004C5CAE"/>
    <w:rsid w:val="004C69B7"/>
    <w:rsid w:val="004C6A4B"/>
    <w:rsid w:val="004C7457"/>
    <w:rsid w:val="004D1241"/>
    <w:rsid w:val="004D1D51"/>
    <w:rsid w:val="004D2032"/>
    <w:rsid w:val="004D2066"/>
    <w:rsid w:val="004D299B"/>
    <w:rsid w:val="004D29A6"/>
    <w:rsid w:val="004D3D02"/>
    <w:rsid w:val="004D43DF"/>
    <w:rsid w:val="004D553A"/>
    <w:rsid w:val="004D614F"/>
    <w:rsid w:val="004D668F"/>
    <w:rsid w:val="004D6868"/>
    <w:rsid w:val="004D6F37"/>
    <w:rsid w:val="004E05A8"/>
    <w:rsid w:val="004E0EA5"/>
    <w:rsid w:val="004E1BFE"/>
    <w:rsid w:val="004E28E5"/>
    <w:rsid w:val="004E428A"/>
    <w:rsid w:val="004E496C"/>
    <w:rsid w:val="004E5D46"/>
    <w:rsid w:val="004E5F4E"/>
    <w:rsid w:val="004E69BD"/>
    <w:rsid w:val="004E6A97"/>
    <w:rsid w:val="004E6CDE"/>
    <w:rsid w:val="004E6FF4"/>
    <w:rsid w:val="004E703E"/>
    <w:rsid w:val="004E7628"/>
    <w:rsid w:val="004E7E8D"/>
    <w:rsid w:val="004F0E11"/>
    <w:rsid w:val="004F0E2B"/>
    <w:rsid w:val="004F15E2"/>
    <w:rsid w:val="004F1BBF"/>
    <w:rsid w:val="004F251C"/>
    <w:rsid w:val="004F2542"/>
    <w:rsid w:val="004F2D78"/>
    <w:rsid w:val="004F3B99"/>
    <w:rsid w:val="004F3F1B"/>
    <w:rsid w:val="004F468D"/>
    <w:rsid w:val="004F5709"/>
    <w:rsid w:val="004F58A0"/>
    <w:rsid w:val="004F5DF2"/>
    <w:rsid w:val="004F741C"/>
    <w:rsid w:val="004F74BE"/>
    <w:rsid w:val="004F75DE"/>
    <w:rsid w:val="004F7CF5"/>
    <w:rsid w:val="005000CF"/>
    <w:rsid w:val="005015E8"/>
    <w:rsid w:val="00501CA8"/>
    <w:rsid w:val="00501D23"/>
    <w:rsid w:val="005025EA"/>
    <w:rsid w:val="005030F4"/>
    <w:rsid w:val="005037A8"/>
    <w:rsid w:val="00504564"/>
    <w:rsid w:val="005051A9"/>
    <w:rsid w:val="0050575F"/>
    <w:rsid w:val="00505D64"/>
    <w:rsid w:val="00507D1D"/>
    <w:rsid w:val="00507E21"/>
    <w:rsid w:val="00510041"/>
    <w:rsid w:val="00510F11"/>
    <w:rsid w:val="00511B85"/>
    <w:rsid w:val="00511FBC"/>
    <w:rsid w:val="00512272"/>
    <w:rsid w:val="005130DA"/>
    <w:rsid w:val="0051336F"/>
    <w:rsid w:val="00513864"/>
    <w:rsid w:val="005141DB"/>
    <w:rsid w:val="005148CF"/>
    <w:rsid w:val="00514CDB"/>
    <w:rsid w:val="00514EE2"/>
    <w:rsid w:val="00515043"/>
    <w:rsid w:val="005158DE"/>
    <w:rsid w:val="00515A6A"/>
    <w:rsid w:val="00515E76"/>
    <w:rsid w:val="00516315"/>
    <w:rsid w:val="00516B69"/>
    <w:rsid w:val="0051773C"/>
    <w:rsid w:val="00520699"/>
    <w:rsid w:val="00520CAA"/>
    <w:rsid w:val="00521A8E"/>
    <w:rsid w:val="0052245C"/>
    <w:rsid w:val="00523730"/>
    <w:rsid w:val="00523BE5"/>
    <w:rsid w:val="0052404D"/>
    <w:rsid w:val="00525214"/>
    <w:rsid w:val="00526567"/>
    <w:rsid w:val="005266EC"/>
    <w:rsid w:val="0052752D"/>
    <w:rsid w:val="00527EB7"/>
    <w:rsid w:val="00527F62"/>
    <w:rsid w:val="00530958"/>
    <w:rsid w:val="00531140"/>
    <w:rsid w:val="00532FE1"/>
    <w:rsid w:val="005335E1"/>
    <w:rsid w:val="00533C4F"/>
    <w:rsid w:val="00533D54"/>
    <w:rsid w:val="005340FB"/>
    <w:rsid w:val="0053444F"/>
    <w:rsid w:val="0053475C"/>
    <w:rsid w:val="00534E9D"/>
    <w:rsid w:val="00535065"/>
    <w:rsid w:val="005367F0"/>
    <w:rsid w:val="00537838"/>
    <w:rsid w:val="005378B7"/>
    <w:rsid w:val="00537BBF"/>
    <w:rsid w:val="005407EA"/>
    <w:rsid w:val="00540E15"/>
    <w:rsid w:val="00541031"/>
    <w:rsid w:val="00541330"/>
    <w:rsid w:val="005416DF"/>
    <w:rsid w:val="00541945"/>
    <w:rsid w:val="00541B44"/>
    <w:rsid w:val="00541C0E"/>
    <w:rsid w:val="00543CFC"/>
    <w:rsid w:val="00544873"/>
    <w:rsid w:val="00544D72"/>
    <w:rsid w:val="005450D2"/>
    <w:rsid w:val="00546875"/>
    <w:rsid w:val="00546FEA"/>
    <w:rsid w:val="00547019"/>
    <w:rsid w:val="00547EAE"/>
    <w:rsid w:val="005504A7"/>
    <w:rsid w:val="00550D59"/>
    <w:rsid w:val="00551F60"/>
    <w:rsid w:val="00552693"/>
    <w:rsid w:val="00552E56"/>
    <w:rsid w:val="0055340F"/>
    <w:rsid w:val="00553789"/>
    <w:rsid w:val="00553E58"/>
    <w:rsid w:val="00553F10"/>
    <w:rsid w:val="005540D8"/>
    <w:rsid w:val="005547DC"/>
    <w:rsid w:val="00554F5D"/>
    <w:rsid w:val="0055695F"/>
    <w:rsid w:val="00557309"/>
    <w:rsid w:val="00560A44"/>
    <w:rsid w:val="00560E0B"/>
    <w:rsid w:val="005610B5"/>
    <w:rsid w:val="00561B0F"/>
    <w:rsid w:val="00561BB5"/>
    <w:rsid w:val="005626BF"/>
    <w:rsid w:val="00563022"/>
    <w:rsid w:val="005631BE"/>
    <w:rsid w:val="005637FA"/>
    <w:rsid w:val="0056396A"/>
    <w:rsid w:val="005649F5"/>
    <w:rsid w:val="0056521C"/>
    <w:rsid w:val="005671AA"/>
    <w:rsid w:val="00567250"/>
    <w:rsid w:val="00570870"/>
    <w:rsid w:val="00570CBE"/>
    <w:rsid w:val="00571B29"/>
    <w:rsid w:val="00571C50"/>
    <w:rsid w:val="0057286D"/>
    <w:rsid w:val="00572AD8"/>
    <w:rsid w:val="00572DAF"/>
    <w:rsid w:val="005730C1"/>
    <w:rsid w:val="005733BC"/>
    <w:rsid w:val="005743E1"/>
    <w:rsid w:val="00574C80"/>
    <w:rsid w:val="005752A1"/>
    <w:rsid w:val="00575866"/>
    <w:rsid w:val="00576AA9"/>
    <w:rsid w:val="00576F67"/>
    <w:rsid w:val="00577924"/>
    <w:rsid w:val="0058016D"/>
    <w:rsid w:val="0058093E"/>
    <w:rsid w:val="0058141C"/>
    <w:rsid w:val="00582036"/>
    <w:rsid w:val="0058242B"/>
    <w:rsid w:val="005824E8"/>
    <w:rsid w:val="005824FF"/>
    <w:rsid w:val="005833CB"/>
    <w:rsid w:val="00583905"/>
    <w:rsid w:val="005848B0"/>
    <w:rsid w:val="00585059"/>
    <w:rsid w:val="005850E3"/>
    <w:rsid w:val="00586A43"/>
    <w:rsid w:val="0059009A"/>
    <w:rsid w:val="0059012A"/>
    <w:rsid w:val="00590491"/>
    <w:rsid w:val="00590752"/>
    <w:rsid w:val="00592655"/>
    <w:rsid w:val="00592995"/>
    <w:rsid w:val="00593047"/>
    <w:rsid w:val="005930F0"/>
    <w:rsid w:val="005944B6"/>
    <w:rsid w:val="00594766"/>
    <w:rsid w:val="00595157"/>
    <w:rsid w:val="00595751"/>
    <w:rsid w:val="00596888"/>
    <w:rsid w:val="005976E8"/>
    <w:rsid w:val="0059774C"/>
    <w:rsid w:val="00597EF3"/>
    <w:rsid w:val="005A1F94"/>
    <w:rsid w:val="005A2F95"/>
    <w:rsid w:val="005A366D"/>
    <w:rsid w:val="005A3A05"/>
    <w:rsid w:val="005A3C99"/>
    <w:rsid w:val="005A3D16"/>
    <w:rsid w:val="005A3E46"/>
    <w:rsid w:val="005A40DD"/>
    <w:rsid w:val="005A4CA7"/>
    <w:rsid w:val="005A4EE2"/>
    <w:rsid w:val="005A4F16"/>
    <w:rsid w:val="005A4F2B"/>
    <w:rsid w:val="005A5C97"/>
    <w:rsid w:val="005A6979"/>
    <w:rsid w:val="005A73F8"/>
    <w:rsid w:val="005B010D"/>
    <w:rsid w:val="005B015D"/>
    <w:rsid w:val="005B05AD"/>
    <w:rsid w:val="005B084B"/>
    <w:rsid w:val="005B24E4"/>
    <w:rsid w:val="005B2670"/>
    <w:rsid w:val="005B3084"/>
    <w:rsid w:val="005B375A"/>
    <w:rsid w:val="005B3DCB"/>
    <w:rsid w:val="005B3DD4"/>
    <w:rsid w:val="005B44BC"/>
    <w:rsid w:val="005B50CA"/>
    <w:rsid w:val="005B5648"/>
    <w:rsid w:val="005B571A"/>
    <w:rsid w:val="005B6896"/>
    <w:rsid w:val="005B7232"/>
    <w:rsid w:val="005B75EF"/>
    <w:rsid w:val="005B76EE"/>
    <w:rsid w:val="005C0805"/>
    <w:rsid w:val="005C08A1"/>
    <w:rsid w:val="005C2ACD"/>
    <w:rsid w:val="005C3CA7"/>
    <w:rsid w:val="005C3F37"/>
    <w:rsid w:val="005C47A9"/>
    <w:rsid w:val="005C5251"/>
    <w:rsid w:val="005C5ABC"/>
    <w:rsid w:val="005C661A"/>
    <w:rsid w:val="005C68D7"/>
    <w:rsid w:val="005C72B7"/>
    <w:rsid w:val="005C72DA"/>
    <w:rsid w:val="005C7C36"/>
    <w:rsid w:val="005C7FE6"/>
    <w:rsid w:val="005D2475"/>
    <w:rsid w:val="005D350F"/>
    <w:rsid w:val="005D3969"/>
    <w:rsid w:val="005D3A8A"/>
    <w:rsid w:val="005D4AE0"/>
    <w:rsid w:val="005D66A1"/>
    <w:rsid w:val="005D6A00"/>
    <w:rsid w:val="005D6DFD"/>
    <w:rsid w:val="005E0B03"/>
    <w:rsid w:val="005E11CD"/>
    <w:rsid w:val="005E21CD"/>
    <w:rsid w:val="005E234E"/>
    <w:rsid w:val="005E2D1F"/>
    <w:rsid w:val="005E3000"/>
    <w:rsid w:val="005E3EE0"/>
    <w:rsid w:val="005E4488"/>
    <w:rsid w:val="005E44C4"/>
    <w:rsid w:val="005E4843"/>
    <w:rsid w:val="005E5B6C"/>
    <w:rsid w:val="005E7462"/>
    <w:rsid w:val="005E74BA"/>
    <w:rsid w:val="005E7B72"/>
    <w:rsid w:val="005F08F5"/>
    <w:rsid w:val="005F0A1B"/>
    <w:rsid w:val="005F496B"/>
    <w:rsid w:val="005F4BCF"/>
    <w:rsid w:val="005F5C5A"/>
    <w:rsid w:val="005F5D55"/>
    <w:rsid w:val="005F756F"/>
    <w:rsid w:val="00600491"/>
    <w:rsid w:val="006004F2"/>
    <w:rsid w:val="00601558"/>
    <w:rsid w:val="006024A1"/>
    <w:rsid w:val="00603443"/>
    <w:rsid w:val="006045A1"/>
    <w:rsid w:val="00604677"/>
    <w:rsid w:val="00604D63"/>
    <w:rsid w:val="0060500B"/>
    <w:rsid w:val="00605542"/>
    <w:rsid w:val="00605727"/>
    <w:rsid w:val="00605A6F"/>
    <w:rsid w:val="00605B2F"/>
    <w:rsid w:val="00606091"/>
    <w:rsid w:val="00606BE4"/>
    <w:rsid w:val="00606CBE"/>
    <w:rsid w:val="0061014B"/>
    <w:rsid w:val="00611696"/>
    <w:rsid w:val="006133F2"/>
    <w:rsid w:val="00613568"/>
    <w:rsid w:val="00613A57"/>
    <w:rsid w:val="00613D98"/>
    <w:rsid w:val="00613E43"/>
    <w:rsid w:val="00614BEA"/>
    <w:rsid w:val="00614D68"/>
    <w:rsid w:val="00616C17"/>
    <w:rsid w:val="00616FF6"/>
    <w:rsid w:val="00617CAD"/>
    <w:rsid w:val="0062055F"/>
    <w:rsid w:val="006206D1"/>
    <w:rsid w:val="0062087A"/>
    <w:rsid w:val="006211B3"/>
    <w:rsid w:val="0062145A"/>
    <w:rsid w:val="00623421"/>
    <w:rsid w:val="00623B83"/>
    <w:rsid w:val="00624875"/>
    <w:rsid w:val="0062536E"/>
    <w:rsid w:val="006262D2"/>
    <w:rsid w:val="00627C94"/>
    <w:rsid w:val="00631D89"/>
    <w:rsid w:val="006337C8"/>
    <w:rsid w:val="00633D50"/>
    <w:rsid w:val="00634C88"/>
    <w:rsid w:val="00635512"/>
    <w:rsid w:val="00636A2A"/>
    <w:rsid w:val="00636E14"/>
    <w:rsid w:val="00636E8D"/>
    <w:rsid w:val="00636F91"/>
    <w:rsid w:val="00637CAB"/>
    <w:rsid w:val="00640D44"/>
    <w:rsid w:val="00642439"/>
    <w:rsid w:val="0064243C"/>
    <w:rsid w:val="00642553"/>
    <w:rsid w:val="00642F62"/>
    <w:rsid w:val="00644008"/>
    <w:rsid w:val="00644042"/>
    <w:rsid w:val="006449D9"/>
    <w:rsid w:val="00644A74"/>
    <w:rsid w:val="00645C35"/>
    <w:rsid w:val="00645CC5"/>
    <w:rsid w:val="006468EC"/>
    <w:rsid w:val="00646B4F"/>
    <w:rsid w:val="00647388"/>
    <w:rsid w:val="00647407"/>
    <w:rsid w:val="00647A4C"/>
    <w:rsid w:val="00647C6B"/>
    <w:rsid w:val="00647D1E"/>
    <w:rsid w:val="00650912"/>
    <w:rsid w:val="006515CA"/>
    <w:rsid w:val="00651737"/>
    <w:rsid w:val="00652006"/>
    <w:rsid w:val="006523C6"/>
    <w:rsid w:val="00653558"/>
    <w:rsid w:val="00653BCD"/>
    <w:rsid w:val="006542FC"/>
    <w:rsid w:val="006543C5"/>
    <w:rsid w:val="006547F7"/>
    <w:rsid w:val="006567EC"/>
    <w:rsid w:val="00656921"/>
    <w:rsid w:val="00656A09"/>
    <w:rsid w:val="00656FAD"/>
    <w:rsid w:val="006577B6"/>
    <w:rsid w:val="006601BD"/>
    <w:rsid w:val="006604F8"/>
    <w:rsid w:val="00660CA4"/>
    <w:rsid w:val="0066173E"/>
    <w:rsid w:val="00661A01"/>
    <w:rsid w:val="00661BB6"/>
    <w:rsid w:val="00662F06"/>
    <w:rsid w:val="00662F55"/>
    <w:rsid w:val="006642C3"/>
    <w:rsid w:val="006655CE"/>
    <w:rsid w:val="00666100"/>
    <w:rsid w:val="00666C5A"/>
    <w:rsid w:val="00667008"/>
    <w:rsid w:val="00667D6D"/>
    <w:rsid w:val="00672813"/>
    <w:rsid w:val="00672889"/>
    <w:rsid w:val="00672946"/>
    <w:rsid w:val="00673B30"/>
    <w:rsid w:val="00673D4B"/>
    <w:rsid w:val="00676128"/>
    <w:rsid w:val="00676B6B"/>
    <w:rsid w:val="0067702D"/>
    <w:rsid w:val="00677061"/>
    <w:rsid w:val="006775DE"/>
    <w:rsid w:val="0067785D"/>
    <w:rsid w:val="00677BF8"/>
    <w:rsid w:val="006804D0"/>
    <w:rsid w:val="0068059B"/>
    <w:rsid w:val="006807D7"/>
    <w:rsid w:val="00682186"/>
    <w:rsid w:val="006826C4"/>
    <w:rsid w:val="00683BE7"/>
    <w:rsid w:val="00683F28"/>
    <w:rsid w:val="00684198"/>
    <w:rsid w:val="006845AE"/>
    <w:rsid w:val="00684844"/>
    <w:rsid w:val="00684902"/>
    <w:rsid w:val="006854B5"/>
    <w:rsid w:val="00685869"/>
    <w:rsid w:val="00686E6D"/>
    <w:rsid w:val="006876BF"/>
    <w:rsid w:val="00690748"/>
    <w:rsid w:val="00690A19"/>
    <w:rsid w:val="00690FC7"/>
    <w:rsid w:val="00691AB7"/>
    <w:rsid w:val="00692AE5"/>
    <w:rsid w:val="00694208"/>
    <w:rsid w:val="0069422A"/>
    <w:rsid w:val="00694258"/>
    <w:rsid w:val="006978BF"/>
    <w:rsid w:val="006A09E6"/>
    <w:rsid w:val="006A124B"/>
    <w:rsid w:val="006A3E92"/>
    <w:rsid w:val="006A56A8"/>
    <w:rsid w:val="006A59D6"/>
    <w:rsid w:val="006A645B"/>
    <w:rsid w:val="006A713F"/>
    <w:rsid w:val="006A726B"/>
    <w:rsid w:val="006A72E5"/>
    <w:rsid w:val="006A7813"/>
    <w:rsid w:val="006B07D3"/>
    <w:rsid w:val="006B1488"/>
    <w:rsid w:val="006B15E5"/>
    <w:rsid w:val="006B28ED"/>
    <w:rsid w:val="006B36E4"/>
    <w:rsid w:val="006B3853"/>
    <w:rsid w:val="006B3D00"/>
    <w:rsid w:val="006B4522"/>
    <w:rsid w:val="006B4ECF"/>
    <w:rsid w:val="006B54FF"/>
    <w:rsid w:val="006B5677"/>
    <w:rsid w:val="006B6434"/>
    <w:rsid w:val="006B6AB2"/>
    <w:rsid w:val="006B7A1E"/>
    <w:rsid w:val="006B7D0A"/>
    <w:rsid w:val="006C0764"/>
    <w:rsid w:val="006C0790"/>
    <w:rsid w:val="006C08F7"/>
    <w:rsid w:val="006C0B56"/>
    <w:rsid w:val="006C0D43"/>
    <w:rsid w:val="006C15C0"/>
    <w:rsid w:val="006C18BA"/>
    <w:rsid w:val="006C19DF"/>
    <w:rsid w:val="006C2165"/>
    <w:rsid w:val="006C25F3"/>
    <w:rsid w:val="006C28C0"/>
    <w:rsid w:val="006C3707"/>
    <w:rsid w:val="006C41A5"/>
    <w:rsid w:val="006C4A8B"/>
    <w:rsid w:val="006C4C6B"/>
    <w:rsid w:val="006C4E3D"/>
    <w:rsid w:val="006C5F9B"/>
    <w:rsid w:val="006C6863"/>
    <w:rsid w:val="006C6C6E"/>
    <w:rsid w:val="006C70BD"/>
    <w:rsid w:val="006C7295"/>
    <w:rsid w:val="006C7761"/>
    <w:rsid w:val="006C791F"/>
    <w:rsid w:val="006D1016"/>
    <w:rsid w:val="006D1532"/>
    <w:rsid w:val="006D1AA6"/>
    <w:rsid w:val="006D2573"/>
    <w:rsid w:val="006D320E"/>
    <w:rsid w:val="006D36CF"/>
    <w:rsid w:val="006D3EF9"/>
    <w:rsid w:val="006D48BF"/>
    <w:rsid w:val="006D4CB6"/>
    <w:rsid w:val="006D5AD7"/>
    <w:rsid w:val="006D6AEC"/>
    <w:rsid w:val="006D74DD"/>
    <w:rsid w:val="006D7DFE"/>
    <w:rsid w:val="006E015E"/>
    <w:rsid w:val="006E0652"/>
    <w:rsid w:val="006E0DC8"/>
    <w:rsid w:val="006E1685"/>
    <w:rsid w:val="006E16E0"/>
    <w:rsid w:val="006E28C7"/>
    <w:rsid w:val="006E2CA1"/>
    <w:rsid w:val="006E44A6"/>
    <w:rsid w:val="006E4D7A"/>
    <w:rsid w:val="006E54E8"/>
    <w:rsid w:val="006E659F"/>
    <w:rsid w:val="006E66D9"/>
    <w:rsid w:val="006E68F4"/>
    <w:rsid w:val="006E6BBE"/>
    <w:rsid w:val="006E6E4A"/>
    <w:rsid w:val="006E712C"/>
    <w:rsid w:val="006E7373"/>
    <w:rsid w:val="006E7E95"/>
    <w:rsid w:val="006F0364"/>
    <w:rsid w:val="006F056D"/>
    <w:rsid w:val="006F0D3E"/>
    <w:rsid w:val="006F22D1"/>
    <w:rsid w:val="006F2ED2"/>
    <w:rsid w:val="006F2F18"/>
    <w:rsid w:val="006F3A89"/>
    <w:rsid w:val="006F3D0F"/>
    <w:rsid w:val="006F436C"/>
    <w:rsid w:val="006F4B8A"/>
    <w:rsid w:val="006F51F0"/>
    <w:rsid w:val="006F6228"/>
    <w:rsid w:val="006F7341"/>
    <w:rsid w:val="006F7551"/>
    <w:rsid w:val="006F7924"/>
    <w:rsid w:val="00703EE2"/>
    <w:rsid w:val="007049F4"/>
    <w:rsid w:val="00704B1B"/>
    <w:rsid w:val="0070509C"/>
    <w:rsid w:val="00705515"/>
    <w:rsid w:val="007060F1"/>
    <w:rsid w:val="00706CB7"/>
    <w:rsid w:val="0071166F"/>
    <w:rsid w:val="00711B89"/>
    <w:rsid w:val="00712B16"/>
    <w:rsid w:val="0071310E"/>
    <w:rsid w:val="00713435"/>
    <w:rsid w:val="007135B7"/>
    <w:rsid w:val="007144AC"/>
    <w:rsid w:val="00714F70"/>
    <w:rsid w:val="007152D5"/>
    <w:rsid w:val="00715A0E"/>
    <w:rsid w:val="007167AB"/>
    <w:rsid w:val="00716896"/>
    <w:rsid w:val="007168D9"/>
    <w:rsid w:val="00716AF3"/>
    <w:rsid w:val="00720DF1"/>
    <w:rsid w:val="0072198B"/>
    <w:rsid w:val="007226AD"/>
    <w:rsid w:val="00722A0B"/>
    <w:rsid w:val="0072463E"/>
    <w:rsid w:val="007247CB"/>
    <w:rsid w:val="007248EF"/>
    <w:rsid w:val="00727FA2"/>
    <w:rsid w:val="0073000E"/>
    <w:rsid w:val="007300A9"/>
    <w:rsid w:val="007318FB"/>
    <w:rsid w:val="00731FD0"/>
    <w:rsid w:val="00733DBD"/>
    <w:rsid w:val="00734279"/>
    <w:rsid w:val="00734C12"/>
    <w:rsid w:val="007363D2"/>
    <w:rsid w:val="0073682D"/>
    <w:rsid w:val="00736895"/>
    <w:rsid w:val="00736DE4"/>
    <w:rsid w:val="007374A6"/>
    <w:rsid w:val="007374EB"/>
    <w:rsid w:val="007377BE"/>
    <w:rsid w:val="007378D7"/>
    <w:rsid w:val="00737923"/>
    <w:rsid w:val="00737E1C"/>
    <w:rsid w:val="00740A92"/>
    <w:rsid w:val="00740D9F"/>
    <w:rsid w:val="007413C8"/>
    <w:rsid w:val="00741AAC"/>
    <w:rsid w:val="00741F29"/>
    <w:rsid w:val="0074245B"/>
    <w:rsid w:val="00742B54"/>
    <w:rsid w:val="00742F9B"/>
    <w:rsid w:val="00743516"/>
    <w:rsid w:val="00743A39"/>
    <w:rsid w:val="00745542"/>
    <w:rsid w:val="0074728D"/>
    <w:rsid w:val="00747A81"/>
    <w:rsid w:val="00747B4A"/>
    <w:rsid w:val="00751E59"/>
    <w:rsid w:val="007529F4"/>
    <w:rsid w:val="00752C5F"/>
    <w:rsid w:val="00754221"/>
    <w:rsid w:val="007545DD"/>
    <w:rsid w:val="00754A26"/>
    <w:rsid w:val="00754BC7"/>
    <w:rsid w:val="00756116"/>
    <w:rsid w:val="00756929"/>
    <w:rsid w:val="00756D48"/>
    <w:rsid w:val="00756DE8"/>
    <w:rsid w:val="007602AE"/>
    <w:rsid w:val="007609B5"/>
    <w:rsid w:val="00760C08"/>
    <w:rsid w:val="00761384"/>
    <w:rsid w:val="007613B2"/>
    <w:rsid w:val="007620F5"/>
    <w:rsid w:val="00762C2D"/>
    <w:rsid w:val="007655A0"/>
    <w:rsid w:val="007656A2"/>
    <w:rsid w:val="00765AB7"/>
    <w:rsid w:val="00765E77"/>
    <w:rsid w:val="00766EE6"/>
    <w:rsid w:val="0077081B"/>
    <w:rsid w:val="00770C7F"/>
    <w:rsid w:val="007720AB"/>
    <w:rsid w:val="00772EE1"/>
    <w:rsid w:val="0077345F"/>
    <w:rsid w:val="007735DC"/>
    <w:rsid w:val="00773E8A"/>
    <w:rsid w:val="00774198"/>
    <w:rsid w:val="00774343"/>
    <w:rsid w:val="00774862"/>
    <w:rsid w:val="00775EAE"/>
    <w:rsid w:val="007763C8"/>
    <w:rsid w:val="007765D8"/>
    <w:rsid w:val="007775AB"/>
    <w:rsid w:val="0078076B"/>
    <w:rsid w:val="00780E8C"/>
    <w:rsid w:val="00784449"/>
    <w:rsid w:val="00784483"/>
    <w:rsid w:val="0078567E"/>
    <w:rsid w:val="00785B3B"/>
    <w:rsid w:val="00785BFD"/>
    <w:rsid w:val="0078694E"/>
    <w:rsid w:val="00786B42"/>
    <w:rsid w:val="0078735C"/>
    <w:rsid w:val="007904A7"/>
    <w:rsid w:val="00791650"/>
    <w:rsid w:val="00791AB2"/>
    <w:rsid w:val="0079282B"/>
    <w:rsid w:val="0079282F"/>
    <w:rsid w:val="00792FFB"/>
    <w:rsid w:val="00793A84"/>
    <w:rsid w:val="00793D84"/>
    <w:rsid w:val="007947D7"/>
    <w:rsid w:val="00794C35"/>
    <w:rsid w:val="00794CA9"/>
    <w:rsid w:val="0079586A"/>
    <w:rsid w:val="007966DC"/>
    <w:rsid w:val="00797D09"/>
    <w:rsid w:val="00797F4D"/>
    <w:rsid w:val="007A04B6"/>
    <w:rsid w:val="007A086F"/>
    <w:rsid w:val="007A0ABC"/>
    <w:rsid w:val="007A2234"/>
    <w:rsid w:val="007A2306"/>
    <w:rsid w:val="007A292F"/>
    <w:rsid w:val="007A2B95"/>
    <w:rsid w:val="007A33E1"/>
    <w:rsid w:val="007A350B"/>
    <w:rsid w:val="007A41F8"/>
    <w:rsid w:val="007A4220"/>
    <w:rsid w:val="007A640C"/>
    <w:rsid w:val="007A6A10"/>
    <w:rsid w:val="007A7FDD"/>
    <w:rsid w:val="007B13B3"/>
    <w:rsid w:val="007B170F"/>
    <w:rsid w:val="007B27A8"/>
    <w:rsid w:val="007B2E76"/>
    <w:rsid w:val="007B413F"/>
    <w:rsid w:val="007B48D0"/>
    <w:rsid w:val="007B5211"/>
    <w:rsid w:val="007B61EC"/>
    <w:rsid w:val="007B79F8"/>
    <w:rsid w:val="007B7EF6"/>
    <w:rsid w:val="007C07DF"/>
    <w:rsid w:val="007C0A35"/>
    <w:rsid w:val="007C0A9D"/>
    <w:rsid w:val="007C120A"/>
    <w:rsid w:val="007C13F1"/>
    <w:rsid w:val="007C1972"/>
    <w:rsid w:val="007C1AC0"/>
    <w:rsid w:val="007C4BF0"/>
    <w:rsid w:val="007C52FD"/>
    <w:rsid w:val="007C5645"/>
    <w:rsid w:val="007C6066"/>
    <w:rsid w:val="007C76C0"/>
    <w:rsid w:val="007C7B67"/>
    <w:rsid w:val="007D03E9"/>
    <w:rsid w:val="007D1D44"/>
    <w:rsid w:val="007D2888"/>
    <w:rsid w:val="007D3B45"/>
    <w:rsid w:val="007D3F1B"/>
    <w:rsid w:val="007D4306"/>
    <w:rsid w:val="007D4B09"/>
    <w:rsid w:val="007D4F4D"/>
    <w:rsid w:val="007D55A2"/>
    <w:rsid w:val="007D57D2"/>
    <w:rsid w:val="007D5872"/>
    <w:rsid w:val="007D5A3C"/>
    <w:rsid w:val="007D681E"/>
    <w:rsid w:val="007D796A"/>
    <w:rsid w:val="007E035A"/>
    <w:rsid w:val="007E0900"/>
    <w:rsid w:val="007E2EE0"/>
    <w:rsid w:val="007E367F"/>
    <w:rsid w:val="007E396A"/>
    <w:rsid w:val="007E406F"/>
    <w:rsid w:val="007E4690"/>
    <w:rsid w:val="007E5199"/>
    <w:rsid w:val="007E63EB"/>
    <w:rsid w:val="007E6C8A"/>
    <w:rsid w:val="007E7153"/>
    <w:rsid w:val="007E7704"/>
    <w:rsid w:val="007F0454"/>
    <w:rsid w:val="007F06A8"/>
    <w:rsid w:val="007F0A7F"/>
    <w:rsid w:val="007F16B1"/>
    <w:rsid w:val="007F1AF3"/>
    <w:rsid w:val="007F1D34"/>
    <w:rsid w:val="007F3483"/>
    <w:rsid w:val="007F366E"/>
    <w:rsid w:val="007F39DA"/>
    <w:rsid w:val="007F41B5"/>
    <w:rsid w:val="007F449C"/>
    <w:rsid w:val="007F4EA8"/>
    <w:rsid w:val="007F5054"/>
    <w:rsid w:val="007F51C9"/>
    <w:rsid w:val="007F61E3"/>
    <w:rsid w:val="007F6B25"/>
    <w:rsid w:val="007F6F95"/>
    <w:rsid w:val="007F7F22"/>
    <w:rsid w:val="00800614"/>
    <w:rsid w:val="00800B98"/>
    <w:rsid w:val="008010BB"/>
    <w:rsid w:val="008013EA"/>
    <w:rsid w:val="00801E9E"/>
    <w:rsid w:val="0080228E"/>
    <w:rsid w:val="00802A6B"/>
    <w:rsid w:val="00802F00"/>
    <w:rsid w:val="00802F7D"/>
    <w:rsid w:val="00803334"/>
    <w:rsid w:val="008033F2"/>
    <w:rsid w:val="008040FA"/>
    <w:rsid w:val="008045B5"/>
    <w:rsid w:val="00804964"/>
    <w:rsid w:val="00804EF3"/>
    <w:rsid w:val="00805F43"/>
    <w:rsid w:val="008060FB"/>
    <w:rsid w:val="0080624D"/>
    <w:rsid w:val="00806CCF"/>
    <w:rsid w:val="0080730E"/>
    <w:rsid w:val="00807D57"/>
    <w:rsid w:val="00807FE5"/>
    <w:rsid w:val="0081099E"/>
    <w:rsid w:val="008113D6"/>
    <w:rsid w:val="008119D3"/>
    <w:rsid w:val="008128EC"/>
    <w:rsid w:val="008134BD"/>
    <w:rsid w:val="00814190"/>
    <w:rsid w:val="008152E4"/>
    <w:rsid w:val="00815721"/>
    <w:rsid w:val="00817075"/>
    <w:rsid w:val="008173FB"/>
    <w:rsid w:val="00817C13"/>
    <w:rsid w:val="00820F41"/>
    <w:rsid w:val="00821570"/>
    <w:rsid w:val="00821C49"/>
    <w:rsid w:val="00821C5A"/>
    <w:rsid w:val="0082222D"/>
    <w:rsid w:val="00823A58"/>
    <w:rsid w:val="00823C98"/>
    <w:rsid w:val="00824935"/>
    <w:rsid w:val="00825843"/>
    <w:rsid w:val="008259C9"/>
    <w:rsid w:val="00826640"/>
    <w:rsid w:val="0082683B"/>
    <w:rsid w:val="008268EB"/>
    <w:rsid w:val="00826AE8"/>
    <w:rsid w:val="00826C63"/>
    <w:rsid w:val="0082742C"/>
    <w:rsid w:val="0082753E"/>
    <w:rsid w:val="0083093E"/>
    <w:rsid w:val="00830BEC"/>
    <w:rsid w:val="00832051"/>
    <w:rsid w:val="00832154"/>
    <w:rsid w:val="00832FC0"/>
    <w:rsid w:val="00833233"/>
    <w:rsid w:val="00834B61"/>
    <w:rsid w:val="008379F6"/>
    <w:rsid w:val="00837AE8"/>
    <w:rsid w:val="0084033C"/>
    <w:rsid w:val="00840F83"/>
    <w:rsid w:val="008420FF"/>
    <w:rsid w:val="008462CE"/>
    <w:rsid w:val="00847997"/>
    <w:rsid w:val="008513EB"/>
    <w:rsid w:val="00851951"/>
    <w:rsid w:val="00852B20"/>
    <w:rsid w:val="00852E02"/>
    <w:rsid w:val="00853190"/>
    <w:rsid w:val="0085348B"/>
    <w:rsid w:val="00854731"/>
    <w:rsid w:val="00854A4F"/>
    <w:rsid w:val="00854B32"/>
    <w:rsid w:val="008553AA"/>
    <w:rsid w:val="00855954"/>
    <w:rsid w:val="00855AE5"/>
    <w:rsid w:val="00855BE8"/>
    <w:rsid w:val="00855F4A"/>
    <w:rsid w:val="00856339"/>
    <w:rsid w:val="0085659F"/>
    <w:rsid w:val="0085665F"/>
    <w:rsid w:val="00860047"/>
    <w:rsid w:val="008609D2"/>
    <w:rsid w:val="008609DF"/>
    <w:rsid w:val="0086494F"/>
    <w:rsid w:val="0086512F"/>
    <w:rsid w:val="00865905"/>
    <w:rsid w:val="00865BF0"/>
    <w:rsid w:val="00866087"/>
    <w:rsid w:val="00866107"/>
    <w:rsid w:val="0086623C"/>
    <w:rsid w:val="0086725B"/>
    <w:rsid w:val="00870EA4"/>
    <w:rsid w:val="00872BE5"/>
    <w:rsid w:val="00873784"/>
    <w:rsid w:val="00873F4D"/>
    <w:rsid w:val="00876505"/>
    <w:rsid w:val="0088062E"/>
    <w:rsid w:val="00880DAF"/>
    <w:rsid w:val="008821D7"/>
    <w:rsid w:val="0088261A"/>
    <w:rsid w:val="00882798"/>
    <w:rsid w:val="00883AA0"/>
    <w:rsid w:val="00885358"/>
    <w:rsid w:val="008857F5"/>
    <w:rsid w:val="00885847"/>
    <w:rsid w:val="00886E21"/>
    <w:rsid w:val="00886E73"/>
    <w:rsid w:val="008911A4"/>
    <w:rsid w:val="008920F9"/>
    <w:rsid w:val="008934D5"/>
    <w:rsid w:val="008941F4"/>
    <w:rsid w:val="00894415"/>
    <w:rsid w:val="008953E5"/>
    <w:rsid w:val="00896702"/>
    <w:rsid w:val="00897001"/>
    <w:rsid w:val="008972CB"/>
    <w:rsid w:val="00897B64"/>
    <w:rsid w:val="008A0364"/>
    <w:rsid w:val="008A09B1"/>
    <w:rsid w:val="008A1057"/>
    <w:rsid w:val="008A2141"/>
    <w:rsid w:val="008A3D64"/>
    <w:rsid w:val="008A4161"/>
    <w:rsid w:val="008A5D71"/>
    <w:rsid w:val="008A5DCA"/>
    <w:rsid w:val="008A6690"/>
    <w:rsid w:val="008A75B0"/>
    <w:rsid w:val="008B001D"/>
    <w:rsid w:val="008B0E3C"/>
    <w:rsid w:val="008B2085"/>
    <w:rsid w:val="008B24FD"/>
    <w:rsid w:val="008B393F"/>
    <w:rsid w:val="008B3E7C"/>
    <w:rsid w:val="008B3FC6"/>
    <w:rsid w:val="008B4058"/>
    <w:rsid w:val="008B4C53"/>
    <w:rsid w:val="008B5E63"/>
    <w:rsid w:val="008B7551"/>
    <w:rsid w:val="008B7C4F"/>
    <w:rsid w:val="008C0BD7"/>
    <w:rsid w:val="008C0C5C"/>
    <w:rsid w:val="008C129C"/>
    <w:rsid w:val="008C1A43"/>
    <w:rsid w:val="008C2844"/>
    <w:rsid w:val="008C2EB5"/>
    <w:rsid w:val="008C30F0"/>
    <w:rsid w:val="008C344C"/>
    <w:rsid w:val="008C35AB"/>
    <w:rsid w:val="008C3AF5"/>
    <w:rsid w:val="008C4142"/>
    <w:rsid w:val="008C41BE"/>
    <w:rsid w:val="008C5532"/>
    <w:rsid w:val="008C5DB0"/>
    <w:rsid w:val="008C5E9A"/>
    <w:rsid w:val="008C6423"/>
    <w:rsid w:val="008C6A03"/>
    <w:rsid w:val="008C7FDE"/>
    <w:rsid w:val="008D0748"/>
    <w:rsid w:val="008D0B38"/>
    <w:rsid w:val="008D16AB"/>
    <w:rsid w:val="008D3469"/>
    <w:rsid w:val="008D3846"/>
    <w:rsid w:val="008D44BA"/>
    <w:rsid w:val="008D5890"/>
    <w:rsid w:val="008D6318"/>
    <w:rsid w:val="008D67B6"/>
    <w:rsid w:val="008D79BD"/>
    <w:rsid w:val="008E0951"/>
    <w:rsid w:val="008E1BE0"/>
    <w:rsid w:val="008E1E56"/>
    <w:rsid w:val="008E3688"/>
    <w:rsid w:val="008E3AA6"/>
    <w:rsid w:val="008E46C3"/>
    <w:rsid w:val="008E4859"/>
    <w:rsid w:val="008E4CCD"/>
    <w:rsid w:val="008E4CF1"/>
    <w:rsid w:val="008E52DB"/>
    <w:rsid w:val="008E5E49"/>
    <w:rsid w:val="008E5E62"/>
    <w:rsid w:val="008E6004"/>
    <w:rsid w:val="008E6941"/>
    <w:rsid w:val="008E785D"/>
    <w:rsid w:val="008F1284"/>
    <w:rsid w:val="008F151A"/>
    <w:rsid w:val="008F172A"/>
    <w:rsid w:val="008F24C6"/>
    <w:rsid w:val="008F2762"/>
    <w:rsid w:val="008F328D"/>
    <w:rsid w:val="008F3512"/>
    <w:rsid w:val="008F3589"/>
    <w:rsid w:val="008F4048"/>
    <w:rsid w:val="008F406B"/>
    <w:rsid w:val="008F406E"/>
    <w:rsid w:val="008F4814"/>
    <w:rsid w:val="008F54FA"/>
    <w:rsid w:val="008F5DD1"/>
    <w:rsid w:val="008F60EA"/>
    <w:rsid w:val="008F6A7F"/>
    <w:rsid w:val="008F7A57"/>
    <w:rsid w:val="00900467"/>
    <w:rsid w:val="009008DB"/>
    <w:rsid w:val="00901287"/>
    <w:rsid w:val="00901BDD"/>
    <w:rsid w:val="00901E42"/>
    <w:rsid w:val="00902119"/>
    <w:rsid w:val="009023F7"/>
    <w:rsid w:val="009031BD"/>
    <w:rsid w:val="00903698"/>
    <w:rsid w:val="009036DD"/>
    <w:rsid w:val="00904BF2"/>
    <w:rsid w:val="009058CB"/>
    <w:rsid w:val="0090719B"/>
    <w:rsid w:val="0091015F"/>
    <w:rsid w:val="00910681"/>
    <w:rsid w:val="00910F36"/>
    <w:rsid w:val="00912034"/>
    <w:rsid w:val="00912469"/>
    <w:rsid w:val="00912F69"/>
    <w:rsid w:val="00913641"/>
    <w:rsid w:val="00914AA3"/>
    <w:rsid w:val="00915AF0"/>
    <w:rsid w:val="009160CA"/>
    <w:rsid w:val="009165F9"/>
    <w:rsid w:val="00917AEF"/>
    <w:rsid w:val="00917E2B"/>
    <w:rsid w:val="00917E8B"/>
    <w:rsid w:val="00921633"/>
    <w:rsid w:val="009217D5"/>
    <w:rsid w:val="0092228E"/>
    <w:rsid w:val="009225BF"/>
    <w:rsid w:val="00922EC2"/>
    <w:rsid w:val="009251DF"/>
    <w:rsid w:val="0092544F"/>
    <w:rsid w:val="00926385"/>
    <w:rsid w:val="00926978"/>
    <w:rsid w:val="00927776"/>
    <w:rsid w:val="00927E09"/>
    <w:rsid w:val="00927F44"/>
    <w:rsid w:val="00930339"/>
    <w:rsid w:val="00930E6E"/>
    <w:rsid w:val="0093252A"/>
    <w:rsid w:val="00933698"/>
    <w:rsid w:val="00934977"/>
    <w:rsid w:val="00935A70"/>
    <w:rsid w:val="00935CA8"/>
    <w:rsid w:val="00936BF1"/>
    <w:rsid w:val="009378DE"/>
    <w:rsid w:val="00940BC4"/>
    <w:rsid w:val="00940BDB"/>
    <w:rsid w:val="00942C92"/>
    <w:rsid w:val="00943958"/>
    <w:rsid w:val="00943FDA"/>
    <w:rsid w:val="009446E4"/>
    <w:rsid w:val="0094479D"/>
    <w:rsid w:val="00944BD0"/>
    <w:rsid w:val="0094540E"/>
    <w:rsid w:val="00945822"/>
    <w:rsid w:val="00945A25"/>
    <w:rsid w:val="00946301"/>
    <w:rsid w:val="0094648E"/>
    <w:rsid w:val="00946CE7"/>
    <w:rsid w:val="00947CDA"/>
    <w:rsid w:val="009509A8"/>
    <w:rsid w:val="00950F6D"/>
    <w:rsid w:val="009528E3"/>
    <w:rsid w:val="00953324"/>
    <w:rsid w:val="009541D7"/>
    <w:rsid w:val="00954BDF"/>
    <w:rsid w:val="00954FA4"/>
    <w:rsid w:val="00955A03"/>
    <w:rsid w:val="00957CD7"/>
    <w:rsid w:val="00957CFD"/>
    <w:rsid w:val="00960710"/>
    <w:rsid w:val="0096311E"/>
    <w:rsid w:val="00963445"/>
    <w:rsid w:val="009666FB"/>
    <w:rsid w:val="00966BB3"/>
    <w:rsid w:val="00967561"/>
    <w:rsid w:val="00967969"/>
    <w:rsid w:val="00967E5B"/>
    <w:rsid w:val="00973407"/>
    <w:rsid w:val="0097365F"/>
    <w:rsid w:val="00973787"/>
    <w:rsid w:val="00973881"/>
    <w:rsid w:val="009751BB"/>
    <w:rsid w:val="009759AA"/>
    <w:rsid w:val="00975E9F"/>
    <w:rsid w:val="00976BAA"/>
    <w:rsid w:val="00976DDC"/>
    <w:rsid w:val="00977396"/>
    <w:rsid w:val="00977859"/>
    <w:rsid w:val="00977929"/>
    <w:rsid w:val="00977F43"/>
    <w:rsid w:val="009803C3"/>
    <w:rsid w:val="009809E6"/>
    <w:rsid w:val="009812AF"/>
    <w:rsid w:val="00981B65"/>
    <w:rsid w:val="00981C51"/>
    <w:rsid w:val="009820D8"/>
    <w:rsid w:val="00982B00"/>
    <w:rsid w:val="00983066"/>
    <w:rsid w:val="00983293"/>
    <w:rsid w:val="00983F7D"/>
    <w:rsid w:val="00983FA8"/>
    <w:rsid w:val="00984D23"/>
    <w:rsid w:val="00985441"/>
    <w:rsid w:val="0098556C"/>
    <w:rsid w:val="00986410"/>
    <w:rsid w:val="009869D2"/>
    <w:rsid w:val="00986D12"/>
    <w:rsid w:val="00986D63"/>
    <w:rsid w:val="00986FD5"/>
    <w:rsid w:val="00987FC4"/>
    <w:rsid w:val="009902F1"/>
    <w:rsid w:val="009907E7"/>
    <w:rsid w:val="00990D27"/>
    <w:rsid w:val="0099134C"/>
    <w:rsid w:val="00991363"/>
    <w:rsid w:val="009915A9"/>
    <w:rsid w:val="00991EAF"/>
    <w:rsid w:val="00992E98"/>
    <w:rsid w:val="0099378E"/>
    <w:rsid w:val="00993D88"/>
    <w:rsid w:val="00994212"/>
    <w:rsid w:val="00994D0E"/>
    <w:rsid w:val="0099524A"/>
    <w:rsid w:val="009960EE"/>
    <w:rsid w:val="00996E91"/>
    <w:rsid w:val="00997092"/>
    <w:rsid w:val="009970CC"/>
    <w:rsid w:val="00997257"/>
    <w:rsid w:val="0099754B"/>
    <w:rsid w:val="009A02C7"/>
    <w:rsid w:val="009A0792"/>
    <w:rsid w:val="009A0D28"/>
    <w:rsid w:val="009A1AAA"/>
    <w:rsid w:val="009A25F2"/>
    <w:rsid w:val="009A27CF"/>
    <w:rsid w:val="009A288F"/>
    <w:rsid w:val="009A3B2C"/>
    <w:rsid w:val="009A52B2"/>
    <w:rsid w:val="009A6DA8"/>
    <w:rsid w:val="009A7867"/>
    <w:rsid w:val="009A7A9A"/>
    <w:rsid w:val="009A7CB0"/>
    <w:rsid w:val="009B0400"/>
    <w:rsid w:val="009B0757"/>
    <w:rsid w:val="009B1056"/>
    <w:rsid w:val="009B28A7"/>
    <w:rsid w:val="009B3FE7"/>
    <w:rsid w:val="009B4653"/>
    <w:rsid w:val="009B56F5"/>
    <w:rsid w:val="009B5DCD"/>
    <w:rsid w:val="009B77A0"/>
    <w:rsid w:val="009B7D2D"/>
    <w:rsid w:val="009C05BA"/>
    <w:rsid w:val="009C108C"/>
    <w:rsid w:val="009C10A1"/>
    <w:rsid w:val="009C329E"/>
    <w:rsid w:val="009C336C"/>
    <w:rsid w:val="009C3647"/>
    <w:rsid w:val="009C4A27"/>
    <w:rsid w:val="009C4EFF"/>
    <w:rsid w:val="009C588D"/>
    <w:rsid w:val="009C5F99"/>
    <w:rsid w:val="009C66C7"/>
    <w:rsid w:val="009C6BE0"/>
    <w:rsid w:val="009C7A2B"/>
    <w:rsid w:val="009C7D2C"/>
    <w:rsid w:val="009D11F0"/>
    <w:rsid w:val="009D1268"/>
    <w:rsid w:val="009D15DA"/>
    <w:rsid w:val="009D17D8"/>
    <w:rsid w:val="009D1F27"/>
    <w:rsid w:val="009D23BB"/>
    <w:rsid w:val="009D2853"/>
    <w:rsid w:val="009D365C"/>
    <w:rsid w:val="009D5660"/>
    <w:rsid w:val="009D5F34"/>
    <w:rsid w:val="009D65D7"/>
    <w:rsid w:val="009D6A2A"/>
    <w:rsid w:val="009D7A16"/>
    <w:rsid w:val="009E0A94"/>
    <w:rsid w:val="009E11E9"/>
    <w:rsid w:val="009E1F77"/>
    <w:rsid w:val="009E2EA6"/>
    <w:rsid w:val="009E36FA"/>
    <w:rsid w:val="009E3C14"/>
    <w:rsid w:val="009E48F3"/>
    <w:rsid w:val="009E5260"/>
    <w:rsid w:val="009E7F9E"/>
    <w:rsid w:val="009F044A"/>
    <w:rsid w:val="009F1817"/>
    <w:rsid w:val="009F1E3D"/>
    <w:rsid w:val="009F30D0"/>
    <w:rsid w:val="009F34F4"/>
    <w:rsid w:val="009F417E"/>
    <w:rsid w:val="009F469B"/>
    <w:rsid w:val="009F4B22"/>
    <w:rsid w:val="009F5A61"/>
    <w:rsid w:val="009F64D4"/>
    <w:rsid w:val="009F7530"/>
    <w:rsid w:val="009F7939"/>
    <w:rsid w:val="00A019E5"/>
    <w:rsid w:val="00A01B7C"/>
    <w:rsid w:val="00A02250"/>
    <w:rsid w:val="00A0369B"/>
    <w:rsid w:val="00A03A17"/>
    <w:rsid w:val="00A03E1F"/>
    <w:rsid w:val="00A0516D"/>
    <w:rsid w:val="00A055E4"/>
    <w:rsid w:val="00A06349"/>
    <w:rsid w:val="00A0708F"/>
    <w:rsid w:val="00A0770F"/>
    <w:rsid w:val="00A07C33"/>
    <w:rsid w:val="00A108C6"/>
    <w:rsid w:val="00A10A65"/>
    <w:rsid w:val="00A1127F"/>
    <w:rsid w:val="00A118F9"/>
    <w:rsid w:val="00A1256A"/>
    <w:rsid w:val="00A12A3A"/>
    <w:rsid w:val="00A12EBC"/>
    <w:rsid w:val="00A134FC"/>
    <w:rsid w:val="00A1351E"/>
    <w:rsid w:val="00A13A33"/>
    <w:rsid w:val="00A13F5A"/>
    <w:rsid w:val="00A15924"/>
    <w:rsid w:val="00A204EE"/>
    <w:rsid w:val="00A2063D"/>
    <w:rsid w:val="00A22394"/>
    <w:rsid w:val="00A22D8F"/>
    <w:rsid w:val="00A22E90"/>
    <w:rsid w:val="00A2336C"/>
    <w:rsid w:val="00A23880"/>
    <w:rsid w:val="00A23992"/>
    <w:rsid w:val="00A2525B"/>
    <w:rsid w:val="00A25AEF"/>
    <w:rsid w:val="00A25E52"/>
    <w:rsid w:val="00A269FF"/>
    <w:rsid w:val="00A2724B"/>
    <w:rsid w:val="00A272B5"/>
    <w:rsid w:val="00A30D8D"/>
    <w:rsid w:val="00A3104B"/>
    <w:rsid w:val="00A3260B"/>
    <w:rsid w:val="00A328DB"/>
    <w:rsid w:val="00A32ABB"/>
    <w:rsid w:val="00A348AF"/>
    <w:rsid w:val="00A35005"/>
    <w:rsid w:val="00A356F7"/>
    <w:rsid w:val="00A36D32"/>
    <w:rsid w:val="00A37608"/>
    <w:rsid w:val="00A376B8"/>
    <w:rsid w:val="00A37BE6"/>
    <w:rsid w:val="00A40768"/>
    <w:rsid w:val="00A412C5"/>
    <w:rsid w:val="00A4182C"/>
    <w:rsid w:val="00A42953"/>
    <w:rsid w:val="00A438DA"/>
    <w:rsid w:val="00A43C97"/>
    <w:rsid w:val="00A440F7"/>
    <w:rsid w:val="00A44BE0"/>
    <w:rsid w:val="00A4520B"/>
    <w:rsid w:val="00A457F0"/>
    <w:rsid w:val="00A463F3"/>
    <w:rsid w:val="00A467F0"/>
    <w:rsid w:val="00A46AA5"/>
    <w:rsid w:val="00A46AC4"/>
    <w:rsid w:val="00A47791"/>
    <w:rsid w:val="00A5273E"/>
    <w:rsid w:val="00A527A6"/>
    <w:rsid w:val="00A5307C"/>
    <w:rsid w:val="00A54A5F"/>
    <w:rsid w:val="00A54BCA"/>
    <w:rsid w:val="00A5526D"/>
    <w:rsid w:val="00A55596"/>
    <w:rsid w:val="00A55671"/>
    <w:rsid w:val="00A55C41"/>
    <w:rsid w:val="00A568BF"/>
    <w:rsid w:val="00A56CFE"/>
    <w:rsid w:val="00A57C0A"/>
    <w:rsid w:val="00A6044F"/>
    <w:rsid w:val="00A60AA9"/>
    <w:rsid w:val="00A615C3"/>
    <w:rsid w:val="00A61A54"/>
    <w:rsid w:val="00A620B9"/>
    <w:rsid w:val="00A620C5"/>
    <w:rsid w:val="00A620DE"/>
    <w:rsid w:val="00A62627"/>
    <w:rsid w:val="00A630F9"/>
    <w:rsid w:val="00A647CA"/>
    <w:rsid w:val="00A64D28"/>
    <w:rsid w:val="00A65294"/>
    <w:rsid w:val="00A65FAC"/>
    <w:rsid w:val="00A66778"/>
    <w:rsid w:val="00A668F4"/>
    <w:rsid w:val="00A675F1"/>
    <w:rsid w:val="00A67CE4"/>
    <w:rsid w:val="00A70A28"/>
    <w:rsid w:val="00A71182"/>
    <w:rsid w:val="00A71531"/>
    <w:rsid w:val="00A71CE7"/>
    <w:rsid w:val="00A72B60"/>
    <w:rsid w:val="00A735C6"/>
    <w:rsid w:val="00A747D2"/>
    <w:rsid w:val="00A752B5"/>
    <w:rsid w:val="00A756C7"/>
    <w:rsid w:val="00A7583A"/>
    <w:rsid w:val="00A760D6"/>
    <w:rsid w:val="00A76671"/>
    <w:rsid w:val="00A775BA"/>
    <w:rsid w:val="00A77D3A"/>
    <w:rsid w:val="00A80C83"/>
    <w:rsid w:val="00A810CB"/>
    <w:rsid w:val="00A8137A"/>
    <w:rsid w:val="00A8264C"/>
    <w:rsid w:val="00A83763"/>
    <w:rsid w:val="00A83DE8"/>
    <w:rsid w:val="00A83F81"/>
    <w:rsid w:val="00A85C9A"/>
    <w:rsid w:val="00A87849"/>
    <w:rsid w:val="00A87B3F"/>
    <w:rsid w:val="00A87B47"/>
    <w:rsid w:val="00A904EF"/>
    <w:rsid w:val="00A917B9"/>
    <w:rsid w:val="00A9198A"/>
    <w:rsid w:val="00A91BAE"/>
    <w:rsid w:val="00A92996"/>
    <w:rsid w:val="00A92D96"/>
    <w:rsid w:val="00A94111"/>
    <w:rsid w:val="00A94482"/>
    <w:rsid w:val="00A94894"/>
    <w:rsid w:val="00A96E98"/>
    <w:rsid w:val="00A97E89"/>
    <w:rsid w:val="00AA0EA2"/>
    <w:rsid w:val="00AA175B"/>
    <w:rsid w:val="00AA51FD"/>
    <w:rsid w:val="00AA5484"/>
    <w:rsid w:val="00AA5BF7"/>
    <w:rsid w:val="00AA744A"/>
    <w:rsid w:val="00AB0B97"/>
    <w:rsid w:val="00AB0E30"/>
    <w:rsid w:val="00AB0F7F"/>
    <w:rsid w:val="00AB2AC6"/>
    <w:rsid w:val="00AB31FD"/>
    <w:rsid w:val="00AB3901"/>
    <w:rsid w:val="00AB3E4A"/>
    <w:rsid w:val="00AB61EE"/>
    <w:rsid w:val="00AB677C"/>
    <w:rsid w:val="00AB69D9"/>
    <w:rsid w:val="00AB6C81"/>
    <w:rsid w:val="00AC0359"/>
    <w:rsid w:val="00AC03C2"/>
    <w:rsid w:val="00AC05FB"/>
    <w:rsid w:val="00AC0677"/>
    <w:rsid w:val="00AC0ACA"/>
    <w:rsid w:val="00AC1A23"/>
    <w:rsid w:val="00AC2AE0"/>
    <w:rsid w:val="00AC2FC4"/>
    <w:rsid w:val="00AC339D"/>
    <w:rsid w:val="00AC36EE"/>
    <w:rsid w:val="00AC3DFC"/>
    <w:rsid w:val="00AC4256"/>
    <w:rsid w:val="00AC4297"/>
    <w:rsid w:val="00AC43C8"/>
    <w:rsid w:val="00AC44EB"/>
    <w:rsid w:val="00AC6356"/>
    <w:rsid w:val="00AC6949"/>
    <w:rsid w:val="00AC694A"/>
    <w:rsid w:val="00AC6E4F"/>
    <w:rsid w:val="00AC72D4"/>
    <w:rsid w:val="00AD0135"/>
    <w:rsid w:val="00AD04F0"/>
    <w:rsid w:val="00AD1B50"/>
    <w:rsid w:val="00AD27DD"/>
    <w:rsid w:val="00AD29CE"/>
    <w:rsid w:val="00AD2CE6"/>
    <w:rsid w:val="00AD3EED"/>
    <w:rsid w:val="00AD569B"/>
    <w:rsid w:val="00AD5DEE"/>
    <w:rsid w:val="00AD6717"/>
    <w:rsid w:val="00AD69E6"/>
    <w:rsid w:val="00AE010A"/>
    <w:rsid w:val="00AE08E3"/>
    <w:rsid w:val="00AE10EE"/>
    <w:rsid w:val="00AE181D"/>
    <w:rsid w:val="00AE364E"/>
    <w:rsid w:val="00AE41F0"/>
    <w:rsid w:val="00AE43C6"/>
    <w:rsid w:val="00AE4D5F"/>
    <w:rsid w:val="00AE7938"/>
    <w:rsid w:val="00AF0E5D"/>
    <w:rsid w:val="00AF4EAF"/>
    <w:rsid w:val="00AF5C43"/>
    <w:rsid w:val="00AF69CC"/>
    <w:rsid w:val="00AF6EA6"/>
    <w:rsid w:val="00AF7AD1"/>
    <w:rsid w:val="00B0076C"/>
    <w:rsid w:val="00B00843"/>
    <w:rsid w:val="00B01C42"/>
    <w:rsid w:val="00B01C6D"/>
    <w:rsid w:val="00B0382C"/>
    <w:rsid w:val="00B042D1"/>
    <w:rsid w:val="00B04577"/>
    <w:rsid w:val="00B04987"/>
    <w:rsid w:val="00B04B60"/>
    <w:rsid w:val="00B05B04"/>
    <w:rsid w:val="00B06B17"/>
    <w:rsid w:val="00B06F8C"/>
    <w:rsid w:val="00B072B7"/>
    <w:rsid w:val="00B105F7"/>
    <w:rsid w:val="00B10BD5"/>
    <w:rsid w:val="00B10F20"/>
    <w:rsid w:val="00B113AA"/>
    <w:rsid w:val="00B128CB"/>
    <w:rsid w:val="00B139B4"/>
    <w:rsid w:val="00B14A3B"/>
    <w:rsid w:val="00B14F70"/>
    <w:rsid w:val="00B163B6"/>
    <w:rsid w:val="00B168AA"/>
    <w:rsid w:val="00B1697A"/>
    <w:rsid w:val="00B208DF"/>
    <w:rsid w:val="00B219F6"/>
    <w:rsid w:val="00B22765"/>
    <w:rsid w:val="00B232E0"/>
    <w:rsid w:val="00B238A5"/>
    <w:rsid w:val="00B23C4A"/>
    <w:rsid w:val="00B23F6D"/>
    <w:rsid w:val="00B2636F"/>
    <w:rsid w:val="00B26A2A"/>
    <w:rsid w:val="00B30328"/>
    <w:rsid w:val="00B3138C"/>
    <w:rsid w:val="00B318C1"/>
    <w:rsid w:val="00B32612"/>
    <w:rsid w:val="00B327AD"/>
    <w:rsid w:val="00B33C22"/>
    <w:rsid w:val="00B343E0"/>
    <w:rsid w:val="00B34993"/>
    <w:rsid w:val="00B34DF5"/>
    <w:rsid w:val="00B34E53"/>
    <w:rsid w:val="00B37377"/>
    <w:rsid w:val="00B409A6"/>
    <w:rsid w:val="00B40E8D"/>
    <w:rsid w:val="00B4117E"/>
    <w:rsid w:val="00B42202"/>
    <w:rsid w:val="00B42F4A"/>
    <w:rsid w:val="00B434B5"/>
    <w:rsid w:val="00B44570"/>
    <w:rsid w:val="00B448B3"/>
    <w:rsid w:val="00B45127"/>
    <w:rsid w:val="00B4551D"/>
    <w:rsid w:val="00B46C16"/>
    <w:rsid w:val="00B4709C"/>
    <w:rsid w:val="00B47394"/>
    <w:rsid w:val="00B508E1"/>
    <w:rsid w:val="00B50A9A"/>
    <w:rsid w:val="00B514D0"/>
    <w:rsid w:val="00B518A5"/>
    <w:rsid w:val="00B51D82"/>
    <w:rsid w:val="00B51F78"/>
    <w:rsid w:val="00B523E1"/>
    <w:rsid w:val="00B52834"/>
    <w:rsid w:val="00B532FE"/>
    <w:rsid w:val="00B53818"/>
    <w:rsid w:val="00B53D1D"/>
    <w:rsid w:val="00B54DAC"/>
    <w:rsid w:val="00B55DBA"/>
    <w:rsid w:val="00B55E7E"/>
    <w:rsid w:val="00B56A43"/>
    <w:rsid w:val="00B56AF8"/>
    <w:rsid w:val="00B56DCC"/>
    <w:rsid w:val="00B57980"/>
    <w:rsid w:val="00B57A99"/>
    <w:rsid w:val="00B604F2"/>
    <w:rsid w:val="00B61C7B"/>
    <w:rsid w:val="00B61E56"/>
    <w:rsid w:val="00B64133"/>
    <w:rsid w:val="00B669FC"/>
    <w:rsid w:val="00B66AE4"/>
    <w:rsid w:val="00B709AC"/>
    <w:rsid w:val="00B71699"/>
    <w:rsid w:val="00B71BAA"/>
    <w:rsid w:val="00B71F7E"/>
    <w:rsid w:val="00B722B2"/>
    <w:rsid w:val="00B7277F"/>
    <w:rsid w:val="00B73F58"/>
    <w:rsid w:val="00B7517A"/>
    <w:rsid w:val="00B753F6"/>
    <w:rsid w:val="00B767CF"/>
    <w:rsid w:val="00B76981"/>
    <w:rsid w:val="00B76F8C"/>
    <w:rsid w:val="00B76FFA"/>
    <w:rsid w:val="00B775FB"/>
    <w:rsid w:val="00B77691"/>
    <w:rsid w:val="00B81EAE"/>
    <w:rsid w:val="00B82251"/>
    <w:rsid w:val="00B833F2"/>
    <w:rsid w:val="00B83A4D"/>
    <w:rsid w:val="00B84CCE"/>
    <w:rsid w:val="00B8543C"/>
    <w:rsid w:val="00B85890"/>
    <w:rsid w:val="00B8668F"/>
    <w:rsid w:val="00B86697"/>
    <w:rsid w:val="00B86A6E"/>
    <w:rsid w:val="00B87DC4"/>
    <w:rsid w:val="00B90D96"/>
    <w:rsid w:val="00B92F8C"/>
    <w:rsid w:val="00B93381"/>
    <w:rsid w:val="00B93572"/>
    <w:rsid w:val="00B937C1"/>
    <w:rsid w:val="00B94387"/>
    <w:rsid w:val="00B94738"/>
    <w:rsid w:val="00B95452"/>
    <w:rsid w:val="00B9617D"/>
    <w:rsid w:val="00B97079"/>
    <w:rsid w:val="00B979E2"/>
    <w:rsid w:val="00B97AF3"/>
    <w:rsid w:val="00BA0EF4"/>
    <w:rsid w:val="00BA102E"/>
    <w:rsid w:val="00BA19DD"/>
    <w:rsid w:val="00BA1B0C"/>
    <w:rsid w:val="00BA212D"/>
    <w:rsid w:val="00BA258C"/>
    <w:rsid w:val="00BA5143"/>
    <w:rsid w:val="00BA5277"/>
    <w:rsid w:val="00BA5CEB"/>
    <w:rsid w:val="00BA6738"/>
    <w:rsid w:val="00BA6E17"/>
    <w:rsid w:val="00BA785C"/>
    <w:rsid w:val="00BA795C"/>
    <w:rsid w:val="00BA7BE9"/>
    <w:rsid w:val="00BB0205"/>
    <w:rsid w:val="00BB12C3"/>
    <w:rsid w:val="00BB1469"/>
    <w:rsid w:val="00BB15BC"/>
    <w:rsid w:val="00BB35CF"/>
    <w:rsid w:val="00BB3CD3"/>
    <w:rsid w:val="00BB3EBD"/>
    <w:rsid w:val="00BB413C"/>
    <w:rsid w:val="00BB448D"/>
    <w:rsid w:val="00BB4C8B"/>
    <w:rsid w:val="00BB5D6E"/>
    <w:rsid w:val="00BB6761"/>
    <w:rsid w:val="00BB6C78"/>
    <w:rsid w:val="00BB700D"/>
    <w:rsid w:val="00BB75B4"/>
    <w:rsid w:val="00BC1295"/>
    <w:rsid w:val="00BC3569"/>
    <w:rsid w:val="00BC3A07"/>
    <w:rsid w:val="00BC48C3"/>
    <w:rsid w:val="00BC62E2"/>
    <w:rsid w:val="00BC7440"/>
    <w:rsid w:val="00BC7A02"/>
    <w:rsid w:val="00BC7ADD"/>
    <w:rsid w:val="00BC7B8C"/>
    <w:rsid w:val="00BD1D3C"/>
    <w:rsid w:val="00BD2453"/>
    <w:rsid w:val="00BD2D27"/>
    <w:rsid w:val="00BD2F00"/>
    <w:rsid w:val="00BD2FD9"/>
    <w:rsid w:val="00BD3F3B"/>
    <w:rsid w:val="00BD42A6"/>
    <w:rsid w:val="00BD4868"/>
    <w:rsid w:val="00BD4942"/>
    <w:rsid w:val="00BD5D53"/>
    <w:rsid w:val="00BD5FD0"/>
    <w:rsid w:val="00BD664C"/>
    <w:rsid w:val="00BD704E"/>
    <w:rsid w:val="00BD7254"/>
    <w:rsid w:val="00BD72E5"/>
    <w:rsid w:val="00BD7DAC"/>
    <w:rsid w:val="00BE0072"/>
    <w:rsid w:val="00BE06A9"/>
    <w:rsid w:val="00BE0785"/>
    <w:rsid w:val="00BE07AA"/>
    <w:rsid w:val="00BE07D3"/>
    <w:rsid w:val="00BE0BF2"/>
    <w:rsid w:val="00BE29F3"/>
    <w:rsid w:val="00BE2BD1"/>
    <w:rsid w:val="00BE411A"/>
    <w:rsid w:val="00BE4FC2"/>
    <w:rsid w:val="00BE5018"/>
    <w:rsid w:val="00BE696B"/>
    <w:rsid w:val="00BE6C8E"/>
    <w:rsid w:val="00BE7F1B"/>
    <w:rsid w:val="00BF0F9D"/>
    <w:rsid w:val="00BF2D50"/>
    <w:rsid w:val="00BF2F4D"/>
    <w:rsid w:val="00BF32BB"/>
    <w:rsid w:val="00BF3964"/>
    <w:rsid w:val="00BF3C6A"/>
    <w:rsid w:val="00BF3C91"/>
    <w:rsid w:val="00BF438E"/>
    <w:rsid w:val="00BF4901"/>
    <w:rsid w:val="00BF4C3D"/>
    <w:rsid w:val="00BF5E9D"/>
    <w:rsid w:val="00BF686E"/>
    <w:rsid w:val="00C0057E"/>
    <w:rsid w:val="00C0065C"/>
    <w:rsid w:val="00C00ED5"/>
    <w:rsid w:val="00C0189D"/>
    <w:rsid w:val="00C019ED"/>
    <w:rsid w:val="00C032B2"/>
    <w:rsid w:val="00C0386B"/>
    <w:rsid w:val="00C04CFF"/>
    <w:rsid w:val="00C05430"/>
    <w:rsid w:val="00C05777"/>
    <w:rsid w:val="00C05AD1"/>
    <w:rsid w:val="00C05DCD"/>
    <w:rsid w:val="00C05E98"/>
    <w:rsid w:val="00C060CA"/>
    <w:rsid w:val="00C0750A"/>
    <w:rsid w:val="00C0779E"/>
    <w:rsid w:val="00C10FC9"/>
    <w:rsid w:val="00C11B10"/>
    <w:rsid w:val="00C154F5"/>
    <w:rsid w:val="00C161AE"/>
    <w:rsid w:val="00C175F2"/>
    <w:rsid w:val="00C17916"/>
    <w:rsid w:val="00C2028A"/>
    <w:rsid w:val="00C20393"/>
    <w:rsid w:val="00C20C1B"/>
    <w:rsid w:val="00C21049"/>
    <w:rsid w:val="00C21961"/>
    <w:rsid w:val="00C22651"/>
    <w:rsid w:val="00C22BC7"/>
    <w:rsid w:val="00C22BC8"/>
    <w:rsid w:val="00C22E9C"/>
    <w:rsid w:val="00C23823"/>
    <w:rsid w:val="00C23FFA"/>
    <w:rsid w:val="00C246AB"/>
    <w:rsid w:val="00C26631"/>
    <w:rsid w:val="00C26F90"/>
    <w:rsid w:val="00C27F57"/>
    <w:rsid w:val="00C30274"/>
    <w:rsid w:val="00C30C28"/>
    <w:rsid w:val="00C3143F"/>
    <w:rsid w:val="00C31B3A"/>
    <w:rsid w:val="00C31DC7"/>
    <w:rsid w:val="00C32129"/>
    <w:rsid w:val="00C326BC"/>
    <w:rsid w:val="00C32C26"/>
    <w:rsid w:val="00C332CC"/>
    <w:rsid w:val="00C3378E"/>
    <w:rsid w:val="00C33E43"/>
    <w:rsid w:val="00C33F05"/>
    <w:rsid w:val="00C3416D"/>
    <w:rsid w:val="00C349C5"/>
    <w:rsid w:val="00C353DD"/>
    <w:rsid w:val="00C36874"/>
    <w:rsid w:val="00C369B7"/>
    <w:rsid w:val="00C36F65"/>
    <w:rsid w:val="00C377F4"/>
    <w:rsid w:val="00C37F9F"/>
    <w:rsid w:val="00C4065B"/>
    <w:rsid w:val="00C4099A"/>
    <w:rsid w:val="00C40EB3"/>
    <w:rsid w:val="00C4150D"/>
    <w:rsid w:val="00C42A81"/>
    <w:rsid w:val="00C44135"/>
    <w:rsid w:val="00C4420D"/>
    <w:rsid w:val="00C44EB6"/>
    <w:rsid w:val="00C4583F"/>
    <w:rsid w:val="00C4625E"/>
    <w:rsid w:val="00C46904"/>
    <w:rsid w:val="00C476DD"/>
    <w:rsid w:val="00C50F46"/>
    <w:rsid w:val="00C51438"/>
    <w:rsid w:val="00C516DD"/>
    <w:rsid w:val="00C52AD2"/>
    <w:rsid w:val="00C53716"/>
    <w:rsid w:val="00C53F52"/>
    <w:rsid w:val="00C53F54"/>
    <w:rsid w:val="00C5531E"/>
    <w:rsid w:val="00C55449"/>
    <w:rsid w:val="00C554B2"/>
    <w:rsid w:val="00C56CAA"/>
    <w:rsid w:val="00C5755F"/>
    <w:rsid w:val="00C6207F"/>
    <w:rsid w:val="00C62961"/>
    <w:rsid w:val="00C62D50"/>
    <w:rsid w:val="00C6343E"/>
    <w:rsid w:val="00C6389C"/>
    <w:rsid w:val="00C63FB3"/>
    <w:rsid w:val="00C64065"/>
    <w:rsid w:val="00C65BEE"/>
    <w:rsid w:val="00C665FA"/>
    <w:rsid w:val="00C67FFB"/>
    <w:rsid w:val="00C706CE"/>
    <w:rsid w:val="00C7196D"/>
    <w:rsid w:val="00C72268"/>
    <w:rsid w:val="00C72CE8"/>
    <w:rsid w:val="00C731EA"/>
    <w:rsid w:val="00C73205"/>
    <w:rsid w:val="00C74B3B"/>
    <w:rsid w:val="00C74C1D"/>
    <w:rsid w:val="00C75889"/>
    <w:rsid w:val="00C75B85"/>
    <w:rsid w:val="00C763AD"/>
    <w:rsid w:val="00C77879"/>
    <w:rsid w:val="00C779A4"/>
    <w:rsid w:val="00C77EBD"/>
    <w:rsid w:val="00C801B4"/>
    <w:rsid w:val="00C804DD"/>
    <w:rsid w:val="00C81077"/>
    <w:rsid w:val="00C81C41"/>
    <w:rsid w:val="00C82891"/>
    <w:rsid w:val="00C828F4"/>
    <w:rsid w:val="00C87163"/>
    <w:rsid w:val="00C872C3"/>
    <w:rsid w:val="00C872D1"/>
    <w:rsid w:val="00C90798"/>
    <w:rsid w:val="00C90B3F"/>
    <w:rsid w:val="00C9141A"/>
    <w:rsid w:val="00C91D18"/>
    <w:rsid w:val="00C921D6"/>
    <w:rsid w:val="00C9290F"/>
    <w:rsid w:val="00C93AAD"/>
    <w:rsid w:val="00C94064"/>
    <w:rsid w:val="00C94105"/>
    <w:rsid w:val="00C94367"/>
    <w:rsid w:val="00C94C4C"/>
    <w:rsid w:val="00C96ED4"/>
    <w:rsid w:val="00C974A8"/>
    <w:rsid w:val="00CA00E3"/>
    <w:rsid w:val="00CA011F"/>
    <w:rsid w:val="00CA0924"/>
    <w:rsid w:val="00CA0981"/>
    <w:rsid w:val="00CA0E93"/>
    <w:rsid w:val="00CA3282"/>
    <w:rsid w:val="00CA4221"/>
    <w:rsid w:val="00CA466B"/>
    <w:rsid w:val="00CA47C9"/>
    <w:rsid w:val="00CA4E15"/>
    <w:rsid w:val="00CA58EC"/>
    <w:rsid w:val="00CA592F"/>
    <w:rsid w:val="00CA5ED1"/>
    <w:rsid w:val="00CA6883"/>
    <w:rsid w:val="00CA6B1F"/>
    <w:rsid w:val="00CA7D7A"/>
    <w:rsid w:val="00CA7E7E"/>
    <w:rsid w:val="00CB0C9C"/>
    <w:rsid w:val="00CB11BE"/>
    <w:rsid w:val="00CB2569"/>
    <w:rsid w:val="00CB2F7F"/>
    <w:rsid w:val="00CB3F12"/>
    <w:rsid w:val="00CB42AF"/>
    <w:rsid w:val="00CB57DB"/>
    <w:rsid w:val="00CB6785"/>
    <w:rsid w:val="00CB69A1"/>
    <w:rsid w:val="00CB6A3C"/>
    <w:rsid w:val="00CB7EA3"/>
    <w:rsid w:val="00CB7F44"/>
    <w:rsid w:val="00CC32B2"/>
    <w:rsid w:val="00CC4527"/>
    <w:rsid w:val="00CC505F"/>
    <w:rsid w:val="00CC5D2C"/>
    <w:rsid w:val="00CC6325"/>
    <w:rsid w:val="00CC700C"/>
    <w:rsid w:val="00CC7021"/>
    <w:rsid w:val="00CC72AD"/>
    <w:rsid w:val="00CC74B3"/>
    <w:rsid w:val="00CD09F8"/>
    <w:rsid w:val="00CD1A67"/>
    <w:rsid w:val="00CD1AFC"/>
    <w:rsid w:val="00CD2243"/>
    <w:rsid w:val="00CD2544"/>
    <w:rsid w:val="00CD2600"/>
    <w:rsid w:val="00CD2BA9"/>
    <w:rsid w:val="00CD3286"/>
    <w:rsid w:val="00CD3A94"/>
    <w:rsid w:val="00CD3C36"/>
    <w:rsid w:val="00CD3E7F"/>
    <w:rsid w:val="00CD44FA"/>
    <w:rsid w:val="00CD4677"/>
    <w:rsid w:val="00CD55F0"/>
    <w:rsid w:val="00CD5862"/>
    <w:rsid w:val="00CD5D72"/>
    <w:rsid w:val="00CD61C7"/>
    <w:rsid w:val="00CD62AD"/>
    <w:rsid w:val="00CD78AD"/>
    <w:rsid w:val="00CD7984"/>
    <w:rsid w:val="00CD7A57"/>
    <w:rsid w:val="00CE0027"/>
    <w:rsid w:val="00CE2DA4"/>
    <w:rsid w:val="00CE37DA"/>
    <w:rsid w:val="00CE3CB8"/>
    <w:rsid w:val="00CE525C"/>
    <w:rsid w:val="00CE586B"/>
    <w:rsid w:val="00CE6006"/>
    <w:rsid w:val="00CE61EC"/>
    <w:rsid w:val="00CE7098"/>
    <w:rsid w:val="00CF0B10"/>
    <w:rsid w:val="00CF2407"/>
    <w:rsid w:val="00CF2F37"/>
    <w:rsid w:val="00CF4512"/>
    <w:rsid w:val="00CF494C"/>
    <w:rsid w:val="00CF61CF"/>
    <w:rsid w:val="00CF6422"/>
    <w:rsid w:val="00CF65A4"/>
    <w:rsid w:val="00D00CE3"/>
    <w:rsid w:val="00D01320"/>
    <w:rsid w:val="00D01329"/>
    <w:rsid w:val="00D01866"/>
    <w:rsid w:val="00D0191A"/>
    <w:rsid w:val="00D01A6D"/>
    <w:rsid w:val="00D0363B"/>
    <w:rsid w:val="00D03B97"/>
    <w:rsid w:val="00D048C5"/>
    <w:rsid w:val="00D04B96"/>
    <w:rsid w:val="00D04D7C"/>
    <w:rsid w:val="00D0546D"/>
    <w:rsid w:val="00D054BA"/>
    <w:rsid w:val="00D10900"/>
    <w:rsid w:val="00D12761"/>
    <w:rsid w:val="00D12F62"/>
    <w:rsid w:val="00D13CF4"/>
    <w:rsid w:val="00D141F1"/>
    <w:rsid w:val="00D1451E"/>
    <w:rsid w:val="00D153C4"/>
    <w:rsid w:val="00D16348"/>
    <w:rsid w:val="00D17298"/>
    <w:rsid w:val="00D17A8E"/>
    <w:rsid w:val="00D17C11"/>
    <w:rsid w:val="00D17C26"/>
    <w:rsid w:val="00D17E0A"/>
    <w:rsid w:val="00D2167B"/>
    <w:rsid w:val="00D22864"/>
    <w:rsid w:val="00D24FB0"/>
    <w:rsid w:val="00D27407"/>
    <w:rsid w:val="00D30CF8"/>
    <w:rsid w:val="00D31B2C"/>
    <w:rsid w:val="00D33C3E"/>
    <w:rsid w:val="00D352AC"/>
    <w:rsid w:val="00D36226"/>
    <w:rsid w:val="00D36833"/>
    <w:rsid w:val="00D37980"/>
    <w:rsid w:val="00D37C16"/>
    <w:rsid w:val="00D400EF"/>
    <w:rsid w:val="00D40AD2"/>
    <w:rsid w:val="00D41807"/>
    <w:rsid w:val="00D427BD"/>
    <w:rsid w:val="00D4330C"/>
    <w:rsid w:val="00D4436C"/>
    <w:rsid w:val="00D44E84"/>
    <w:rsid w:val="00D4518D"/>
    <w:rsid w:val="00D4575F"/>
    <w:rsid w:val="00D460DB"/>
    <w:rsid w:val="00D46539"/>
    <w:rsid w:val="00D4776C"/>
    <w:rsid w:val="00D4794A"/>
    <w:rsid w:val="00D47996"/>
    <w:rsid w:val="00D47CA8"/>
    <w:rsid w:val="00D47CC4"/>
    <w:rsid w:val="00D50B72"/>
    <w:rsid w:val="00D51457"/>
    <w:rsid w:val="00D51D41"/>
    <w:rsid w:val="00D52519"/>
    <w:rsid w:val="00D5276D"/>
    <w:rsid w:val="00D54EC1"/>
    <w:rsid w:val="00D55FA8"/>
    <w:rsid w:val="00D56569"/>
    <w:rsid w:val="00D579E9"/>
    <w:rsid w:val="00D60616"/>
    <w:rsid w:val="00D619EB"/>
    <w:rsid w:val="00D61E0A"/>
    <w:rsid w:val="00D624F5"/>
    <w:rsid w:val="00D632D7"/>
    <w:rsid w:val="00D65F66"/>
    <w:rsid w:val="00D669D0"/>
    <w:rsid w:val="00D66AA5"/>
    <w:rsid w:val="00D672F3"/>
    <w:rsid w:val="00D67609"/>
    <w:rsid w:val="00D700C3"/>
    <w:rsid w:val="00D72B4F"/>
    <w:rsid w:val="00D72F68"/>
    <w:rsid w:val="00D73BFB"/>
    <w:rsid w:val="00D740EC"/>
    <w:rsid w:val="00D75083"/>
    <w:rsid w:val="00D759BF"/>
    <w:rsid w:val="00D76EC7"/>
    <w:rsid w:val="00D77457"/>
    <w:rsid w:val="00D80D3D"/>
    <w:rsid w:val="00D826B1"/>
    <w:rsid w:val="00D838D7"/>
    <w:rsid w:val="00D84824"/>
    <w:rsid w:val="00D8691E"/>
    <w:rsid w:val="00D86C1D"/>
    <w:rsid w:val="00D86CDC"/>
    <w:rsid w:val="00D87C9E"/>
    <w:rsid w:val="00D919A3"/>
    <w:rsid w:val="00D92745"/>
    <w:rsid w:val="00D92823"/>
    <w:rsid w:val="00D92A73"/>
    <w:rsid w:val="00D93A95"/>
    <w:rsid w:val="00D93B87"/>
    <w:rsid w:val="00D942EA"/>
    <w:rsid w:val="00D94F55"/>
    <w:rsid w:val="00D94FB2"/>
    <w:rsid w:val="00D95B89"/>
    <w:rsid w:val="00D95BBB"/>
    <w:rsid w:val="00D95CAB"/>
    <w:rsid w:val="00D967C2"/>
    <w:rsid w:val="00D97AC2"/>
    <w:rsid w:val="00DA0857"/>
    <w:rsid w:val="00DA136F"/>
    <w:rsid w:val="00DA1D17"/>
    <w:rsid w:val="00DA286B"/>
    <w:rsid w:val="00DA2CB5"/>
    <w:rsid w:val="00DA2F3F"/>
    <w:rsid w:val="00DA36C1"/>
    <w:rsid w:val="00DA3A98"/>
    <w:rsid w:val="00DA3AD4"/>
    <w:rsid w:val="00DA465D"/>
    <w:rsid w:val="00DA60BA"/>
    <w:rsid w:val="00DA648B"/>
    <w:rsid w:val="00DB10D9"/>
    <w:rsid w:val="00DB2993"/>
    <w:rsid w:val="00DB3390"/>
    <w:rsid w:val="00DB3D7A"/>
    <w:rsid w:val="00DB41BD"/>
    <w:rsid w:val="00DB42A5"/>
    <w:rsid w:val="00DB455B"/>
    <w:rsid w:val="00DB4A6C"/>
    <w:rsid w:val="00DB7CDE"/>
    <w:rsid w:val="00DB7F6D"/>
    <w:rsid w:val="00DC0632"/>
    <w:rsid w:val="00DC31B3"/>
    <w:rsid w:val="00DC4A1F"/>
    <w:rsid w:val="00DC5A48"/>
    <w:rsid w:val="00DC5BFE"/>
    <w:rsid w:val="00DC5EC4"/>
    <w:rsid w:val="00DC60E3"/>
    <w:rsid w:val="00DC6EAC"/>
    <w:rsid w:val="00DD0D2B"/>
    <w:rsid w:val="00DD0D9A"/>
    <w:rsid w:val="00DD30E4"/>
    <w:rsid w:val="00DD3925"/>
    <w:rsid w:val="00DD40B7"/>
    <w:rsid w:val="00DD46A2"/>
    <w:rsid w:val="00DD576D"/>
    <w:rsid w:val="00DD57FC"/>
    <w:rsid w:val="00DD5825"/>
    <w:rsid w:val="00DD5C8A"/>
    <w:rsid w:val="00DD5ECC"/>
    <w:rsid w:val="00DD60A0"/>
    <w:rsid w:val="00DD690A"/>
    <w:rsid w:val="00DD6D36"/>
    <w:rsid w:val="00DD72B7"/>
    <w:rsid w:val="00DD7A5A"/>
    <w:rsid w:val="00DE09B3"/>
    <w:rsid w:val="00DE15B0"/>
    <w:rsid w:val="00DE1796"/>
    <w:rsid w:val="00DE1A83"/>
    <w:rsid w:val="00DE2E97"/>
    <w:rsid w:val="00DE3426"/>
    <w:rsid w:val="00DE3892"/>
    <w:rsid w:val="00DE3BAA"/>
    <w:rsid w:val="00DE4354"/>
    <w:rsid w:val="00DE4B2F"/>
    <w:rsid w:val="00DE5BC4"/>
    <w:rsid w:val="00DE5C6C"/>
    <w:rsid w:val="00DE762D"/>
    <w:rsid w:val="00DE77D3"/>
    <w:rsid w:val="00DF05C9"/>
    <w:rsid w:val="00DF1A66"/>
    <w:rsid w:val="00DF2D1C"/>
    <w:rsid w:val="00DF2EF1"/>
    <w:rsid w:val="00DF321C"/>
    <w:rsid w:val="00DF344C"/>
    <w:rsid w:val="00DF4924"/>
    <w:rsid w:val="00DF577C"/>
    <w:rsid w:val="00DF59B1"/>
    <w:rsid w:val="00DF5E8D"/>
    <w:rsid w:val="00DF66FD"/>
    <w:rsid w:val="00DF726A"/>
    <w:rsid w:val="00DF7394"/>
    <w:rsid w:val="00DF74B6"/>
    <w:rsid w:val="00DF7610"/>
    <w:rsid w:val="00E0070F"/>
    <w:rsid w:val="00E00833"/>
    <w:rsid w:val="00E008C3"/>
    <w:rsid w:val="00E0094D"/>
    <w:rsid w:val="00E00F5C"/>
    <w:rsid w:val="00E02FEA"/>
    <w:rsid w:val="00E03058"/>
    <w:rsid w:val="00E05090"/>
    <w:rsid w:val="00E05B04"/>
    <w:rsid w:val="00E06096"/>
    <w:rsid w:val="00E062F7"/>
    <w:rsid w:val="00E0640C"/>
    <w:rsid w:val="00E06468"/>
    <w:rsid w:val="00E06A77"/>
    <w:rsid w:val="00E0765A"/>
    <w:rsid w:val="00E1136B"/>
    <w:rsid w:val="00E129D2"/>
    <w:rsid w:val="00E12B83"/>
    <w:rsid w:val="00E12D58"/>
    <w:rsid w:val="00E130FE"/>
    <w:rsid w:val="00E133A6"/>
    <w:rsid w:val="00E15566"/>
    <w:rsid w:val="00E156F3"/>
    <w:rsid w:val="00E167A7"/>
    <w:rsid w:val="00E17118"/>
    <w:rsid w:val="00E175CC"/>
    <w:rsid w:val="00E1780D"/>
    <w:rsid w:val="00E214DF"/>
    <w:rsid w:val="00E22CB1"/>
    <w:rsid w:val="00E232F6"/>
    <w:rsid w:val="00E242F2"/>
    <w:rsid w:val="00E26B23"/>
    <w:rsid w:val="00E27C06"/>
    <w:rsid w:val="00E30656"/>
    <w:rsid w:val="00E3113B"/>
    <w:rsid w:val="00E32029"/>
    <w:rsid w:val="00E3219E"/>
    <w:rsid w:val="00E32427"/>
    <w:rsid w:val="00E32632"/>
    <w:rsid w:val="00E327E6"/>
    <w:rsid w:val="00E32845"/>
    <w:rsid w:val="00E32F7D"/>
    <w:rsid w:val="00E3314E"/>
    <w:rsid w:val="00E342E1"/>
    <w:rsid w:val="00E347E9"/>
    <w:rsid w:val="00E3614E"/>
    <w:rsid w:val="00E3707F"/>
    <w:rsid w:val="00E4081A"/>
    <w:rsid w:val="00E4136B"/>
    <w:rsid w:val="00E415D3"/>
    <w:rsid w:val="00E42862"/>
    <w:rsid w:val="00E43523"/>
    <w:rsid w:val="00E463DA"/>
    <w:rsid w:val="00E51598"/>
    <w:rsid w:val="00E51C5E"/>
    <w:rsid w:val="00E52134"/>
    <w:rsid w:val="00E5216C"/>
    <w:rsid w:val="00E52512"/>
    <w:rsid w:val="00E539EC"/>
    <w:rsid w:val="00E55566"/>
    <w:rsid w:val="00E55E02"/>
    <w:rsid w:val="00E56EEA"/>
    <w:rsid w:val="00E57DB8"/>
    <w:rsid w:val="00E57F14"/>
    <w:rsid w:val="00E60405"/>
    <w:rsid w:val="00E61409"/>
    <w:rsid w:val="00E61A35"/>
    <w:rsid w:val="00E61CAD"/>
    <w:rsid w:val="00E620FF"/>
    <w:rsid w:val="00E63059"/>
    <w:rsid w:val="00E639CA"/>
    <w:rsid w:val="00E63F1C"/>
    <w:rsid w:val="00E63F8F"/>
    <w:rsid w:val="00E64739"/>
    <w:rsid w:val="00E64F1C"/>
    <w:rsid w:val="00E64F80"/>
    <w:rsid w:val="00E65309"/>
    <w:rsid w:val="00E656D1"/>
    <w:rsid w:val="00E6596C"/>
    <w:rsid w:val="00E66E48"/>
    <w:rsid w:val="00E67BA2"/>
    <w:rsid w:val="00E70539"/>
    <w:rsid w:val="00E70E90"/>
    <w:rsid w:val="00E713C4"/>
    <w:rsid w:val="00E718C3"/>
    <w:rsid w:val="00E71E5D"/>
    <w:rsid w:val="00E72227"/>
    <w:rsid w:val="00E7228B"/>
    <w:rsid w:val="00E72302"/>
    <w:rsid w:val="00E72C5A"/>
    <w:rsid w:val="00E73086"/>
    <w:rsid w:val="00E7317E"/>
    <w:rsid w:val="00E734C9"/>
    <w:rsid w:val="00E7440A"/>
    <w:rsid w:val="00E749A2"/>
    <w:rsid w:val="00E751C6"/>
    <w:rsid w:val="00E758C6"/>
    <w:rsid w:val="00E75CA2"/>
    <w:rsid w:val="00E765FF"/>
    <w:rsid w:val="00E7676C"/>
    <w:rsid w:val="00E77238"/>
    <w:rsid w:val="00E77B0F"/>
    <w:rsid w:val="00E802E7"/>
    <w:rsid w:val="00E8041F"/>
    <w:rsid w:val="00E80CE4"/>
    <w:rsid w:val="00E810E8"/>
    <w:rsid w:val="00E811BC"/>
    <w:rsid w:val="00E824DD"/>
    <w:rsid w:val="00E82939"/>
    <w:rsid w:val="00E8303B"/>
    <w:rsid w:val="00E831EB"/>
    <w:rsid w:val="00E833A3"/>
    <w:rsid w:val="00E837CC"/>
    <w:rsid w:val="00E85415"/>
    <w:rsid w:val="00E85D3D"/>
    <w:rsid w:val="00E85F03"/>
    <w:rsid w:val="00E90717"/>
    <w:rsid w:val="00E912E3"/>
    <w:rsid w:val="00E918AF"/>
    <w:rsid w:val="00E91E70"/>
    <w:rsid w:val="00E927C0"/>
    <w:rsid w:val="00E92EBB"/>
    <w:rsid w:val="00E931C2"/>
    <w:rsid w:val="00E946A9"/>
    <w:rsid w:val="00E95C0E"/>
    <w:rsid w:val="00E970C7"/>
    <w:rsid w:val="00E97D7E"/>
    <w:rsid w:val="00E97DE6"/>
    <w:rsid w:val="00EA2DD0"/>
    <w:rsid w:val="00EA3E64"/>
    <w:rsid w:val="00EA526B"/>
    <w:rsid w:val="00EA5D47"/>
    <w:rsid w:val="00EA696E"/>
    <w:rsid w:val="00EA76A2"/>
    <w:rsid w:val="00EB01DF"/>
    <w:rsid w:val="00EB032B"/>
    <w:rsid w:val="00EB0455"/>
    <w:rsid w:val="00EB1F28"/>
    <w:rsid w:val="00EB2562"/>
    <w:rsid w:val="00EB4587"/>
    <w:rsid w:val="00EB4B38"/>
    <w:rsid w:val="00EB4C84"/>
    <w:rsid w:val="00EB5432"/>
    <w:rsid w:val="00EB5505"/>
    <w:rsid w:val="00EB60F6"/>
    <w:rsid w:val="00EB6328"/>
    <w:rsid w:val="00EB6884"/>
    <w:rsid w:val="00EB76F0"/>
    <w:rsid w:val="00EC011F"/>
    <w:rsid w:val="00EC0517"/>
    <w:rsid w:val="00EC0980"/>
    <w:rsid w:val="00EC128D"/>
    <w:rsid w:val="00EC2937"/>
    <w:rsid w:val="00EC39FB"/>
    <w:rsid w:val="00EC3FDC"/>
    <w:rsid w:val="00EC488E"/>
    <w:rsid w:val="00EC48F7"/>
    <w:rsid w:val="00EC559A"/>
    <w:rsid w:val="00EC6082"/>
    <w:rsid w:val="00EC698D"/>
    <w:rsid w:val="00EC72A3"/>
    <w:rsid w:val="00EC7528"/>
    <w:rsid w:val="00ED04E7"/>
    <w:rsid w:val="00ED0756"/>
    <w:rsid w:val="00ED1665"/>
    <w:rsid w:val="00ED294C"/>
    <w:rsid w:val="00ED2AA7"/>
    <w:rsid w:val="00ED3A0A"/>
    <w:rsid w:val="00ED43E5"/>
    <w:rsid w:val="00ED4A1D"/>
    <w:rsid w:val="00ED6906"/>
    <w:rsid w:val="00ED6D8B"/>
    <w:rsid w:val="00ED6E07"/>
    <w:rsid w:val="00ED6F43"/>
    <w:rsid w:val="00ED7A16"/>
    <w:rsid w:val="00ED7A9F"/>
    <w:rsid w:val="00EE0222"/>
    <w:rsid w:val="00EE031B"/>
    <w:rsid w:val="00EE123A"/>
    <w:rsid w:val="00EE32D0"/>
    <w:rsid w:val="00EE3B98"/>
    <w:rsid w:val="00EE3CB9"/>
    <w:rsid w:val="00EE4509"/>
    <w:rsid w:val="00EE5F9A"/>
    <w:rsid w:val="00EE6821"/>
    <w:rsid w:val="00EE6C1A"/>
    <w:rsid w:val="00EF004B"/>
    <w:rsid w:val="00EF0219"/>
    <w:rsid w:val="00EF046F"/>
    <w:rsid w:val="00EF06F3"/>
    <w:rsid w:val="00EF074F"/>
    <w:rsid w:val="00EF0BFD"/>
    <w:rsid w:val="00EF0FA6"/>
    <w:rsid w:val="00EF121D"/>
    <w:rsid w:val="00EF1C57"/>
    <w:rsid w:val="00EF28EB"/>
    <w:rsid w:val="00EF52C0"/>
    <w:rsid w:val="00EF600D"/>
    <w:rsid w:val="00EF6289"/>
    <w:rsid w:val="00EF6829"/>
    <w:rsid w:val="00EF6DAA"/>
    <w:rsid w:val="00EF6F10"/>
    <w:rsid w:val="00EF6FA0"/>
    <w:rsid w:val="00F01100"/>
    <w:rsid w:val="00F02B64"/>
    <w:rsid w:val="00F03049"/>
    <w:rsid w:val="00F0357D"/>
    <w:rsid w:val="00F0359A"/>
    <w:rsid w:val="00F03DB7"/>
    <w:rsid w:val="00F04B2B"/>
    <w:rsid w:val="00F07361"/>
    <w:rsid w:val="00F0795A"/>
    <w:rsid w:val="00F07C84"/>
    <w:rsid w:val="00F07F82"/>
    <w:rsid w:val="00F1025C"/>
    <w:rsid w:val="00F11E4A"/>
    <w:rsid w:val="00F11EAD"/>
    <w:rsid w:val="00F12BDB"/>
    <w:rsid w:val="00F13181"/>
    <w:rsid w:val="00F14285"/>
    <w:rsid w:val="00F14F0E"/>
    <w:rsid w:val="00F15221"/>
    <w:rsid w:val="00F15B0B"/>
    <w:rsid w:val="00F163C6"/>
    <w:rsid w:val="00F178CD"/>
    <w:rsid w:val="00F17CC6"/>
    <w:rsid w:val="00F215C2"/>
    <w:rsid w:val="00F21723"/>
    <w:rsid w:val="00F2283A"/>
    <w:rsid w:val="00F22A5A"/>
    <w:rsid w:val="00F22A7C"/>
    <w:rsid w:val="00F22A89"/>
    <w:rsid w:val="00F22CFC"/>
    <w:rsid w:val="00F2366F"/>
    <w:rsid w:val="00F23F03"/>
    <w:rsid w:val="00F24E7B"/>
    <w:rsid w:val="00F25190"/>
    <w:rsid w:val="00F251C8"/>
    <w:rsid w:val="00F25DC9"/>
    <w:rsid w:val="00F2611A"/>
    <w:rsid w:val="00F263E3"/>
    <w:rsid w:val="00F266C8"/>
    <w:rsid w:val="00F26916"/>
    <w:rsid w:val="00F26E8F"/>
    <w:rsid w:val="00F26FB2"/>
    <w:rsid w:val="00F27602"/>
    <w:rsid w:val="00F2778A"/>
    <w:rsid w:val="00F30283"/>
    <w:rsid w:val="00F317AA"/>
    <w:rsid w:val="00F31BD8"/>
    <w:rsid w:val="00F32A2A"/>
    <w:rsid w:val="00F33B9F"/>
    <w:rsid w:val="00F35035"/>
    <w:rsid w:val="00F35350"/>
    <w:rsid w:val="00F354B0"/>
    <w:rsid w:val="00F36630"/>
    <w:rsid w:val="00F36631"/>
    <w:rsid w:val="00F366E9"/>
    <w:rsid w:val="00F37180"/>
    <w:rsid w:val="00F37AC4"/>
    <w:rsid w:val="00F406C1"/>
    <w:rsid w:val="00F40DBA"/>
    <w:rsid w:val="00F424C7"/>
    <w:rsid w:val="00F43632"/>
    <w:rsid w:val="00F43EE1"/>
    <w:rsid w:val="00F449B5"/>
    <w:rsid w:val="00F44C81"/>
    <w:rsid w:val="00F457EB"/>
    <w:rsid w:val="00F5084C"/>
    <w:rsid w:val="00F51690"/>
    <w:rsid w:val="00F52347"/>
    <w:rsid w:val="00F52BC6"/>
    <w:rsid w:val="00F54759"/>
    <w:rsid w:val="00F5583E"/>
    <w:rsid w:val="00F55D5B"/>
    <w:rsid w:val="00F5615B"/>
    <w:rsid w:val="00F5674D"/>
    <w:rsid w:val="00F57073"/>
    <w:rsid w:val="00F61D6B"/>
    <w:rsid w:val="00F61FFF"/>
    <w:rsid w:val="00F62D73"/>
    <w:rsid w:val="00F63F9A"/>
    <w:rsid w:val="00F6501C"/>
    <w:rsid w:val="00F6640E"/>
    <w:rsid w:val="00F66443"/>
    <w:rsid w:val="00F702B7"/>
    <w:rsid w:val="00F71420"/>
    <w:rsid w:val="00F71851"/>
    <w:rsid w:val="00F74CA9"/>
    <w:rsid w:val="00F76433"/>
    <w:rsid w:val="00F768D4"/>
    <w:rsid w:val="00F77006"/>
    <w:rsid w:val="00F77D85"/>
    <w:rsid w:val="00F77DC2"/>
    <w:rsid w:val="00F80431"/>
    <w:rsid w:val="00F822BB"/>
    <w:rsid w:val="00F829DA"/>
    <w:rsid w:val="00F82FA5"/>
    <w:rsid w:val="00F835D7"/>
    <w:rsid w:val="00F84F7E"/>
    <w:rsid w:val="00F85234"/>
    <w:rsid w:val="00F8531A"/>
    <w:rsid w:val="00F857E5"/>
    <w:rsid w:val="00F8682F"/>
    <w:rsid w:val="00F86BFE"/>
    <w:rsid w:val="00F8753A"/>
    <w:rsid w:val="00F8796F"/>
    <w:rsid w:val="00F87F41"/>
    <w:rsid w:val="00F909E6"/>
    <w:rsid w:val="00F9121A"/>
    <w:rsid w:val="00F91791"/>
    <w:rsid w:val="00F94019"/>
    <w:rsid w:val="00F947D1"/>
    <w:rsid w:val="00F94F14"/>
    <w:rsid w:val="00F950D0"/>
    <w:rsid w:val="00F9597F"/>
    <w:rsid w:val="00F95A49"/>
    <w:rsid w:val="00F95D5B"/>
    <w:rsid w:val="00F96DDB"/>
    <w:rsid w:val="00F979A6"/>
    <w:rsid w:val="00FA0013"/>
    <w:rsid w:val="00FA07D5"/>
    <w:rsid w:val="00FA22EA"/>
    <w:rsid w:val="00FA2819"/>
    <w:rsid w:val="00FA36C8"/>
    <w:rsid w:val="00FA39A3"/>
    <w:rsid w:val="00FA3EF0"/>
    <w:rsid w:val="00FA484A"/>
    <w:rsid w:val="00FA4948"/>
    <w:rsid w:val="00FA5CE8"/>
    <w:rsid w:val="00FA62AA"/>
    <w:rsid w:val="00FA7DD4"/>
    <w:rsid w:val="00FB00FB"/>
    <w:rsid w:val="00FB04E0"/>
    <w:rsid w:val="00FB1D59"/>
    <w:rsid w:val="00FB247F"/>
    <w:rsid w:val="00FB24C8"/>
    <w:rsid w:val="00FB2630"/>
    <w:rsid w:val="00FB29B2"/>
    <w:rsid w:val="00FB2F11"/>
    <w:rsid w:val="00FB3543"/>
    <w:rsid w:val="00FB35D0"/>
    <w:rsid w:val="00FB37B7"/>
    <w:rsid w:val="00FB5964"/>
    <w:rsid w:val="00FB5FFA"/>
    <w:rsid w:val="00FB6885"/>
    <w:rsid w:val="00FB6B16"/>
    <w:rsid w:val="00FB75A5"/>
    <w:rsid w:val="00FB7AF1"/>
    <w:rsid w:val="00FB7D28"/>
    <w:rsid w:val="00FC2B74"/>
    <w:rsid w:val="00FC2B9E"/>
    <w:rsid w:val="00FC2E05"/>
    <w:rsid w:val="00FC2E18"/>
    <w:rsid w:val="00FC414F"/>
    <w:rsid w:val="00FC4831"/>
    <w:rsid w:val="00FC4981"/>
    <w:rsid w:val="00FC5CFB"/>
    <w:rsid w:val="00FC6AF0"/>
    <w:rsid w:val="00FC7182"/>
    <w:rsid w:val="00FD19F4"/>
    <w:rsid w:val="00FD206B"/>
    <w:rsid w:val="00FD2321"/>
    <w:rsid w:val="00FD32AA"/>
    <w:rsid w:val="00FD4000"/>
    <w:rsid w:val="00FD41B8"/>
    <w:rsid w:val="00FD5573"/>
    <w:rsid w:val="00FD57FF"/>
    <w:rsid w:val="00FD5905"/>
    <w:rsid w:val="00FD633E"/>
    <w:rsid w:val="00FE0F6C"/>
    <w:rsid w:val="00FE0F87"/>
    <w:rsid w:val="00FE1F5E"/>
    <w:rsid w:val="00FE21C8"/>
    <w:rsid w:val="00FE2B2A"/>
    <w:rsid w:val="00FE33A1"/>
    <w:rsid w:val="00FE35F7"/>
    <w:rsid w:val="00FE3940"/>
    <w:rsid w:val="00FE4063"/>
    <w:rsid w:val="00FE44F6"/>
    <w:rsid w:val="00FE45F3"/>
    <w:rsid w:val="00FE46DF"/>
    <w:rsid w:val="00FE4902"/>
    <w:rsid w:val="00FE53C2"/>
    <w:rsid w:val="00FE62FB"/>
    <w:rsid w:val="00FE6325"/>
    <w:rsid w:val="00FE67BE"/>
    <w:rsid w:val="00FE7246"/>
    <w:rsid w:val="00FE72B6"/>
    <w:rsid w:val="00FE7C11"/>
    <w:rsid w:val="00FF15BF"/>
    <w:rsid w:val="00FF1DCF"/>
    <w:rsid w:val="00FF27E1"/>
    <w:rsid w:val="00FF36B5"/>
    <w:rsid w:val="00FF42F5"/>
    <w:rsid w:val="00FF54F9"/>
    <w:rsid w:val="00FF61B6"/>
    <w:rsid w:val="00FF6C53"/>
    <w:rsid w:val="00FF6E1B"/>
    <w:rsid w:val="00FF7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76D901-D276-462F-ABE5-B8983CC6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b/>
      <w:sz w:val="16"/>
    </w:rPr>
  </w:style>
  <w:style w:type="paragraph" w:styleId="Heading2">
    <w:name w:val="heading 2"/>
    <w:basedOn w:val="Normal"/>
    <w:next w:val="Normal"/>
    <w:qFormat/>
    <w:pPr>
      <w:keepNext/>
      <w:outlineLvl w:val="1"/>
    </w:pPr>
    <w:rPr>
      <w:b/>
      <w:sz w:val="16"/>
    </w:rPr>
  </w:style>
  <w:style w:type="paragraph" w:styleId="Heading3">
    <w:name w:val="heading 3"/>
    <w:basedOn w:val="Normal"/>
    <w:next w:val="Normal"/>
    <w:qFormat/>
    <w:pPr>
      <w:keepNext/>
      <w:numPr>
        <w:numId w:val="2"/>
      </w:numPr>
      <w:tabs>
        <w:tab w:val="left" w:pos="270"/>
      </w:tabs>
      <w:outlineLvl w:val="2"/>
    </w:pPr>
    <w:rPr>
      <w:b/>
      <w:sz w:val="16"/>
      <w:u w:val="single"/>
    </w:rPr>
  </w:style>
  <w:style w:type="paragraph" w:styleId="Heading5">
    <w:name w:val="heading 5"/>
    <w:aliases w:val="Titre 10"/>
    <w:basedOn w:val="Normal"/>
    <w:next w:val="Normal"/>
    <w:link w:val="Heading5Char"/>
    <w:uiPriority w:val="99"/>
    <w:qFormat/>
    <w:pPr>
      <w:keepNext/>
      <w:outlineLvl w:val="4"/>
    </w:pPr>
    <w:rPr>
      <w:b/>
      <w:u w:val="single"/>
    </w:rPr>
  </w:style>
  <w:style w:type="paragraph" w:styleId="Heading6">
    <w:name w:val="heading 6"/>
    <w:basedOn w:val="Normal"/>
    <w:next w:val="Normal"/>
    <w:qFormat/>
    <w:pPr>
      <w:keepNext/>
      <w:numPr>
        <w:numId w:val="1"/>
      </w:numPr>
      <w:tabs>
        <w:tab w:val="left" w:pos="270"/>
      </w:tabs>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sz w:val="16"/>
    </w:rPr>
  </w:style>
  <w:style w:type="paragraph" w:styleId="BodyText2">
    <w:name w:val="Body Text 2"/>
    <w:basedOn w:val="Normal"/>
    <w:rPr>
      <w:sz w:val="16"/>
    </w:rPr>
  </w:style>
  <w:style w:type="paragraph" w:styleId="BodyText3">
    <w:name w:val="Body Text 3"/>
    <w:basedOn w:val="Normal"/>
    <w:link w:val="BodyText3Char"/>
    <w:uiPriority w:val="99"/>
    <w:pPr>
      <w:jc w:val="center"/>
    </w:pPr>
    <w:rPr>
      <w:b/>
      <w:i/>
      <w:sz w:val="16"/>
    </w:rPr>
  </w:style>
  <w:style w:type="paragraph" w:customStyle="1" w:styleId="Body">
    <w:name w:val="Body"/>
    <w:basedOn w:val="Normal"/>
    <w:pPr>
      <w:ind w:firstLine="288"/>
      <w:jc w:val="both"/>
    </w:pPr>
    <w:rPr>
      <w:rFonts w:ascii="Arial" w:hAnsi="Arial"/>
    </w:rPr>
  </w:style>
  <w:style w:type="paragraph" w:customStyle="1" w:styleId="SubSectionHeadings">
    <w:name w:val="Sub Section Headings"/>
    <w:basedOn w:val="Normal"/>
    <w:next w:val="Body"/>
    <w:pPr>
      <w:keepNext/>
      <w:keepLines/>
    </w:pPr>
    <w:rPr>
      <w:rFonts w:ascii="Arial" w:hAnsi="Arial"/>
      <w:i/>
    </w:rPr>
  </w:style>
  <w:style w:type="paragraph" w:customStyle="1" w:styleId="SectionHeadings">
    <w:name w:val="Section Headings"/>
    <w:basedOn w:val="Normal"/>
    <w:next w:val="Body"/>
    <w:pPr>
      <w:keepNext/>
      <w:keepLines/>
      <w:spacing w:before="240" w:after="120"/>
    </w:pPr>
    <w:rPr>
      <w:rFonts w:ascii="Arial" w:hAnsi="Arial"/>
      <w:b/>
      <w:caps/>
    </w:rPr>
  </w:style>
  <w:style w:type="paragraph" w:customStyle="1" w:styleId="Heads">
    <w:name w:val="Heads"/>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60" w:line="120" w:lineRule="exact"/>
      <w:jc w:val="center"/>
    </w:pPr>
    <w:rPr>
      <w:rFonts w:ascii="B Helvetica Bold" w:hAnsi="B Helvetica Bold"/>
      <w:sz w:val="12"/>
    </w:rPr>
  </w:style>
  <w:style w:type="paragraph" w:styleId="Header">
    <w:name w:val="header"/>
    <w:basedOn w:val="Normal"/>
    <w:pPr>
      <w:tabs>
        <w:tab w:val="center" w:pos="4320"/>
        <w:tab w:val="right" w:pos="8640"/>
      </w:tabs>
    </w:pPr>
  </w:style>
  <w:style w:type="character" w:styleId="Hyperlink">
    <w:name w:val="Hyperlink"/>
    <w:rsid w:val="00DD0D9A"/>
    <w:rPr>
      <w:color w:val="0000FF"/>
      <w:u w:val="single"/>
    </w:rPr>
  </w:style>
  <w:style w:type="paragraph" w:styleId="Footer">
    <w:name w:val="footer"/>
    <w:basedOn w:val="Normal"/>
    <w:pPr>
      <w:tabs>
        <w:tab w:val="center" w:pos="4320"/>
        <w:tab w:val="right" w:pos="8640"/>
      </w:tabs>
    </w:pPr>
  </w:style>
  <w:style w:type="paragraph" w:styleId="TOC1">
    <w:name w:val="toc 1"/>
    <w:basedOn w:val="Normal"/>
    <w:next w:val="Normal"/>
    <w:autoRedefine/>
    <w:semiHidden/>
    <w:rsid w:val="00DD0D9A"/>
    <w:rPr>
      <w:rFonts w:ascii="Arial" w:hAnsi="Arial"/>
      <w:sz w:val="16"/>
      <w:szCs w:val="24"/>
    </w:rPr>
  </w:style>
  <w:style w:type="paragraph" w:styleId="TOC2">
    <w:name w:val="toc 2"/>
    <w:basedOn w:val="Normal"/>
    <w:next w:val="Normal"/>
    <w:autoRedefine/>
    <w:semiHidden/>
    <w:rsid w:val="006775DE"/>
    <w:pPr>
      <w:tabs>
        <w:tab w:val="left" w:pos="480"/>
        <w:tab w:val="right" w:leader="dot" w:pos="5520"/>
      </w:tabs>
    </w:pPr>
    <w:rPr>
      <w:rFonts w:ascii="Arial" w:hAnsi="Arial"/>
      <w:sz w:val="16"/>
      <w:szCs w:val="24"/>
    </w:rPr>
  </w:style>
  <w:style w:type="paragraph" w:styleId="BodyTextIndent2">
    <w:name w:val="Body Text Indent 2"/>
    <w:basedOn w:val="Normal"/>
    <w:link w:val="BodyTextIndent2Char"/>
    <w:rsid w:val="00DD0D9A"/>
    <w:pPr>
      <w:spacing w:after="120" w:line="480" w:lineRule="auto"/>
      <w:ind w:left="360"/>
    </w:pPr>
  </w:style>
  <w:style w:type="paragraph" w:styleId="PlainText">
    <w:name w:val="Plain Text"/>
    <w:basedOn w:val="Normal"/>
    <w:rsid w:val="00DD0D9A"/>
    <w:pPr>
      <w:spacing w:before="120" w:after="120"/>
      <w:jc w:val="both"/>
    </w:pPr>
    <w:rPr>
      <w:rFonts w:ascii="Courier New" w:hAnsi="Courier New" w:cs="Courier New"/>
    </w:rPr>
  </w:style>
  <w:style w:type="paragraph" w:customStyle="1" w:styleId="NDAFigureFooter">
    <w:name w:val="NDA Figure Footer"/>
    <w:basedOn w:val="Normal"/>
    <w:rsid w:val="00DD0D9A"/>
    <w:pPr>
      <w:keepLines/>
      <w:spacing w:before="40" w:after="20"/>
    </w:pPr>
    <w:rPr>
      <w:rFonts w:ascii="Arial" w:hAnsi="Arial"/>
      <w:sz w:val="18"/>
      <w:szCs w:val="24"/>
    </w:rPr>
  </w:style>
  <w:style w:type="paragraph" w:styleId="Title">
    <w:name w:val="Title"/>
    <w:basedOn w:val="Normal"/>
    <w:qFormat/>
    <w:rsid w:val="00DD0D9A"/>
    <w:pPr>
      <w:spacing w:before="40" w:after="40"/>
      <w:jc w:val="center"/>
      <w:outlineLvl w:val="0"/>
    </w:pPr>
    <w:rPr>
      <w:rFonts w:ascii="Arial Bold" w:hAnsi="Arial Bold" w:cs="Arial"/>
      <w:b/>
      <w:bCs/>
      <w:kern w:val="28"/>
      <w:sz w:val="14"/>
      <w:szCs w:val="32"/>
    </w:rPr>
  </w:style>
  <w:style w:type="paragraph" w:customStyle="1" w:styleId="NDATableHeading9Left">
    <w:name w:val="NDA Table Heading 9 Left"/>
    <w:basedOn w:val="Normal"/>
    <w:rsid w:val="00DD0D9A"/>
    <w:pPr>
      <w:spacing w:before="20" w:after="20"/>
    </w:pPr>
    <w:rPr>
      <w:rFonts w:ascii="Arial Bold" w:hAnsi="Arial Bold" w:cs="Arial"/>
      <w:sz w:val="18"/>
      <w:szCs w:val="24"/>
    </w:rPr>
  </w:style>
  <w:style w:type="character" w:customStyle="1" w:styleId="Heading1Char">
    <w:name w:val="Heading 1 Char"/>
    <w:link w:val="Heading1"/>
    <w:rsid w:val="00994212"/>
    <w:rPr>
      <w:b/>
      <w:sz w:val="16"/>
      <w:lang w:val="en-US" w:eastAsia="en-US" w:bidi="ar-SA"/>
    </w:rPr>
  </w:style>
  <w:style w:type="table" w:styleId="TableGrid">
    <w:name w:val="Table Grid"/>
    <w:basedOn w:val="TableNormal"/>
    <w:uiPriority w:val="59"/>
    <w:rsid w:val="00910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E21CD"/>
    <w:rPr>
      <w:rFonts w:ascii="Tahoma" w:hAnsi="Tahoma" w:cs="Tahoma"/>
      <w:sz w:val="16"/>
      <w:szCs w:val="16"/>
    </w:rPr>
  </w:style>
  <w:style w:type="character" w:customStyle="1" w:styleId="BalloonTextChar">
    <w:name w:val="Balloon Text Char"/>
    <w:link w:val="BalloonText"/>
    <w:rsid w:val="005E21CD"/>
    <w:rPr>
      <w:rFonts w:ascii="Tahoma" w:hAnsi="Tahoma" w:cs="Tahoma"/>
      <w:sz w:val="16"/>
      <w:szCs w:val="16"/>
    </w:rPr>
  </w:style>
  <w:style w:type="character" w:styleId="CommentReference">
    <w:name w:val="annotation reference"/>
    <w:uiPriority w:val="99"/>
    <w:rsid w:val="00804964"/>
    <w:rPr>
      <w:sz w:val="16"/>
      <w:szCs w:val="16"/>
    </w:rPr>
  </w:style>
  <w:style w:type="paragraph" w:styleId="CommentText">
    <w:name w:val="annotation text"/>
    <w:aliases w:val="- H19,Annotationtext,Comment Text Char Char,Comment Text Char1 Char Char,Comment Text Char Char Char Char,Comment Text Char Char1"/>
    <w:basedOn w:val="Normal"/>
    <w:link w:val="CommentTextChar"/>
    <w:qFormat/>
    <w:rsid w:val="00804964"/>
  </w:style>
  <w:style w:type="character" w:customStyle="1" w:styleId="CommentTextChar">
    <w:name w:val="Comment Text Char"/>
    <w:aliases w:val="- H19 Char,Annotationtext Char,Comment Text Char Char Char,Comment Text Char1 Char Char Char,Comment Text Char Char Char Char Char,Comment Text Char Char1 Char"/>
    <w:basedOn w:val="DefaultParagraphFont"/>
    <w:link w:val="CommentText"/>
    <w:rsid w:val="00804964"/>
  </w:style>
  <w:style w:type="paragraph" w:styleId="CommentSubject">
    <w:name w:val="annotation subject"/>
    <w:basedOn w:val="CommentText"/>
    <w:next w:val="CommentText"/>
    <w:link w:val="CommentSubjectChar"/>
    <w:rsid w:val="00804964"/>
    <w:rPr>
      <w:b/>
      <w:bCs/>
    </w:rPr>
  </w:style>
  <w:style w:type="character" w:customStyle="1" w:styleId="CommentSubjectChar">
    <w:name w:val="Comment Subject Char"/>
    <w:link w:val="CommentSubject"/>
    <w:rsid w:val="00804964"/>
    <w:rPr>
      <w:b/>
      <w:bCs/>
    </w:rPr>
  </w:style>
  <w:style w:type="paragraph" w:styleId="Revision">
    <w:name w:val="Revision"/>
    <w:hidden/>
    <w:uiPriority w:val="99"/>
    <w:semiHidden/>
    <w:rsid w:val="00804964"/>
    <w:rPr>
      <w:lang w:val="en-US" w:eastAsia="en-US"/>
    </w:rPr>
  </w:style>
  <w:style w:type="character" w:customStyle="1" w:styleId="Heading5Char">
    <w:name w:val="Heading 5 Char"/>
    <w:aliases w:val="Titre 10 Char"/>
    <w:link w:val="Heading5"/>
    <w:uiPriority w:val="99"/>
    <w:rsid w:val="007609B5"/>
    <w:rPr>
      <w:b/>
      <w:u w:val="single"/>
    </w:rPr>
  </w:style>
  <w:style w:type="paragraph" w:customStyle="1" w:styleId="Paragraph">
    <w:name w:val="Paragraph"/>
    <w:link w:val="ParagraphChar"/>
    <w:qFormat/>
    <w:rsid w:val="00AE7938"/>
    <w:pPr>
      <w:spacing w:after="240"/>
    </w:pPr>
    <w:rPr>
      <w:sz w:val="24"/>
      <w:szCs w:val="24"/>
      <w:lang w:val="en-US" w:eastAsia="en-US"/>
    </w:rPr>
  </w:style>
  <w:style w:type="character" w:customStyle="1" w:styleId="ParagraphChar">
    <w:name w:val="Paragraph Char"/>
    <w:link w:val="Paragraph"/>
    <w:rsid w:val="00AE7938"/>
    <w:rPr>
      <w:sz w:val="24"/>
      <w:szCs w:val="24"/>
    </w:rPr>
  </w:style>
  <w:style w:type="paragraph" w:customStyle="1" w:styleId="superscript">
    <w:name w:val="superscript"/>
    <w:basedOn w:val="Paragraph"/>
    <w:link w:val="superscriptChar"/>
    <w:autoRedefine/>
    <w:rsid w:val="007060F1"/>
    <w:pPr>
      <w:spacing w:after="120"/>
    </w:pPr>
    <w:rPr>
      <w:rFonts w:eastAsia="MS Mincho"/>
      <w:color w:val="000000"/>
      <w:vertAlign w:val="superscript"/>
      <w:lang w:eastAsia="ja-JP" w:bidi="ml-IN"/>
    </w:rPr>
  </w:style>
  <w:style w:type="character" w:customStyle="1" w:styleId="superscriptChar">
    <w:name w:val="superscript Char"/>
    <w:link w:val="superscript"/>
    <w:rsid w:val="007060F1"/>
    <w:rPr>
      <w:rFonts w:eastAsia="MS Mincho"/>
      <w:color w:val="000000"/>
      <w:sz w:val="24"/>
      <w:szCs w:val="24"/>
      <w:vertAlign w:val="superscript"/>
      <w:lang w:eastAsia="ja-JP" w:bidi="ml-IN"/>
    </w:rPr>
  </w:style>
  <w:style w:type="paragraph" w:styleId="FootnoteText">
    <w:name w:val="footnote text"/>
    <w:link w:val="FootnoteTextChar"/>
    <w:rsid w:val="00D47CA8"/>
    <w:pPr>
      <w:spacing w:after="120"/>
      <w:ind w:firstLine="461"/>
    </w:pPr>
    <w:rPr>
      <w:lang w:val="en-US" w:eastAsia="en-US"/>
    </w:rPr>
  </w:style>
  <w:style w:type="character" w:customStyle="1" w:styleId="FootnoteTextChar">
    <w:name w:val="Footnote Text Char"/>
    <w:basedOn w:val="DefaultParagraphFont"/>
    <w:link w:val="FootnoteText"/>
    <w:rsid w:val="00D47CA8"/>
  </w:style>
  <w:style w:type="paragraph" w:customStyle="1" w:styleId="TableTextCentered">
    <w:name w:val="TableText Centered"/>
    <w:rsid w:val="00D700C3"/>
    <w:pPr>
      <w:jc w:val="center"/>
    </w:pPr>
    <w:rPr>
      <w:lang w:val="en-US" w:eastAsia="en-US"/>
    </w:rPr>
  </w:style>
  <w:style w:type="character" w:customStyle="1" w:styleId="BlueText">
    <w:name w:val="Blue Text"/>
    <w:rsid w:val="00D700C3"/>
    <w:rPr>
      <w:color w:val="0000FF"/>
    </w:rPr>
  </w:style>
  <w:style w:type="paragraph" w:styleId="NoSpacing">
    <w:name w:val="No Spacing"/>
    <w:uiPriority w:val="1"/>
    <w:qFormat/>
    <w:rsid w:val="00D700C3"/>
    <w:rPr>
      <w:rFonts w:ascii="Calibri" w:eastAsia="Calibri" w:hAnsi="Calibri"/>
      <w:sz w:val="22"/>
      <w:szCs w:val="22"/>
      <w:lang w:val="en-US" w:eastAsia="en-US"/>
    </w:rPr>
  </w:style>
  <w:style w:type="character" w:customStyle="1" w:styleId="paragraph-h1">
    <w:name w:val="paragraph-h1"/>
    <w:rsid w:val="00E97DE6"/>
    <w:rPr>
      <w:rFonts w:ascii="Times New Roman" w:hAnsi="Times New Roman" w:cs="Times New Roman" w:hint="default"/>
      <w:sz w:val="24"/>
      <w:szCs w:val="24"/>
    </w:rPr>
  </w:style>
  <w:style w:type="character" w:customStyle="1" w:styleId="BodyText3Char">
    <w:name w:val="Body Text 3 Char"/>
    <w:link w:val="BodyText3"/>
    <w:uiPriority w:val="99"/>
    <w:rsid w:val="00BD4868"/>
    <w:rPr>
      <w:b/>
      <w:i/>
      <w:sz w:val="16"/>
    </w:rPr>
  </w:style>
  <w:style w:type="paragraph" w:styleId="ListParagraph">
    <w:name w:val="List Paragraph"/>
    <w:basedOn w:val="Normal"/>
    <w:uiPriority w:val="34"/>
    <w:qFormat/>
    <w:rsid w:val="00BD4868"/>
    <w:pPr>
      <w:ind w:left="720"/>
    </w:pPr>
    <w:rPr>
      <w:rFonts w:ascii="Calibri" w:hAnsi="Calibri"/>
      <w:sz w:val="22"/>
      <w:szCs w:val="22"/>
    </w:rPr>
  </w:style>
  <w:style w:type="character" w:customStyle="1" w:styleId="TableText12">
    <w:name w:val="TableText 12"/>
    <w:uiPriority w:val="99"/>
    <w:rsid w:val="00A463F3"/>
    <w:rPr>
      <w:rFonts w:ascii="Times New Roman" w:hAnsi="Times New Roman" w:cs="Times New Roman"/>
      <w:sz w:val="24"/>
    </w:rPr>
  </w:style>
  <w:style w:type="paragraph" w:customStyle="1" w:styleId="paragraph0">
    <w:name w:val="paragraph"/>
    <w:basedOn w:val="Normal"/>
    <w:link w:val="paragraphChar0"/>
    <w:rsid w:val="00457F7D"/>
    <w:pPr>
      <w:spacing w:before="120" w:after="120"/>
    </w:pPr>
    <w:rPr>
      <w:rFonts w:eastAsia="Calibri"/>
      <w:color w:val="000000"/>
      <w:sz w:val="24"/>
      <w:szCs w:val="24"/>
      <w:lang w:val="x-none" w:eastAsia="x-none"/>
    </w:rPr>
  </w:style>
  <w:style w:type="character" w:customStyle="1" w:styleId="paragraphChar0">
    <w:name w:val="paragraph Char"/>
    <w:link w:val="paragraph0"/>
    <w:rsid w:val="00457F7D"/>
    <w:rPr>
      <w:rFonts w:eastAsia="Calibri"/>
      <w:color w:val="000000"/>
      <w:sz w:val="24"/>
      <w:szCs w:val="24"/>
      <w:lang w:val="x-none" w:eastAsia="x-none"/>
    </w:rPr>
  </w:style>
  <w:style w:type="paragraph" w:customStyle="1" w:styleId="Default">
    <w:name w:val="Default"/>
    <w:rsid w:val="00020DE4"/>
    <w:pPr>
      <w:autoSpaceDE w:val="0"/>
      <w:autoSpaceDN w:val="0"/>
      <w:adjustRightInd w:val="0"/>
    </w:pPr>
    <w:rPr>
      <w:rFonts w:eastAsia="SimSun"/>
      <w:color w:val="000000"/>
      <w:sz w:val="24"/>
      <w:szCs w:val="24"/>
      <w:lang w:val="en-US" w:eastAsia="zh-CN"/>
    </w:rPr>
  </w:style>
  <w:style w:type="paragraph" w:customStyle="1" w:styleId="TableTextFootnote">
    <w:name w:val="TableText Footnote"/>
    <w:link w:val="TableTextFootnoteChar"/>
    <w:rsid w:val="00031CFC"/>
    <w:pPr>
      <w:tabs>
        <w:tab w:val="left" w:pos="360"/>
      </w:tabs>
    </w:pPr>
    <w:rPr>
      <w:rFonts w:eastAsia="SimSun"/>
      <w:lang w:val="en-US" w:eastAsia="en-US"/>
    </w:rPr>
  </w:style>
  <w:style w:type="character" w:customStyle="1" w:styleId="TableTextFootnoteChar">
    <w:name w:val="TableText Footnote Char"/>
    <w:link w:val="TableTextFootnote"/>
    <w:rsid w:val="00031CFC"/>
    <w:rPr>
      <w:rFonts w:eastAsia="SimSun"/>
    </w:rPr>
  </w:style>
  <w:style w:type="paragraph" w:customStyle="1" w:styleId="TableText">
    <w:name w:val="TableText"/>
    <w:link w:val="TableTextChar"/>
    <w:rsid w:val="00031CFC"/>
    <w:rPr>
      <w:rFonts w:eastAsia="SimSun" w:cs="Arial"/>
      <w:lang w:val="en-US" w:eastAsia="en-US"/>
    </w:rPr>
  </w:style>
  <w:style w:type="character" w:customStyle="1" w:styleId="TableTextChar">
    <w:name w:val="TableText Char"/>
    <w:link w:val="TableText"/>
    <w:rsid w:val="00031CFC"/>
    <w:rPr>
      <w:rFonts w:eastAsia="SimSun" w:cs="Arial"/>
    </w:rPr>
  </w:style>
  <w:style w:type="paragraph" w:customStyle="1" w:styleId="USPIHPIHeading">
    <w:name w:val="USPI HPI Heading"/>
    <w:basedOn w:val="Normal"/>
    <w:next w:val="Normal"/>
    <w:link w:val="USPIHPIHeadingChar"/>
    <w:qFormat/>
    <w:rsid w:val="001C6A53"/>
    <w:pPr>
      <w:keepNext/>
      <w:tabs>
        <w:tab w:val="left" w:pos="0"/>
        <w:tab w:val="center" w:leader="hyphen" w:pos="2520"/>
        <w:tab w:val="right" w:leader="hyphen" w:pos="5040"/>
      </w:tabs>
    </w:pPr>
    <w:rPr>
      <w:b/>
      <w:sz w:val="16"/>
      <w:szCs w:val="24"/>
    </w:rPr>
  </w:style>
  <w:style w:type="character" w:customStyle="1" w:styleId="USPIHPIHeadingChar">
    <w:name w:val="USPI HPI Heading Char"/>
    <w:link w:val="USPIHPIHeading"/>
    <w:rsid w:val="001C6A53"/>
    <w:rPr>
      <w:b/>
      <w:sz w:val="16"/>
      <w:szCs w:val="24"/>
    </w:rPr>
  </w:style>
  <w:style w:type="character" w:styleId="FollowedHyperlink">
    <w:name w:val="FollowedHyperlink"/>
    <w:rsid w:val="00742B54"/>
    <w:rPr>
      <w:color w:val="800080"/>
      <w:u w:val="single"/>
    </w:rPr>
  </w:style>
  <w:style w:type="character" w:styleId="Emphasis">
    <w:name w:val="Emphasis"/>
    <w:uiPriority w:val="20"/>
    <w:qFormat/>
    <w:rsid w:val="0036279D"/>
    <w:rPr>
      <w:i/>
      <w:iCs/>
    </w:rPr>
  </w:style>
  <w:style w:type="character" w:customStyle="1" w:styleId="BodyTextIndent2Char">
    <w:name w:val="Body Text Indent 2 Char"/>
    <w:link w:val="BodyTextIndent2"/>
    <w:rsid w:val="00642439"/>
  </w:style>
  <w:style w:type="paragraph" w:customStyle="1" w:styleId="CM7">
    <w:name w:val="CM7"/>
    <w:basedOn w:val="Default"/>
    <w:next w:val="Default"/>
    <w:uiPriority w:val="99"/>
    <w:rsid w:val="00036A4B"/>
    <w:pPr>
      <w:spacing w:line="278" w:lineRule="atLeast"/>
    </w:pPr>
    <w:rPr>
      <w:rFonts w:eastAsia="Times New Roman"/>
      <w:color w:val="auto"/>
      <w:lang w:eastAsia="en-US"/>
    </w:rPr>
  </w:style>
  <w:style w:type="paragraph" w:customStyle="1" w:styleId="CM27">
    <w:name w:val="CM27"/>
    <w:basedOn w:val="Default"/>
    <w:next w:val="Default"/>
    <w:uiPriority w:val="99"/>
    <w:rsid w:val="00036A4B"/>
    <w:rPr>
      <w:rFonts w:eastAsia="Times New Roman"/>
      <w:color w:val="auto"/>
      <w:lang w:eastAsia="en-US"/>
    </w:rPr>
  </w:style>
  <w:style w:type="character" w:styleId="LineNumber">
    <w:name w:val="line number"/>
    <w:rsid w:val="00154595"/>
  </w:style>
  <w:style w:type="character" w:customStyle="1" w:styleId="bold">
    <w:name w:val="bold"/>
    <w:rsid w:val="00195E01"/>
  </w:style>
  <w:style w:type="character" w:customStyle="1" w:styleId="search-term1">
    <w:name w:val="search-term1"/>
    <w:rsid w:val="00F95A49"/>
    <w:rPr>
      <w:bdr w:val="single" w:sz="6" w:space="0" w:color="0000FF" w:frame="1"/>
      <w:shd w:val="clear" w:color="auto" w:fill="FFFF00"/>
    </w:rPr>
  </w:style>
  <w:style w:type="character" w:customStyle="1" w:styleId="italics2">
    <w:name w:val="italics2"/>
    <w:rsid w:val="00F95A49"/>
    <w:rPr>
      <w:i/>
      <w:iCs/>
    </w:rPr>
  </w:style>
  <w:style w:type="table" w:customStyle="1" w:styleId="GridTable1Light1">
    <w:name w:val="Grid Table 1 Light1"/>
    <w:basedOn w:val="TableNormal"/>
    <w:uiPriority w:val="46"/>
    <w:rsid w:val="0017497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CM1">
    <w:name w:val="CM1"/>
    <w:basedOn w:val="Default"/>
    <w:next w:val="Default"/>
    <w:uiPriority w:val="99"/>
    <w:rsid w:val="004726E2"/>
    <w:rPr>
      <w:rFonts w:eastAsia="Times New Roman"/>
      <w:color w:val="auto"/>
      <w:lang w:eastAsia="en-US"/>
    </w:rPr>
  </w:style>
  <w:style w:type="paragraph" w:customStyle="1" w:styleId="Heading2NoTOC">
    <w:name w:val="Heading 2 NoTOC"/>
    <w:next w:val="Paragraph"/>
    <w:rsid w:val="003F5ED7"/>
    <w:pPr>
      <w:keepNext/>
      <w:spacing w:before="120" w:after="120"/>
    </w:pPr>
    <w:rPr>
      <w:rFonts w:cs="Arial"/>
      <w:b/>
      <w:bCs/>
      <w:sz w:val="24"/>
      <w:szCs w:val="26"/>
      <w:lang w:val="en-US" w:eastAsia="en-US"/>
    </w:rPr>
  </w:style>
  <w:style w:type="paragraph" w:styleId="NormalWeb">
    <w:name w:val="Normal (Web)"/>
    <w:basedOn w:val="Normal"/>
    <w:uiPriority w:val="99"/>
    <w:unhideWhenUsed/>
    <w:rsid w:val="00747B4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072">
      <w:bodyDiv w:val="1"/>
      <w:marLeft w:val="0"/>
      <w:marRight w:val="0"/>
      <w:marTop w:val="0"/>
      <w:marBottom w:val="0"/>
      <w:divBdr>
        <w:top w:val="none" w:sz="0" w:space="0" w:color="auto"/>
        <w:left w:val="none" w:sz="0" w:space="0" w:color="auto"/>
        <w:bottom w:val="none" w:sz="0" w:space="0" w:color="auto"/>
        <w:right w:val="none" w:sz="0" w:space="0" w:color="auto"/>
      </w:divBdr>
    </w:div>
    <w:div w:id="86507847">
      <w:bodyDiv w:val="1"/>
      <w:marLeft w:val="0"/>
      <w:marRight w:val="0"/>
      <w:marTop w:val="0"/>
      <w:marBottom w:val="0"/>
      <w:divBdr>
        <w:top w:val="none" w:sz="0" w:space="0" w:color="auto"/>
        <w:left w:val="none" w:sz="0" w:space="0" w:color="auto"/>
        <w:bottom w:val="none" w:sz="0" w:space="0" w:color="auto"/>
        <w:right w:val="none" w:sz="0" w:space="0" w:color="auto"/>
      </w:divBdr>
    </w:div>
    <w:div w:id="124087508">
      <w:bodyDiv w:val="1"/>
      <w:marLeft w:val="30"/>
      <w:marRight w:val="30"/>
      <w:marTop w:val="0"/>
      <w:marBottom w:val="0"/>
      <w:divBdr>
        <w:top w:val="none" w:sz="0" w:space="0" w:color="auto"/>
        <w:left w:val="none" w:sz="0" w:space="0" w:color="auto"/>
        <w:bottom w:val="none" w:sz="0" w:space="0" w:color="auto"/>
        <w:right w:val="none" w:sz="0" w:space="0" w:color="auto"/>
      </w:divBdr>
      <w:divsChild>
        <w:div w:id="334303527">
          <w:marLeft w:val="0"/>
          <w:marRight w:val="0"/>
          <w:marTop w:val="0"/>
          <w:marBottom w:val="0"/>
          <w:divBdr>
            <w:top w:val="none" w:sz="0" w:space="0" w:color="auto"/>
            <w:left w:val="none" w:sz="0" w:space="0" w:color="auto"/>
            <w:bottom w:val="none" w:sz="0" w:space="0" w:color="auto"/>
            <w:right w:val="none" w:sz="0" w:space="0" w:color="auto"/>
          </w:divBdr>
          <w:divsChild>
            <w:div w:id="699204068">
              <w:marLeft w:val="0"/>
              <w:marRight w:val="0"/>
              <w:marTop w:val="0"/>
              <w:marBottom w:val="0"/>
              <w:divBdr>
                <w:top w:val="none" w:sz="0" w:space="0" w:color="auto"/>
                <w:left w:val="none" w:sz="0" w:space="0" w:color="auto"/>
                <w:bottom w:val="none" w:sz="0" w:space="0" w:color="auto"/>
                <w:right w:val="none" w:sz="0" w:space="0" w:color="auto"/>
              </w:divBdr>
              <w:divsChild>
                <w:div w:id="658966206">
                  <w:marLeft w:val="180"/>
                  <w:marRight w:val="0"/>
                  <w:marTop w:val="0"/>
                  <w:marBottom w:val="0"/>
                  <w:divBdr>
                    <w:top w:val="none" w:sz="0" w:space="0" w:color="auto"/>
                    <w:left w:val="none" w:sz="0" w:space="0" w:color="auto"/>
                    <w:bottom w:val="none" w:sz="0" w:space="0" w:color="auto"/>
                    <w:right w:val="none" w:sz="0" w:space="0" w:color="auto"/>
                  </w:divBdr>
                  <w:divsChild>
                    <w:div w:id="13048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0733">
      <w:bodyDiv w:val="1"/>
      <w:marLeft w:val="30"/>
      <w:marRight w:val="30"/>
      <w:marTop w:val="0"/>
      <w:marBottom w:val="0"/>
      <w:divBdr>
        <w:top w:val="none" w:sz="0" w:space="0" w:color="auto"/>
        <w:left w:val="none" w:sz="0" w:space="0" w:color="auto"/>
        <w:bottom w:val="none" w:sz="0" w:space="0" w:color="auto"/>
        <w:right w:val="none" w:sz="0" w:space="0" w:color="auto"/>
      </w:divBdr>
      <w:divsChild>
        <w:div w:id="664747970">
          <w:marLeft w:val="0"/>
          <w:marRight w:val="0"/>
          <w:marTop w:val="0"/>
          <w:marBottom w:val="0"/>
          <w:divBdr>
            <w:top w:val="none" w:sz="0" w:space="0" w:color="auto"/>
            <w:left w:val="none" w:sz="0" w:space="0" w:color="auto"/>
            <w:bottom w:val="none" w:sz="0" w:space="0" w:color="auto"/>
            <w:right w:val="none" w:sz="0" w:space="0" w:color="auto"/>
          </w:divBdr>
          <w:divsChild>
            <w:div w:id="2018000004">
              <w:marLeft w:val="0"/>
              <w:marRight w:val="0"/>
              <w:marTop w:val="0"/>
              <w:marBottom w:val="0"/>
              <w:divBdr>
                <w:top w:val="none" w:sz="0" w:space="0" w:color="auto"/>
                <w:left w:val="none" w:sz="0" w:space="0" w:color="auto"/>
                <w:bottom w:val="none" w:sz="0" w:space="0" w:color="auto"/>
                <w:right w:val="none" w:sz="0" w:space="0" w:color="auto"/>
              </w:divBdr>
              <w:divsChild>
                <w:div w:id="456721938">
                  <w:marLeft w:val="180"/>
                  <w:marRight w:val="0"/>
                  <w:marTop w:val="0"/>
                  <w:marBottom w:val="0"/>
                  <w:divBdr>
                    <w:top w:val="none" w:sz="0" w:space="0" w:color="auto"/>
                    <w:left w:val="none" w:sz="0" w:space="0" w:color="auto"/>
                    <w:bottom w:val="none" w:sz="0" w:space="0" w:color="auto"/>
                    <w:right w:val="none" w:sz="0" w:space="0" w:color="auto"/>
                  </w:divBdr>
                  <w:divsChild>
                    <w:div w:id="1017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23758">
      <w:bodyDiv w:val="1"/>
      <w:marLeft w:val="30"/>
      <w:marRight w:val="30"/>
      <w:marTop w:val="0"/>
      <w:marBottom w:val="0"/>
      <w:divBdr>
        <w:top w:val="none" w:sz="0" w:space="0" w:color="auto"/>
        <w:left w:val="none" w:sz="0" w:space="0" w:color="auto"/>
        <w:bottom w:val="none" w:sz="0" w:space="0" w:color="auto"/>
        <w:right w:val="none" w:sz="0" w:space="0" w:color="auto"/>
      </w:divBdr>
      <w:divsChild>
        <w:div w:id="1950890332">
          <w:marLeft w:val="0"/>
          <w:marRight w:val="0"/>
          <w:marTop w:val="0"/>
          <w:marBottom w:val="0"/>
          <w:divBdr>
            <w:top w:val="none" w:sz="0" w:space="0" w:color="auto"/>
            <w:left w:val="none" w:sz="0" w:space="0" w:color="auto"/>
            <w:bottom w:val="none" w:sz="0" w:space="0" w:color="auto"/>
            <w:right w:val="none" w:sz="0" w:space="0" w:color="auto"/>
          </w:divBdr>
          <w:divsChild>
            <w:div w:id="1705128623">
              <w:marLeft w:val="0"/>
              <w:marRight w:val="0"/>
              <w:marTop w:val="0"/>
              <w:marBottom w:val="0"/>
              <w:divBdr>
                <w:top w:val="none" w:sz="0" w:space="0" w:color="auto"/>
                <w:left w:val="none" w:sz="0" w:space="0" w:color="auto"/>
                <w:bottom w:val="none" w:sz="0" w:space="0" w:color="auto"/>
                <w:right w:val="none" w:sz="0" w:space="0" w:color="auto"/>
              </w:divBdr>
              <w:divsChild>
                <w:div w:id="885066365">
                  <w:marLeft w:val="180"/>
                  <w:marRight w:val="0"/>
                  <w:marTop w:val="0"/>
                  <w:marBottom w:val="0"/>
                  <w:divBdr>
                    <w:top w:val="none" w:sz="0" w:space="0" w:color="auto"/>
                    <w:left w:val="none" w:sz="0" w:space="0" w:color="auto"/>
                    <w:bottom w:val="none" w:sz="0" w:space="0" w:color="auto"/>
                    <w:right w:val="none" w:sz="0" w:space="0" w:color="auto"/>
                  </w:divBdr>
                  <w:divsChild>
                    <w:div w:id="2057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1720">
      <w:bodyDiv w:val="1"/>
      <w:marLeft w:val="0"/>
      <w:marRight w:val="0"/>
      <w:marTop w:val="0"/>
      <w:marBottom w:val="0"/>
      <w:divBdr>
        <w:top w:val="none" w:sz="0" w:space="0" w:color="auto"/>
        <w:left w:val="none" w:sz="0" w:space="0" w:color="auto"/>
        <w:bottom w:val="none" w:sz="0" w:space="0" w:color="auto"/>
        <w:right w:val="none" w:sz="0" w:space="0" w:color="auto"/>
      </w:divBdr>
    </w:div>
    <w:div w:id="468283965">
      <w:bodyDiv w:val="1"/>
      <w:marLeft w:val="0"/>
      <w:marRight w:val="0"/>
      <w:marTop w:val="0"/>
      <w:marBottom w:val="0"/>
      <w:divBdr>
        <w:top w:val="none" w:sz="0" w:space="0" w:color="auto"/>
        <w:left w:val="none" w:sz="0" w:space="0" w:color="auto"/>
        <w:bottom w:val="none" w:sz="0" w:space="0" w:color="auto"/>
        <w:right w:val="none" w:sz="0" w:space="0" w:color="auto"/>
      </w:divBdr>
    </w:div>
    <w:div w:id="696077511">
      <w:bodyDiv w:val="1"/>
      <w:marLeft w:val="0"/>
      <w:marRight w:val="0"/>
      <w:marTop w:val="0"/>
      <w:marBottom w:val="0"/>
      <w:divBdr>
        <w:top w:val="none" w:sz="0" w:space="0" w:color="auto"/>
        <w:left w:val="none" w:sz="0" w:space="0" w:color="auto"/>
        <w:bottom w:val="none" w:sz="0" w:space="0" w:color="auto"/>
        <w:right w:val="none" w:sz="0" w:space="0" w:color="auto"/>
      </w:divBdr>
    </w:div>
    <w:div w:id="915895321">
      <w:bodyDiv w:val="1"/>
      <w:marLeft w:val="0"/>
      <w:marRight w:val="0"/>
      <w:marTop w:val="0"/>
      <w:marBottom w:val="0"/>
      <w:divBdr>
        <w:top w:val="none" w:sz="0" w:space="0" w:color="auto"/>
        <w:left w:val="none" w:sz="0" w:space="0" w:color="auto"/>
        <w:bottom w:val="none" w:sz="0" w:space="0" w:color="auto"/>
        <w:right w:val="none" w:sz="0" w:space="0" w:color="auto"/>
      </w:divBdr>
    </w:div>
    <w:div w:id="989946919">
      <w:bodyDiv w:val="1"/>
      <w:marLeft w:val="0"/>
      <w:marRight w:val="0"/>
      <w:marTop w:val="0"/>
      <w:marBottom w:val="0"/>
      <w:divBdr>
        <w:top w:val="none" w:sz="0" w:space="0" w:color="auto"/>
        <w:left w:val="none" w:sz="0" w:space="0" w:color="auto"/>
        <w:bottom w:val="none" w:sz="0" w:space="0" w:color="auto"/>
        <w:right w:val="none" w:sz="0" w:space="0" w:color="auto"/>
      </w:divBdr>
    </w:div>
    <w:div w:id="997730495">
      <w:bodyDiv w:val="1"/>
      <w:marLeft w:val="0"/>
      <w:marRight w:val="0"/>
      <w:marTop w:val="0"/>
      <w:marBottom w:val="0"/>
      <w:divBdr>
        <w:top w:val="none" w:sz="0" w:space="0" w:color="auto"/>
        <w:left w:val="none" w:sz="0" w:space="0" w:color="auto"/>
        <w:bottom w:val="none" w:sz="0" w:space="0" w:color="auto"/>
        <w:right w:val="none" w:sz="0" w:space="0" w:color="auto"/>
      </w:divBdr>
    </w:div>
    <w:div w:id="1062681211">
      <w:bodyDiv w:val="1"/>
      <w:marLeft w:val="30"/>
      <w:marRight w:val="30"/>
      <w:marTop w:val="0"/>
      <w:marBottom w:val="0"/>
      <w:divBdr>
        <w:top w:val="none" w:sz="0" w:space="0" w:color="auto"/>
        <w:left w:val="none" w:sz="0" w:space="0" w:color="auto"/>
        <w:bottom w:val="none" w:sz="0" w:space="0" w:color="auto"/>
        <w:right w:val="none" w:sz="0" w:space="0" w:color="auto"/>
      </w:divBdr>
      <w:divsChild>
        <w:div w:id="365565044">
          <w:marLeft w:val="0"/>
          <w:marRight w:val="0"/>
          <w:marTop w:val="0"/>
          <w:marBottom w:val="0"/>
          <w:divBdr>
            <w:top w:val="none" w:sz="0" w:space="0" w:color="auto"/>
            <w:left w:val="none" w:sz="0" w:space="0" w:color="auto"/>
            <w:bottom w:val="none" w:sz="0" w:space="0" w:color="auto"/>
            <w:right w:val="none" w:sz="0" w:space="0" w:color="auto"/>
          </w:divBdr>
          <w:divsChild>
            <w:div w:id="277638322">
              <w:marLeft w:val="0"/>
              <w:marRight w:val="0"/>
              <w:marTop w:val="0"/>
              <w:marBottom w:val="0"/>
              <w:divBdr>
                <w:top w:val="none" w:sz="0" w:space="0" w:color="auto"/>
                <w:left w:val="none" w:sz="0" w:space="0" w:color="auto"/>
                <w:bottom w:val="none" w:sz="0" w:space="0" w:color="auto"/>
                <w:right w:val="none" w:sz="0" w:space="0" w:color="auto"/>
              </w:divBdr>
              <w:divsChild>
                <w:div w:id="556168290">
                  <w:marLeft w:val="180"/>
                  <w:marRight w:val="0"/>
                  <w:marTop w:val="0"/>
                  <w:marBottom w:val="0"/>
                  <w:divBdr>
                    <w:top w:val="none" w:sz="0" w:space="0" w:color="auto"/>
                    <w:left w:val="none" w:sz="0" w:space="0" w:color="auto"/>
                    <w:bottom w:val="none" w:sz="0" w:space="0" w:color="auto"/>
                    <w:right w:val="none" w:sz="0" w:space="0" w:color="auto"/>
                  </w:divBdr>
                  <w:divsChild>
                    <w:div w:id="3689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9483">
      <w:bodyDiv w:val="1"/>
      <w:marLeft w:val="30"/>
      <w:marRight w:val="30"/>
      <w:marTop w:val="0"/>
      <w:marBottom w:val="0"/>
      <w:divBdr>
        <w:top w:val="none" w:sz="0" w:space="0" w:color="auto"/>
        <w:left w:val="none" w:sz="0" w:space="0" w:color="auto"/>
        <w:bottom w:val="none" w:sz="0" w:space="0" w:color="auto"/>
        <w:right w:val="none" w:sz="0" w:space="0" w:color="auto"/>
      </w:divBdr>
      <w:divsChild>
        <w:div w:id="2098020502">
          <w:marLeft w:val="0"/>
          <w:marRight w:val="0"/>
          <w:marTop w:val="0"/>
          <w:marBottom w:val="0"/>
          <w:divBdr>
            <w:top w:val="none" w:sz="0" w:space="0" w:color="auto"/>
            <w:left w:val="none" w:sz="0" w:space="0" w:color="auto"/>
            <w:bottom w:val="none" w:sz="0" w:space="0" w:color="auto"/>
            <w:right w:val="none" w:sz="0" w:space="0" w:color="auto"/>
          </w:divBdr>
          <w:divsChild>
            <w:div w:id="23755427">
              <w:marLeft w:val="0"/>
              <w:marRight w:val="0"/>
              <w:marTop w:val="0"/>
              <w:marBottom w:val="0"/>
              <w:divBdr>
                <w:top w:val="none" w:sz="0" w:space="0" w:color="auto"/>
                <w:left w:val="none" w:sz="0" w:space="0" w:color="auto"/>
                <w:bottom w:val="none" w:sz="0" w:space="0" w:color="auto"/>
                <w:right w:val="none" w:sz="0" w:space="0" w:color="auto"/>
              </w:divBdr>
              <w:divsChild>
                <w:div w:id="1507208048">
                  <w:marLeft w:val="180"/>
                  <w:marRight w:val="0"/>
                  <w:marTop w:val="0"/>
                  <w:marBottom w:val="0"/>
                  <w:divBdr>
                    <w:top w:val="none" w:sz="0" w:space="0" w:color="auto"/>
                    <w:left w:val="none" w:sz="0" w:space="0" w:color="auto"/>
                    <w:bottom w:val="none" w:sz="0" w:space="0" w:color="auto"/>
                    <w:right w:val="none" w:sz="0" w:space="0" w:color="auto"/>
                  </w:divBdr>
                  <w:divsChild>
                    <w:div w:id="19081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8058">
      <w:bodyDiv w:val="1"/>
      <w:marLeft w:val="0"/>
      <w:marRight w:val="0"/>
      <w:marTop w:val="0"/>
      <w:marBottom w:val="0"/>
      <w:divBdr>
        <w:top w:val="none" w:sz="0" w:space="0" w:color="auto"/>
        <w:left w:val="none" w:sz="0" w:space="0" w:color="auto"/>
        <w:bottom w:val="none" w:sz="0" w:space="0" w:color="auto"/>
        <w:right w:val="none" w:sz="0" w:space="0" w:color="auto"/>
      </w:divBdr>
    </w:div>
    <w:div w:id="1601450076">
      <w:bodyDiv w:val="1"/>
      <w:marLeft w:val="0"/>
      <w:marRight w:val="0"/>
      <w:marTop w:val="0"/>
      <w:marBottom w:val="0"/>
      <w:divBdr>
        <w:top w:val="none" w:sz="0" w:space="0" w:color="auto"/>
        <w:left w:val="none" w:sz="0" w:space="0" w:color="auto"/>
        <w:bottom w:val="none" w:sz="0" w:space="0" w:color="auto"/>
        <w:right w:val="none" w:sz="0" w:space="0" w:color="auto"/>
      </w:divBdr>
    </w:div>
    <w:div w:id="1635140049">
      <w:bodyDiv w:val="1"/>
      <w:marLeft w:val="0"/>
      <w:marRight w:val="0"/>
      <w:marTop w:val="0"/>
      <w:marBottom w:val="0"/>
      <w:divBdr>
        <w:top w:val="none" w:sz="0" w:space="0" w:color="auto"/>
        <w:left w:val="none" w:sz="0" w:space="0" w:color="auto"/>
        <w:bottom w:val="none" w:sz="0" w:space="0" w:color="auto"/>
        <w:right w:val="none" w:sz="0" w:space="0" w:color="auto"/>
      </w:divBdr>
    </w:div>
    <w:div w:id="1808475392">
      <w:bodyDiv w:val="1"/>
      <w:marLeft w:val="0"/>
      <w:marRight w:val="0"/>
      <w:marTop w:val="0"/>
      <w:marBottom w:val="0"/>
      <w:divBdr>
        <w:top w:val="none" w:sz="0" w:space="0" w:color="auto"/>
        <w:left w:val="none" w:sz="0" w:space="0" w:color="auto"/>
        <w:bottom w:val="none" w:sz="0" w:space="0" w:color="auto"/>
        <w:right w:val="none" w:sz="0" w:space="0" w:color="auto"/>
      </w:divBdr>
    </w:div>
    <w:div w:id="1957326686">
      <w:bodyDiv w:val="1"/>
      <w:marLeft w:val="0"/>
      <w:marRight w:val="0"/>
      <w:marTop w:val="0"/>
      <w:marBottom w:val="0"/>
      <w:divBdr>
        <w:top w:val="none" w:sz="0" w:space="0" w:color="auto"/>
        <w:left w:val="none" w:sz="0" w:space="0" w:color="auto"/>
        <w:bottom w:val="none" w:sz="0" w:space="0" w:color="auto"/>
        <w:right w:val="none" w:sz="0" w:space="0" w:color="auto"/>
      </w:divBdr>
      <w:divsChild>
        <w:div w:id="1039823059">
          <w:marLeft w:val="0"/>
          <w:marRight w:val="0"/>
          <w:marTop w:val="0"/>
          <w:marBottom w:val="0"/>
          <w:divBdr>
            <w:top w:val="none" w:sz="0" w:space="0" w:color="auto"/>
            <w:left w:val="none" w:sz="0" w:space="0" w:color="auto"/>
            <w:bottom w:val="none" w:sz="0" w:space="0" w:color="auto"/>
            <w:right w:val="none" w:sz="0" w:space="0" w:color="auto"/>
          </w:divBdr>
          <w:divsChild>
            <w:div w:id="923609236">
              <w:marLeft w:val="0"/>
              <w:marRight w:val="0"/>
              <w:marTop w:val="0"/>
              <w:marBottom w:val="0"/>
              <w:divBdr>
                <w:top w:val="none" w:sz="0" w:space="0" w:color="auto"/>
                <w:left w:val="none" w:sz="0" w:space="0" w:color="auto"/>
                <w:bottom w:val="none" w:sz="0" w:space="0" w:color="auto"/>
                <w:right w:val="none" w:sz="0" w:space="0" w:color="auto"/>
              </w:divBdr>
              <w:divsChild>
                <w:div w:id="971977840">
                  <w:marLeft w:val="0"/>
                  <w:marRight w:val="0"/>
                  <w:marTop w:val="0"/>
                  <w:marBottom w:val="0"/>
                  <w:divBdr>
                    <w:top w:val="none" w:sz="0" w:space="0" w:color="auto"/>
                    <w:left w:val="none" w:sz="0" w:space="0" w:color="auto"/>
                    <w:bottom w:val="none" w:sz="0" w:space="0" w:color="auto"/>
                    <w:right w:val="none" w:sz="0" w:space="0" w:color="auto"/>
                  </w:divBdr>
                  <w:divsChild>
                    <w:div w:id="1081834693">
                      <w:marLeft w:val="0"/>
                      <w:marRight w:val="0"/>
                      <w:marTop w:val="0"/>
                      <w:marBottom w:val="0"/>
                      <w:divBdr>
                        <w:top w:val="none" w:sz="0" w:space="0" w:color="auto"/>
                        <w:left w:val="none" w:sz="0" w:space="0" w:color="auto"/>
                        <w:bottom w:val="none" w:sz="0" w:space="0" w:color="auto"/>
                        <w:right w:val="none" w:sz="0" w:space="0" w:color="auto"/>
                      </w:divBdr>
                      <w:divsChild>
                        <w:div w:id="1803956916">
                          <w:marLeft w:val="0"/>
                          <w:marRight w:val="0"/>
                          <w:marTop w:val="0"/>
                          <w:marBottom w:val="0"/>
                          <w:divBdr>
                            <w:top w:val="single" w:sz="6" w:space="0" w:color="99BBE8"/>
                            <w:left w:val="single" w:sz="6" w:space="0" w:color="99BBE8"/>
                            <w:bottom w:val="single" w:sz="6" w:space="0" w:color="99BBE8"/>
                            <w:right w:val="single" w:sz="6" w:space="0" w:color="99BBE8"/>
                          </w:divBdr>
                          <w:divsChild>
                            <w:div w:id="1061174192">
                              <w:marLeft w:val="0"/>
                              <w:marRight w:val="0"/>
                              <w:marTop w:val="0"/>
                              <w:marBottom w:val="0"/>
                              <w:divBdr>
                                <w:top w:val="none" w:sz="0" w:space="0" w:color="auto"/>
                                <w:left w:val="none" w:sz="0" w:space="0" w:color="auto"/>
                                <w:bottom w:val="none" w:sz="0" w:space="0" w:color="auto"/>
                                <w:right w:val="none" w:sz="0" w:space="0" w:color="auto"/>
                              </w:divBdr>
                              <w:divsChild>
                                <w:div w:id="448359420">
                                  <w:marLeft w:val="0"/>
                                  <w:marRight w:val="0"/>
                                  <w:marTop w:val="0"/>
                                  <w:marBottom w:val="0"/>
                                  <w:divBdr>
                                    <w:top w:val="none" w:sz="0" w:space="0" w:color="auto"/>
                                    <w:left w:val="none" w:sz="0" w:space="0" w:color="auto"/>
                                    <w:bottom w:val="none" w:sz="0" w:space="0" w:color="auto"/>
                                    <w:right w:val="none" w:sz="0" w:space="0" w:color="auto"/>
                                  </w:divBdr>
                                  <w:divsChild>
                                    <w:div w:id="461459923">
                                      <w:marLeft w:val="0"/>
                                      <w:marRight w:val="0"/>
                                      <w:marTop w:val="0"/>
                                      <w:marBottom w:val="0"/>
                                      <w:divBdr>
                                        <w:top w:val="none" w:sz="0" w:space="0" w:color="auto"/>
                                        <w:left w:val="none" w:sz="0" w:space="0" w:color="auto"/>
                                        <w:bottom w:val="none" w:sz="0" w:space="0" w:color="auto"/>
                                        <w:right w:val="none" w:sz="0" w:space="0" w:color="auto"/>
                                      </w:divBdr>
                                      <w:divsChild>
                                        <w:div w:id="2083065347">
                                          <w:marLeft w:val="0"/>
                                          <w:marRight w:val="0"/>
                                          <w:marTop w:val="0"/>
                                          <w:marBottom w:val="0"/>
                                          <w:divBdr>
                                            <w:top w:val="none" w:sz="0" w:space="0" w:color="auto"/>
                                            <w:left w:val="single" w:sz="6" w:space="0" w:color="99BBE8"/>
                                            <w:bottom w:val="single" w:sz="6" w:space="0" w:color="99BBE8"/>
                                            <w:right w:val="single" w:sz="6" w:space="0" w:color="99BBE8"/>
                                          </w:divBdr>
                                          <w:divsChild>
                                            <w:div w:id="330452724">
                                              <w:marLeft w:val="0"/>
                                              <w:marRight w:val="0"/>
                                              <w:marTop w:val="0"/>
                                              <w:marBottom w:val="0"/>
                                              <w:divBdr>
                                                <w:top w:val="none" w:sz="0" w:space="0" w:color="auto"/>
                                                <w:left w:val="none" w:sz="0" w:space="0" w:color="auto"/>
                                                <w:bottom w:val="none" w:sz="0" w:space="0" w:color="auto"/>
                                                <w:right w:val="none" w:sz="0" w:space="0" w:color="auto"/>
                                              </w:divBdr>
                                              <w:divsChild>
                                                <w:div w:id="599484891">
                                                  <w:marLeft w:val="0"/>
                                                  <w:marRight w:val="0"/>
                                                  <w:marTop w:val="0"/>
                                                  <w:marBottom w:val="0"/>
                                                  <w:divBdr>
                                                    <w:top w:val="none" w:sz="0" w:space="0" w:color="auto"/>
                                                    <w:left w:val="none" w:sz="0" w:space="0" w:color="auto"/>
                                                    <w:bottom w:val="none" w:sz="0" w:space="0" w:color="auto"/>
                                                    <w:right w:val="none" w:sz="0" w:space="0" w:color="auto"/>
                                                  </w:divBdr>
                                                  <w:divsChild>
                                                    <w:div w:id="1343901212">
                                                      <w:marLeft w:val="0"/>
                                                      <w:marRight w:val="0"/>
                                                      <w:marTop w:val="0"/>
                                                      <w:marBottom w:val="0"/>
                                                      <w:divBdr>
                                                        <w:top w:val="none" w:sz="0" w:space="0" w:color="auto"/>
                                                        <w:left w:val="single" w:sz="6" w:space="0" w:color="99BBE8"/>
                                                        <w:bottom w:val="single" w:sz="6" w:space="0" w:color="99BBE8"/>
                                                        <w:right w:val="single" w:sz="6" w:space="0" w:color="99BBE8"/>
                                                      </w:divBdr>
                                                      <w:divsChild>
                                                        <w:div w:id="1101871467">
                                                          <w:marLeft w:val="0"/>
                                                          <w:marRight w:val="0"/>
                                                          <w:marTop w:val="0"/>
                                                          <w:marBottom w:val="0"/>
                                                          <w:divBdr>
                                                            <w:top w:val="none" w:sz="0" w:space="0" w:color="auto"/>
                                                            <w:left w:val="none" w:sz="0" w:space="0" w:color="auto"/>
                                                            <w:bottom w:val="none" w:sz="0" w:space="0" w:color="auto"/>
                                                            <w:right w:val="none" w:sz="0" w:space="0" w:color="auto"/>
                                                          </w:divBdr>
                                                          <w:divsChild>
                                                            <w:div w:id="111168636">
                                                              <w:marLeft w:val="0"/>
                                                              <w:marRight w:val="0"/>
                                                              <w:marTop w:val="0"/>
                                                              <w:marBottom w:val="0"/>
                                                              <w:divBdr>
                                                                <w:top w:val="none" w:sz="0" w:space="0" w:color="auto"/>
                                                                <w:left w:val="none" w:sz="0" w:space="0" w:color="auto"/>
                                                                <w:bottom w:val="none" w:sz="0" w:space="0" w:color="auto"/>
                                                                <w:right w:val="none" w:sz="0" w:space="0" w:color="auto"/>
                                                              </w:divBdr>
                                                              <w:divsChild>
                                                                <w:div w:id="839276183">
                                                                  <w:marLeft w:val="0"/>
                                                                  <w:marRight w:val="0"/>
                                                                  <w:marTop w:val="0"/>
                                                                  <w:marBottom w:val="0"/>
                                                                  <w:divBdr>
                                                                    <w:top w:val="none" w:sz="0" w:space="0" w:color="auto"/>
                                                                    <w:left w:val="none" w:sz="0" w:space="0" w:color="auto"/>
                                                                    <w:bottom w:val="none" w:sz="0" w:space="0" w:color="auto"/>
                                                                    <w:right w:val="none" w:sz="0" w:space="0" w:color="auto"/>
                                                                  </w:divBdr>
                                                                  <w:divsChild>
                                                                    <w:div w:id="443765300">
                                                                      <w:marLeft w:val="0"/>
                                                                      <w:marRight w:val="0"/>
                                                                      <w:marTop w:val="0"/>
                                                                      <w:marBottom w:val="0"/>
                                                                      <w:divBdr>
                                                                        <w:top w:val="none" w:sz="0" w:space="0" w:color="auto"/>
                                                                        <w:left w:val="none" w:sz="0" w:space="0" w:color="auto"/>
                                                                        <w:bottom w:val="none" w:sz="0" w:space="0" w:color="auto"/>
                                                                        <w:right w:val="none" w:sz="0" w:space="0" w:color="auto"/>
                                                                      </w:divBdr>
                                                                      <w:divsChild>
                                                                        <w:div w:id="549194947">
                                                                          <w:marLeft w:val="0"/>
                                                                          <w:marRight w:val="0"/>
                                                                          <w:marTop w:val="0"/>
                                                                          <w:marBottom w:val="0"/>
                                                                          <w:divBdr>
                                                                            <w:top w:val="none" w:sz="0" w:space="0" w:color="auto"/>
                                                                            <w:left w:val="none" w:sz="0" w:space="0" w:color="auto"/>
                                                                            <w:bottom w:val="none" w:sz="0" w:space="0" w:color="auto"/>
                                                                            <w:right w:val="none" w:sz="0" w:space="0" w:color="auto"/>
                                                                          </w:divBdr>
                                                                          <w:divsChild>
                                                                            <w:div w:id="958603687">
                                                                              <w:marLeft w:val="0"/>
                                                                              <w:marRight w:val="0"/>
                                                                              <w:marTop w:val="0"/>
                                                                              <w:marBottom w:val="0"/>
                                                                              <w:divBdr>
                                                                                <w:top w:val="none" w:sz="0" w:space="0" w:color="auto"/>
                                                                                <w:left w:val="single" w:sz="6" w:space="0" w:color="99BBE8"/>
                                                                                <w:bottom w:val="single" w:sz="6" w:space="0" w:color="99BBE8"/>
                                                                                <w:right w:val="single" w:sz="6" w:space="0" w:color="99BBE8"/>
                                                                              </w:divBdr>
                                                                              <w:divsChild>
                                                                                <w:div w:id="4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4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lorbrena.com/"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https://www.lorbrena.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fda.gov/medwatch"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pfiz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44856DAB3F6E46A29BF9C287ED41E2" ma:contentTypeVersion="0" ma:contentTypeDescription="Create a new document." ma:contentTypeScope="" ma:versionID="fcd693ae41486531d12c2a73e4c00081">
  <xsd:schema xmlns:xsd="http://www.w3.org/2001/XMLSchema" xmlns:xs="http://www.w3.org/2001/XMLSchema" xmlns:p="http://schemas.microsoft.com/office/2006/metadata/properties" xmlns:ns2="c593544c-8bc9-488a-9957-4d59a7b3d015" targetNamespace="http://schemas.microsoft.com/office/2006/metadata/properties" ma:root="true" ma:fieldsID="f735efe3037c15fe5e7164caebe31d49" ns2:_="">
    <xsd:import namespace="c593544c-8bc9-488a-9957-4d59a7b3d0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544c-8bc9-488a-9957-4d59a7b3d0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S i m c y p D a t a   x m l n s = " h t t p : / / w w w . s i m c y p . c o m / " >  
     < P r o f i l e C h a r t s / >  
     < R e s u l t s T a b l e s / >  
     < S t a t i s t i c s C h a r t s / >  
     < R e g i o n a l F r a c t i o n C h a r t s / >  
     < I n p u t T a b l e s / >  
 < / S i m c y p D a t 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5D44-737B-42FC-80BF-9A724B1B3033}">
  <ds:schemaRefs>
    <ds:schemaRef ds:uri="http://schemas.microsoft.com/sharepoint/events"/>
  </ds:schemaRefs>
</ds:datastoreItem>
</file>

<file path=customXml/itemProps2.xml><?xml version="1.0" encoding="utf-8"?>
<ds:datastoreItem xmlns:ds="http://schemas.openxmlformats.org/officeDocument/2006/customXml" ds:itemID="{E0FF1066-BE40-41E6-B3D7-9B07CA26E179}">
  <ds:schemaRefs>
    <ds:schemaRef ds:uri="http://schemas.microsoft.com/sharepoint/v3/contenttype/forms"/>
  </ds:schemaRefs>
</ds:datastoreItem>
</file>

<file path=customXml/itemProps3.xml><?xml version="1.0" encoding="utf-8"?>
<ds:datastoreItem xmlns:ds="http://schemas.openxmlformats.org/officeDocument/2006/customXml" ds:itemID="{E0468FAF-C600-4CE3-84B8-18C37B3D4CF7}">
  <ds:schemaRefs>
    <ds:schemaRef ds:uri="http://schemas.microsoft.com/office/2006/metadata/longProperties"/>
  </ds:schemaRefs>
</ds:datastoreItem>
</file>

<file path=customXml/itemProps4.xml><?xml version="1.0" encoding="utf-8"?>
<ds:datastoreItem xmlns:ds="http://schemas.openxmlformats.org/officeDocument/2006/customXml" ds:itemID="{33A775D3-D130-455E-854C-1B30D95F5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544c-8bc9-488a-9957-4d59a7b3d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4966D8-74AD-4EB6-8B57-6E1835A1003B}">
  <ds:schemaRefs>
    <ds:schemaRef ds:uri="http://www.simcyp.com/"/>
  </ds:schemaRefs>
</ds:datastoreItem>
</file>

<file path=customXml/itemProps6.xml><?xml version="1.0" encoding="utf-8"?>
<ds:datastoreItem xmlns:ds="http://schemas.openxmlformats.org/officeDocument/2006/customXml" ds:itemID="{F9F8B2DD-7B22-44D0-A60D-FFE85EEFBA22}">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80474642-8517-49B3-A9A7-ACB99003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8539</Words>
  <Characters>48673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HIGHLIGHTS OF PRESCRIBING INFORMATION</vt:lpstr>
    </vt:vector>
  </TitlesOfParts>
  <Company>US FDA</Company>
  <LinksUpToDate>false</LinksUpToDate>
  <CharactersWithSpaces>57098</CharactersWithSpaces>
  <SharedDoc>false</SharedDoc>
  <HLinks>
    <vt:vector size="24" baseType="variant">
      <vt:variant>
        <vt:i4>5177347</vt:i4>
      </vt:variant>
      <vt:variant>
        <vt:i4>12</vt:i4>
      </vt:variant>
      <vt:variant>
        <vt:i4>0</vt:i4>
      </vt:variant>
      <vt:variant>
        <vt:i4>5</vt:i4>
      </vt:variant>
      <vt:variant>
        <vt:lpwstr>https://www.lorbrena.com/</vt:lpwstr>
      </vt:variant>
      <vt:variant>
        <vt:lpwstr/>
      </vt:variant>
      <vt:variant>
        <vt:i4>5177347</vt:i4>
      </vt:variant>
      <vt:variant>
        <vt:i4>9</vt:i4>
      </vt:variant>
      <vt:variant>
        <vt:i4>0</vt:i4>
      </vt:variant>
      <vt:variant>
        <vt:i4>5</vt:i4>
      </vt:variant>
      <vt:variant>
        <vt:lpwstr>https://www.lorbrena.com/</vt:lpwstr>
      </vt:variant>
      <vt:variant>
        <vt:lpwstr/>
      </vt:variant>
      <vt:variant>
        <vt:i4>4980829</vt:i4>
      </vt:variant>
      <vt:variant>
        <vt:i4>3</vt:i4>
      </vt:variant>
      <vt:variant>
        <vt:i4>0</vt:i4>
      </vt:variant>
      <vt:variant>
        <vt:i4>5</vt:i4>
      </vt:variant>
      <vt:variant>
        <vt:lpwstr>https://www.fda.gov/medwatch</vt:lpwstr>
      </vt:variant>
      <vt:variant>
        <vt:lpwstr/>
      </vt:variant>
      <vt:variant>
        <vt:i4>2621565</vt:i4>
      </vt:variant>
      <vt:variant>
        <vt:i4>0</vt:i4>
      </vt:variant>
      <vt:variant>
        <vt:i4>0</vt:i4>
      </vt:variant>
      <vt:variant>
        <vt:i4>5</vt:i4>
      </vt:variant>
      <vt:variant>
        <vt:lpwstr>https://www.pfizer.com/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 OF PRESCRIBING INFORMATION</dc:title>
  <dc:subject/>
  <dc:creator>Janet Norden</dc:creator>
  <cp:keywords/>
  <cp:lastModifiedBy>Clulow, Janine</cp:lastModifiedBy>
  <cp:revision>2</cp:revision>
  <cp:lastPrinted>2018-11-01T07:55:00Z</cp:lastPrinted>
  <dcterms:created xsi:type="dcterms:W3CDTF">2019-06-17T15:27:00Z</dcterms:created>
  <dcterms:modified xsi:type="dcterms:W3CDTF">2019-06-17T15:27:00Z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ABAAVOAfoSrQoyz5etEAL792WZ0kh8i7jszg73FZnG7IeXr5uIVjH/SbzEUr7qBXGxkm</vt:lpwstr>
  </property>
  <property fmtid="{D5CDD505-2E9C-101B-9397-08002B2CF9AE}" pid="4" name="RESPONSE_SENDER_NAME">
    <vt:lpwstr>gAAAdya76B99d4hLGUR1rQ+8TxTv0GGEPdix</vt:lpwstr>
  </property>
  <property fmtid="{D5CDD505-2E9C-101B-9397-08002B2CF9AE}" pid="5" name="EMAIL_OWNER_ADDRESS">
    <vt:lpwstr>sAAAUYtyAkeNWR5UiGl2ICIKqX1QrUXYvbPpCzMSxkllsOg=</vt:lpwstr>
  </property>
  <property fmtid="{D5CDD505-2E9C-101B-9397-08002B2CF9AE}" pid="6" name="_dlc_DocId">
    <vt:lpwstr>3EVKU3HMMP6J-2-13827</vt:lpwstr>
  </property>
  <property fmtid="{D5CDD505-2E9C-101B-9397-08002B2CF9AE}" pid="7" name="_dlc_DocIdItemGuid">
    <vt:lpwstr>dc3d0591-6fb6-44c7-a59d-dc3d157e5914</vt:lpwstr>
  </property>
  <property fmtid="{D5CDD505-2E9C-101B-9397-08002B2CF9AE}" pid="8" name="_dlc_DocIdUrl">
    <vt:lpwstr>http://sharepoint.fda.gov/orgs/CDER-OHOP-DOP2/_layouts/DocIdRedir.aspx?ID=3EVKU3HMMP6J-2-13827, 3EVKU3HMMP6J-2-13827</vt:lpwstr>
  </property>
  <property fmtid="{D5CDD505-2E9C-101B-9397-08002B2CF9AE}" pid="9" name="ContentTypeId">
    <vt:lpwstr>0x0101009B44856DAB3F6E46A29BF9C287ED41E2</vt:lpwstr>
  </property>
</Properties>
</file>