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Overview of Distribution Process Analysis</w:t>
      </w:r>
    </w:p>
    <w:p w:rsidR="00000000" w:rsidDel="00000000" w:rsidP="00000000" w:rsidRDefault="00000000" w:rsidRPr="00000000" w14:paraId="00000002">
      <w:pPr>
        <w:rPr/>
      </w:pPr>
      <w:r w:rsidDel="00000000" w:rsidR="00000000" w:rsidRPr="00000000">
        <w:rPr>
          <w:rtl w:val="0"/>
        </w:rPr>
        <w:t xml:space="preserve">This outlines the method for calculating the distribution of TEU to various Average Warehouse Locations (AWLs) and evaluates the transport logistics, including the volume to be distributed to each AWL for Import and Export separately.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Data on Container Weights</w:t>
      </w:r>
    </w:p>
    <w:p w:rsidR="00000000" w:rsidDel="00000000" w:rsidP="00000000" w:rsidRDefault="00000000" w:rsidRPr="00000000" w14:paraId="00000005">
      <w:pPr>
        <w:numPr>
          <w:ilvl w:val="0"/>
          <w:numId w:val="1"/>
        </w:numPr>
        <w:spacing w:before="240" w:lineRule="auto"/>
        <w:ind w:left="720" w:hanging="360"/>
      </w:pPr>
      <w:r w:rsidDel="00000000" w:rsidR="00000000" w:rsidRPr="00000000">
        <w:rPr>
          <w:rtl w:val="0"/>
        </w:rPr>
        <w:t xml:space="preserve">We have the recorded weights for the AWLs which are essential for calculating the volume and distribution of TEU.</w:t>
      </w:r>
    </w:p>
    <w:p w:rsidR="00000000" w:rsidDel="00000000" w:rsidP="00000000" w:rsidRDefault="00000000" w:rsidRPr="00000000" w14:paraId="00000006">
      <w:pPr>
        <w:numPr>
          <w:ilvl w:val="1"/>
          <w:numId w:val="1"/>
        </w:numPr>
        <w:ind w:left="1440" w:hanging="360"/>
      </w:pPr>
      <w:r w:rsidDel="00000000" w:rsidR="00000000" w:rsidRPr="00000000">
        <w:rPr>
          <w:b w:val="1"/>
          <w:rtl w:val="0"/>
        </w:rPr>
        <w:t xml:space="preserve">Weight for point 1: 28 %</w:t>
      </w:r>
    </w:p>
    <w:p w:rsidR="00000000" w:rsidDel="00000000" w:rsidP="00000000" w:rsidRDefault="00000000" w:rsidRPr="00000000" w14:paraId="00000007">
      <w:pPr>
        <w:numPr>
          <w:ilvl w:val="1"/>
          <w:numId w:val="1"/>
        </w:numPr>
        <w:ind w:left="1440" w:hanging="360"/>
      </w:pPr>
      <w:r w:rsidDel="00000000" w:rsidR="00000000" w:rsidRPr="00000000">
        <w:rPr>
          <w:b w:val="1"/>
          <w:rtl w:val="0"/>
        </w:rPr>
        <w:t xml:space="preserve">Weight for point 2: 38 %</w:t>
      </w:r>
    </w:p>
    <w:p w:rsidR="00000000" w:rsidDel="00000000" w:rsidP="00000000" w:rsidRDefault="00000000" w:rsidRPr="00000000" w14:paraId="00000008">
      <w:pPr>
        <w:numPr>
          <w:ilvl w:val="1"/>
          <w:numId w:val="1"/>
        </w:numPr>
        <w:ind w:left="1440" w:hanging="360"/>
      </w:pPr>
      <w:r w:rsidDel="00000000" w:rsidR="00000000" w:rsidRPr="00000000">
        <w:rPr>
          <w:b w:val="1"/>
          <w:rtl w:val="0"/>
        </w:rPr>
        <w:t xml:space="preserve">Weight for point 3: 17 %</w:t>
      </w:r>
    </w:p>
    <w:p w:rsidR="00000000" w:rsidDel="00000000" w:rsidP="00000000" w:rsidRDefault="00000000" w:rsidRPr="00000000" w14:paraId="00000009">
      <w:pPr>
        <w:numPr>
          <w:ilvl w:val="1"/>
          <w:numId w:val="1"/>
        </w:numPr>
        <w:ind w:left="1440" w:hanging="360"/>
      </w:pPr>
      <w:r w:rsidDel="00000000" w:rsidR="00000000" w:rsidRPr="00000000">
        <w:rPr>
          <w:b w:val="1"/>
          <w:rtl w:val="0"/>
        </w:rPr>
        <w:t xml:space="preserve">Weight for point 4: 5 %</w:t>
      </w:r>
    </w:p>
    <w:p w:rsidR="00000000" w:rsidDel="00000000" w:rsidP="00000000" w:rsidRDefault="00000000" w:rsidRPr="00000000" w14:paraId="0000000A">
      <w:pPr>
        <w:numPr>
          <w:ilvl w:val="1"/>
          <w:numId w:val="1"/>
        </w:numPr>
        <w:ind w:left="1440" w:hanging="360"/>
      </w:pPr>
      <w:r w:rsidDel="00000000" w:rsidR="00000000" w:rsidRPr="00000000">
        <w:rPr>
          <w:b w:val="1"/>
          <w:rtl w:val="0"/>
        </w:rPr>
        <w:t xml:space="preserve">Weight for Hamad Port: 12 %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Calculation of Container Volumes</w:t>
      </w:r>
    </w:p>
    <w:p w:rsidR="00000000" w:rsidDel="00000000" w:rsidP="00000000" w:rsidRDefault="00000000" w:rsidRPr="00000000" w14:paraId="0000000E">
      <w:pPr>
        <w:numPr>
          <w:ilvl w:val="0"/>
          <w:numId w:val="6"/>
        </w:numPr>
        <w:spacing w:before="240" w:lineRule="auto"/>
        <w:ind w:left="720" w:hanging="360"/>
      </w:pPr>
      <w:r w:rsidDel="00000000" w:rsidR="00000000" w:rsidRPr="00000000">
        <w:rPr>
          <w:b w:val="1"/>
          <w:rtl w:val="0"/>
        </w:rPr>
        <w:t xml:space="preserve">Objective:</w:t>
      </w:r>
      <w:r w:rsidDel="00000000" w:rsidR="00000000" w:rsidRPr="00000000">
        <w:rPr>
          <w:rtl w:val="0"/>
        </w:rPr>
        <w:t xml:space="preserve"> Determine the required number of TEU for delivery at each FDP based on their weights.</w:t>
      </w:r>
    </w:p>
    <w:p w:rsidR="00000000" w:rsidDel="00000000" w:rsidP="00000000" w:rsidRDefault="00000000" w:rsidRPr="00000000" w14:paraId="0000000F">
      <w:pPr>
        <w:spacing w:before="240" w:lineRule="auto"/>
        <w:rPr>
          <w:b w:val="1"/>
        </w:rPr>
      </w:pPr>
      <w:r w:rsidDel="00000000" w:rsidR="00000000" w:rsidRPr="00000000">
        <w:rPr>
          <w:b w:val="1"/>
          <w:rtl w:val="0"/>
        </w:rPr>
        <w:t xml:space="preserve">2.1 Distribution Proportions between Hamad and Al-Ruwais Ports</w:t>
      </w:r>
    </w:p>
    <w:p w:rsidR="00000000" w:rsidDel="00000000" w:rsidP="00000000" w:rsidRDefault="00000000" w:rsidRPr="00000000" w14:paraId="00000010">
      <w:pPr>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IMPORT</w:t>
      </w:r>
    </w:p>
    <w:p w:rsidR="00000000" w:rsidDel="00000000" w:rsidP="00000000" w:rsidRDefault="00000000" w:rsidRPr="00000000" w14:paraId="00000011">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Total TEU:</w:t>
      </w:r>
      <w:r w:rsidDel="00000000" w:rsidR="00000000" w:rsidRPr="00000000">
        <w:rPr>
          <w:rtl w:val="0"/>
        </w:rPr>
        <w:t xml:space="preserve"> The combined count from both ports is 617,800, where Hamad Port accounts for 574,572 TEU, and Al-Ruwais Port for 43,228 TEU.</w:t>
      </w:r>
    </w:p>
    <w:p w:rsidR="00000000" w:rsidDel="00000000" w:rsidP="00000000" w:rsidRDefault="00000000" w:rsidRPr="00000000" w14:paraId="00000012">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Proportion Calculation:</w:t>
      </w:r>
    </w:p>
    <w:p w:rsidR="00000000" w:rsidDel="00000000" w:rsidP="00000000" w:rsidRDefault="00000000" w:rsidRPr="00000000" w14:paraId="00000013">
      <w:pPr>
        <w:numPr>
          <w:ilvl w:val="0"/>
          <w:numId w:val="3"/>
        </w:numPr>
        <w:ind w:left="2160" w:hanging="360"/>
      </w:pPr>
      <w:r w:rsidDel="00000000" w:rsidR="00000000" w:rsidRPr="00000000">
        <w:rPr>
          <w:b w:val="1"/>
          <w:rtl w:val="0"/>
        </w:rPr>
        <w:t xml:space="preserve">Hamad Port:</w:t>
      </w:r>
      <w:r w:rsidDel="00000000" w:rsidR="00000000" w:rsidRPr="00000000">
        <w:rPr>
          <w:rFonts w:ascii="Arial Unicode MS" w:cs="Arial Unicode MS" w:eastAsia="Arial Unicode MS" w:hAnsi="Arial Unicode MS"/>
          <w:rtl w:val="0"/>
        </w:rPr>
        <w:t xml:space="preserve"> 574,572 / 617,800 ≈ 93% of total volume.</w:t>
      </w:r>
    </w:p>
    <w:p w:rsidR="00000000" w:rsidDel="00000000" w:rsidP="00000000" w:rsidRDefault="00000000" w:rsidRPr="00000000" w14:paraId="00000014">
      <w:pPr>
        <w:numPr>
          <w:ilvl w:val="0"/>
          <w:numId w:val="3"/>
        </w:numPr>
        <w:ind w:left="2160" w:hanging="360"/>
      </w:pPr>
      <w:r w:rsidDel="00000000" w:rsidR="00000000" w:rsidRPr="00000000">
        <w:rPr>
          <w:b w:val="1"/>
          <w:rtl w:val="0"/>
        </w:rPr>
        <w:t xml:space="preserve">Al-Ruwais Port:</w:t>
      </w:r>
      <w:r w:rsidDel="00000000" w:rsidR="00000000" w:rsidRPr="00000000">
        <w:rPr>
          <w:rFonts w:ascii="Arial Unicode MS" w:cs="Arial Unicode MS" w:eastAsia="Arial Unicode MS" w:hAnsi="Arial Unicode MS"/>
          <w:rtl w:val="0"/>
        </w:rPr>
        <w:t xml:space="preserve"> 43,228 / 617,800 ≈ 7% of total volume.</w:t>
      </w:r>
    </w:p>
    <w:p w:rsidR="00000000" w:rsidDel="00000000" w:rsidP="00000000" w:rsidRDefault="00000000" w:rsidRPr="00000000" w14:paraId="00000015">
      <w:pPr>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EXPORT</w:t>
      </w:r>
    </w:p>
    <w:p w:rsidR="00000000" w:rsidDel="00000000" w:rsidP="00000000" w:rsidRDefault="00000000" w:rsidRPr="00000000" w14:paraId="00000016">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Total TEU:</w:t>
      </w:r>
      <w:r w:rsidDel="00000000" w:rsidR="00000000" w:rsidRPr="00000000">
        <w:rPr>
          <w:rtl w:val="0"/>
        </w:rPr>
        <w:t xml:space="preserve"> The combined count from both ports is 432,280, where Hamad Port accounts for 389,476 TEU, and Al-Ruwais Port for 42,804 TEU.</w:t>
      </w:r>
    </w:p>
    <w:p w:rsidR="00000000" w:rsidDel="00000000" w:rsidP="00000000" w:rsidRDefault="00000000" w:rsidRPr="00000000" w14:paraId="00000017">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Proportion Calculation:</w:t>
      </w:r>
    </w:p>
    <w:p w:rsidR="00000000" w:rsidDel="00000000" w:rsidP="00000000" w:rsidRDefault="00000000" w:rsidRPr="00000000" w14:paraId="00000018">
      <w:pPr>
        <w:numPr>
          <w:ilvl w:val="0"/>
          <w:numId w:val="7"/>
        </w:numPr>
        <w:ind w:left="216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Hamad Port:</w:t>
      </w:r>
      <w:r w:rsidDel="00000000" w:rsidR="00000000" w:rsidRPr="00000000">
        <w:rPr>
          <w:rFonts w:ascii="Arial Unicode MS" w:cs="Arial Unicode MS" w:eastAsia="Arial Unicode MS" w:hAnsi="Arial Unicode MS"/>
          <w:rtl w:val="0"/>
        </w:rPr>
        <w:t xml:space="preserve"> 389,476/432,280 ≈ 90% of total volume.</w:t>
      </w:r>
    </w:p>
    <w:p w:rsidR="00000000" w:rsidDel="00000000" w:rsidP="00000000" w:rsidRDefault="00000000" w:rsidRPr="00000000" w14:paraId="00000019">
      <w:pPr>
        <w:numPr>
          <w:ilvl w:val="0"/>
          <w:numId w:val="7"/>
        </w:numPr>
        <w:ind w:left="216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Al-Ruwais Port:</w:t>
      </w:r>
      <w:r w:rsidDel="00000000" w:rsidR="00000000" w:rsidRPr="00000000">
        <w:rPr>
          <w:rFonts w:ascii="Arial Unicode MS" w:cs="Arial Unicode MS" w:eastAsia="Arial Unicode MS" w:hAnsi="Arial Unicode MS"/>
          <w:rtl w:val="0"/>
        </w:rPr>
        <w:t xml:space="preserve"> 42,804 / 432,280 ≈ 10% of total volume.</w:t>
      </w:r>
    </w:p>
    <w:p w:rsidR="00000000" w:rsidDel="00000000" w:rsidP="00000000" w:rsidRDefault="00000000" w:rsidRPr="00000000" w14:paraId="0000001A">
      <w:pPr>
        <w:rPr>
          <w:b w:val="1"/>
        </w:rPr>
      </w:pPr>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2.2 Annual Container Movement</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Calculate the number of TEU handled per year, focusing on movements to and from the sea ports.</w:t>
      </w:r>
    </w:p>
    <w:p w:rsidR="00000000" w:rsidDel="00000000" w:rsidP="00000000" w:rsidRDefault="00000000" w:rsidRPr="00000000" w14:paraId="0000001E">
      <w:pPr>
        <w:numPr>
          <w:ilvl w:val="0"/>
          <w:numId w:val="2"/>
        </w:numPr>
        <w:spacing w:before="0" w:beforeAutospacing="0" w:lineRule="auto"/>
        <w:ind w:left="720" w:hanging="360"/>
      </w:pPr>
      <w:r w:rsidDel="00000000" w:rsidR="00000000" w:rsidRPr="00000000">
        <w:rPr>
          <w:rtl w:val="0"/>
        </w:rPr>
        <w:t xml:space="preserve">For exports, the total number of TEU is equated directly to the number of export TEU.</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b w:val="1"/>
        </w:rPr>
      </w:pPr>
      <w:r w:rsidDel="00000000" w:rsidR="00000000" w:rsidRPr="00000000">
        <w:rPr>
          <w:b w:val="1"/>
          <w:rtl w:val="0"/>
        </w:rPr>
        <w:t xml:space="preserve">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Container Allocation for KSA-Qatar Trade</w:t>
      </w:r>
    </w:p>
    <w:p w:rsidR="00000000" w:rsidDel="00000000" w:rsidP="00000000" w:rsidRDefault="00000000" w:rsidRPr="00000000" w14:paraId="00000025">
      <w:pPr>
        <w:ind w:left="720" w:firstLine="0"/>
        <w:rPr/>
      </w:pPr>
      <w:r w:rsidDel="00000000" w:rsidR="00000000" w:rsidRPr="00000000">
        <w:rPr>
          <w:rtl w:val="0"/>
        </w:rPr>
        <w:t xml:space="preserve">This section is calculating the % of TEUs that are involved in Qatar-KSA trade and the % are being validated by Peter Kelly. These containers will be going from/to Hamad Port from/to KSA.</w:t>
      </w:r>
    </w:p>
    <w:p w:rsidR="00000000" w:rsidDel="00000000" w:rsidP="00000000" w:rsidRDefault="00000000" w:rsidRPr="00000000" w14:paraId="00000026">
      <w:pPr>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IMPORT </w:t>
      </w:r>
      <w:r w:rsidDel="00000000" w:rsidR="00000000" w:rsidRPr="00000000">
        <w:rPr>
          <w:rtl w:val="0"/>
        </w:rPr>
        <w:t xml:space="preserve">(i.e., coming from KSA) </w:t>
      </w:r>
    </w:p>
    <w:p w:rsidR="00000000" w:rsidDel="00000000" w:rsidP="00000000" w:rsidRDefault="00000000" w:rsidRPr="00000000" w14:paraId="00000027">
      <w:pPr>
        <w:numPr>
          <w:ilvl w:val="0"/>
          <w:numId w:val="5"/>
        </w:numPr>
        <w:ind w:left="2160" w:hanging="360"/>
      </w:pPr>
      <w:r w:rsidDel="00000000" w:rsidR="00000000" w:rsidRPr="00000000">
        <w:rPr>
          <w:rFonts w:ascii="Arial Unicode MS" w:cs="Arial Unicode MS" w:eastAsia="Arial Unicode MS" w:hAnsi="Arial Unicode MS"/>
          <w:rtl w:val="0"/>
        </w:rPr>
        <w:t xml:space="preserve">3% of 617,800 import TEUs ≈ 18,535 (approx.)</w:t>
      </w:r>
    </w:p>
    <w:p w:rsidR="00000000" w:rsidDel="00000000" w:rsidP="00000000" w:rsidRDefault="00000000" w:rsidRPr="00000000" w14:paraId="00000028">
      <w:pPr>
        <w:ind w:left="1080" w:hanging="360"/>
        <w:rPr>
          <w:color w:val="ff000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EXPORT </w:t>
      </w:r>
      <w:r w:rsidDel="00000000" w:rsidR="00000000" w:rsidRPr="00000000">
        <w:rPr>
          <w:rtl w:val="0"/>
        </w:rPr>
        <w:t xml:space="preserve">(i.e., going to KSA) </w:t>
      </w:r>
      <w:r w:rsidDel="00000000" w:rsidR="00000000" w:rsidRPr="00000000">
        <w:rPr>
          <w:rtl w:val="0"/>
        </w:rPr>
      </w:r>
    </w:p>
    <w:p w:rsidR="00000000" w:rsidDel="00000000" w:rsidP="00000000" w:rsidRDefault="00000000" w:rsidRPr="00000000" w14:paraId="00000029">
      <w:pPr>
        <w:numPr>
          <w:ilvl w:val="0"/>
          <w:numId w:val="4"/>
        </w:numPr>
        <w:ind w:left="2160" w:hanging="360"/>
      </w:pPr>
      <w:r w:rsidDel="00000000" w:rsidR="00000000" w:rsidRPr="00000000">
        <w:rPr>
          <w:rFonts w:ascii="Arial Unicode MS" w:cs="Arial Unicode MS" w:eastAsia="Arial Unicode MS" w:hAnsi="Arial Unicode MS"/>
          <w:rtl w:val="0"/>
        </w:rPr>
        <w:t xml:space="preserve">2% of 432,280 export TEUs ≈ 8,645 (approx.)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2.2.2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Detailed Container Allocation to AWLs</w:t>
      </w:r>
    </w:p>
    <w:p w:rsidR="00000000" w:rsidDel="00000000" w:rsidP="00000000" w:rsidRDefault="00000000" w:rsidRPr="00000000" w14:paraId="0000002C">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Total Import TEUs: 617,800</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TEUs for Each Point Based on Total Imports (617,800 TEUs):</w:t>
      </w:r>
    </w:p>
    <w:p w:rsidR="00000000" w:rsidDel="00000000" w:rsidP="00000000" w:rsidRDefault="00000000" w:rsidRPr="00000000" w14:paraId="0000002F">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1:</w:t>
      </w:r>
      <w:r w:rsidDel="00000000" w:rsidR="00000000" w:rsidRPr="00000000">
        <w:rPr>
          <w:rtl w:val="0"/>
        </w:rPr>
        <w:t xml:space="preserve"> 172,984 TEUs</w:t>
      </w:r>
    </w:p>
    <w:p w:rsidR="00000000" w:rsidDel="00000000" w:rsidP="00000000" w:rsidRDefault="00000000" w:rsidRPr="00000000" w14:paraId="00000030">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2:</w:t>
      </w:r>
      <w:r w:rsidDel="00000000" w:rsidR="00000000" w:rsidRPr="00000000">
        <w:rPr>
          <w:rtl w:val="0"/>
        </w:rPr>
        <w:t xml:space="preserve"> 234,764 TEUs</w:t>
      </w:r>
    </w:p>
    <w:p w:rsidR="00000000" w:rsidDel="00000000" w:rsidP="00000000" w:rsidRDefault="00000000" w:rsidRPr="00000000" w14:paraId="00000031">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3:</w:t>
      </w:r>
      <w:r w:rsidDel="00000000" w:rsidR="00000000" w:rsidRPr="00000000">
        <w:rPr>
          <w:rtl w:val="0"/>
        </w:rPr>
        <w:t xml:space="preserve"> 105,026 TEUs</w:t>
      </w:r>
    </w:p>
    <w:p w:rsidR="00000000" w:rsidDel="00000000" w:rsidP="00000000" w:rsidRDefault="00000000" w:rsidRPr="00000000" w14:paraId="00000032">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4:</w:t>
      </w:r>
      <w:r w:rsidDel="00000000" w:rsidR="00000000" w:rsidRPr="00000000">
        <w:rPr>
          <w:rtl w:val="0"/>
        </w:rPr>
        <w:t xml:space="preserve"> 30,890 TEUs</w:t>
      </w:r>
    </w:p>
    <w:p w:rsidR="00000000" w:rsidDel="00000000" w:rsidP="00000000" w:rsidRDefault="00000000" w:rsidRPr="00000000" w14:paraId="00000033">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Hamad Port:</w:t>
      </w:r>
      <w:r w:rsidDel="00000000" w:rsidR="00000000" w:rsidRPr="00000000">
        <w:rPr>
          <w:rtl w:val="0"/>
        </w:rPr>
        <w:t xml:space="preserve"> 74,136 TEUs</w:t>
      </w:r>
    </w:p>
    <w:p w:rsidR="00000000" w:rsidDel="00000000" w:rsidP="00000000" w:rsidRDefault="00000000" w:rsidRPr="00000000" w14:paraId="00000034">
      <w:pPr>
        <w:ind w:left="1800" w:hanging="360"/>
        <w:rPr/>
      </w:pPr>
      <w:r w:rsidDel="00000000" w:rsidR="00000000" w:rsidRPr="00000000">
        <w:rPr>
          <w:rtl w:val="0"/>
        </w:rPr>
      </w:r>
    </w:p>
    <w:p w:rsidR="00000000" w:rsidDel="00000000" w:rsidP="00000000" w:rsidRDefault="00000000" w:rsidRPr="00000000" w14:paraId="0000003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Distribution of Imports from Each Port to each point based on their weights:</w:t>
      </w:r>
    </w:p>
    <w:p w:rsidR="00000000" w:rsidDel="00000000" w:rsidP="00000000" w:rsidRDefault="00000000" w:rsidRPr="00000000" w14:paraId="00000036">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Distribution for Imports:</w:t>
      </w:r>
    </w:p>
    <w:p w:rsidR="00000000" w:rsidDel="00000000" w:rsidP="00000000" w:rsidRDefault="00000000" w:rsidRPr="00000000" w14:paraId="00000037">
      <w:pPr>
        <w:ind w:left="252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From Hamad Port (93%) and Al-Ruwais Port (7%)</w:t>
      </w:r>
    </w:p>
    <w:p w:rsidR="00000000" w:rsidDel="00000000" w:rsidP="00000000" w:rsidRDefault="00000000" w:rsidRPr="00000000" w14:paraId="00000038">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Total Import TEU:</w:t>
      </w:r>
      <w:r w:rsidDel="00000000" w:rsidR="00000000" w:rsidRPr="00000000">
        <w:rPr>
          <w:rtl w:val="0"/>
        </w:rPr>
        <w:t xml:space="preserve"> 617,800 TEUs</w:t>
      </w:r>
    </w:p>
    <w:p w:rsidR="00000000" w:rsidDel="00000000" w:rsidP="00000000" w:rsidRDefault="00000000" w:rsidRPr="00000000" w14:paraId="00000039">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1:</w:t>
      </w:r>
    </w:p>
    <w:p w:rsidR="00000000" w:rsidDel="00000000" w:rsidP="00000000" w:rsidRDefault="00000000" w:rsidRPr="00000000" w14:paraId="0000003A">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Hamad Port: 160,875 TEUs</w:t>
      </w:r>
    </w:p>
    <w:p w:rsidR="00000000" w:rsidDel="00000000" w:rsidP="00000000" w:rsidRDefault="00000000" w:rsidRPr="00000000" w14:paraId="0000003B">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Al-Ruwais Port: 12,109 TEUs</w:t>
      </w:r>
    </w:p>
    <w:p w:rsidR="00000000" w:rsidDel="00000000" w:rsidP="00000000" w:rsidRDefault="00000000" w:rsidRPr="00000000" w14:paraId="0000003C">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2:</w:t>
      </w:r>
    </w:p>
    <w:p w:rsidR="00000000" w:rsidDel="00000000" w:rsidP="00000000" w:rsidRDefault="00000000" w:rsidRPr="00000000" w14:paraId="0000003D">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Hamad Port: 218,331 TEUs</w:t>
      </w:r>
    </w:p>
    <w:p w:rsidR="00000000" w:rsidDel="00000000" w:rsidP="00000000" w:rsidRDefault="00000000" w:rsidRPr="00000000" w14:paraId="0000003E">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Al-Ruwais Port: 16,433 TEUs</w:t>
      </w:r>
    </w:p>
    <w:p w:rsidR="00000000" w:rsidDel="00000000" w:rsidP="00000000" w:rsidRDefault="00000000" w:rsidRPr="00000000" w14:paraId="0000003F">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3:</w:t>
      </w:r>
    </w:p>
    <w:p w:rsidR="00000000" w:rsidDel="00000000" w:rsidP="00000000" w:rsidRDefault="00000000" w:rsidRPr="00000000" w14:paraId="00000040">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Hamad Port: 97,674 TEUs</w:t>
      </w:r>
    </w:p>
    <w:p w:rsidR="00000000" w:rsidDel="00000000" w:rsidP="00000000" w:rsidRDefault="00000000" w:rsidRPr="00000000" w14:paraId="00000041">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Al-Ruwais Port: 7,352 TEUs</w:t>
      </w:r>
    </w:p>
    <w:p w:rsidR="00000000" w:rsidDel="00000000" w:rsidP="00000000" w:rsidRDefault="00000000" w:rsidRPr="00000000" w14:paraId="00000042">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4:</w:t>
      </w:r>
    </w:p>
    <w:p w:rsidR="00000000" w:rsidDel="00000000" w:rsidP="00000000" w:rsidRDefault="00000000" w:rsidRPr="00000000" w14:paraId="00000043">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Hamad Port: 28,728 TEUs</w:t>
      </w:r>
    </w:p>
    <w:p w:rsidR="00000000" w:rsidDel="00000000" w:rsidP="00000000" w:rsidRDefault="00000000" w:rsidRPr="00000000" w14:paraId="00000044">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Al-Ruwais Port: 2,162 TEUs</w:t>
      </w:r>
    </w:p>
    <w:p w:rsidR="00000000" w:rsidDel="00000000" w:rsidP="00000000" w:rsidRDefault="00000000" w:rsidRPr="00000000" w14:paraId="00000045">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Hamad Port:</w:t>
      </w:r>
    </w:p>
    <w:p w:rsidR="00000000" w:rsidDel="00000000" w:rsidP="00000000" w:rsidRDefault="00000000" w:rsidRPr="00000000" w14:paraId="00000046">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Hamad Port: 68,946 TEUs</w:t>
      </w:r>
    </w:p>
    <w:p w:rsidR="00000000" w:rsidDel="00000000" w:rsidP="00000000" w:rsidRDefault="00000000" w:rsidRPr="00000000" w14:paraId="00000047">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Al-Ruwais Port: 5,190 TEUs</w:t>
      </w:r>
    </w:p>
    <w:p w:rsidR="00000000" w:rsidDel="00000000" w:rsidP="00000000" w:rsidRDefault="00000000" w:rsidRPr="00000000" w14:paraId="00000048">
      <w:pPr>
        <w:ind w:left="2520" w:hanging="360"/>
        <w:rPr/>
      </w:pPr>
      <w:r w:rsidDel="00000000" w:rsidR="00000000" w:rsidRPr="00000000">
        <w:rPr>
          <w:rtl w:val="0"/>
        </w:rPr>
      </w:r>
    </w:p>
    <w:p w:rsidR="00000000" w:rsidDel="00000000" w:rsidP="00000000" w:rsidRDefault="00000000" w:rsidRPr="00000000" w14:paraId="00000049">
      <w:pPr>
        <w:ind w:left="2520" w:hanging="360"/>
        <w:rPr/>
      </w:pPr>
      <w:r w:rsidDel="00000000" w:rsidR="00000000" w:rsidRPr="00000000">
        <w:rPr>
          <w:rtl w:val="0"/>
        </w:rPr>
      </w:r>
    </w:p>
    <w:p w:rsidR="00000000" w:rsidDel="00000000" w:rsidP="00000000" w:rsidRDefault="00000000" w:rsidRPr="00000000" w14:paraId="0000004A">
      <w:pPr>
        <w:ind w:left="2520" w:hanging="360"/>
        <w:rPr/>
      </w:pPr>
      <w:r w:rsidDel="00000000" w:rsidR="00000000" w:rsidRPr="00000000">
        <w:rPr>
          <w:rtl w:val="0"/>
        </w:rPr>
      </w:r>
    </w:p>
    <w:p w:rsidR="00000000" w:rsidDel="00000000" w:rsidP="00000000" w:rsidRDefault="00000000" w:rsidRPr="00000000" w14:paraId="0000004B">
      <w:pPr>
        <w:ind w:left="2520" w:hanging="36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2.2.3 Calculation for Exports TEUs</w:t>
      </w:r>
    </w:p>
    <w:p w:rsidR="00000000" w:rsidDel="00000000" w:rsidP="00000000" w:rsidRDefault="00000000" w:rsidRPr="00000000" w14:paraId="0000004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Total Export TEUs: 432,280</w:t>
      </w:r>
      <w:r w:rsidDel="00000000" w:rsidR="00000000" w:rsidRPr="00000000">
        <w:rPr>
          <w:rtl w:val="0"/>
        </w:rPr>
        <w:t xml:space="preserve"> </w:t>
      </w:r>
    </w:p>
    <w:p w:rsidR="00000000" w:rsidDel="00000000" w:rsidP="00000000" w:rsidRDefault="00000000" w:rsidRPr="00000000" w14:paraId="0000004E">
      <w:pPr>
        <w:ind w:left="1080" w:hanging="360"/>
        <w:rPr/>
      </w:pPr>
      <w:r w:rsidDel="00000000" w:rsidR="00000000" w:rsidRPr="00000000">
        <w:rPr>
          <w:rtl w:val="0"/>
        </w:rPr>
      </w:r>
    </w:p>
    <w:p w:rsidR="00000000" w:rsidDel="00000000" w:rsidP="00000000" w:rsidRDefault="00000000" w:rsidRPr="00000000" w14:paraId="0000004F">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TEUs for Each Point Based on Total Exports (432,280 TEUs):</w:t>
      </w:r>
    </w:p>
    <w:p w:rsidR="00000000" w:rsidDel="00000000" w:rsidP="00000000" w:rsidRDefault="00000000" w:rsidRPr="00000000" w14:paraId="00000050">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1:</w:t>
      </w:r>
      <w:r w:rsidDel="00000000" w:rsidR="00000000" w:rsidRPr="00000000">
        <w:rPr>
          <w:rtl w:val="0"/>
        </w:rPr>
        <w:t xml:space="preserve"> 121,038 TEUs</w:t>
      </w:r>
    </w:p>
    <w:p w:rsidR="00000000" w:rsidDel="00000000" w:rsidP="00000000" w:rsidRDefault="00000000" w:rsidRPr="00000000" w14:paraId="00000051">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2:</w:t>
      </w:r>
      <w:r w:rsidDel="00000000" w:rsidR="00000000" w:rsidRPr="00000000">
        <w:rPr>
          <w:rtl w:val="0"/>
        </w:rPr>
        <w:t xml:space="preserve"> 164,266 TEUs</w:t>
      </w:r>
    </w:p>
    <w:p w:rsidR="00000000" w:rsidDel="00000000" w:rsidP="00000000" w:rsidRDefault="00000000" w:rsidRPr="00000000" w14:paraId="00000052">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3:</w:t>
      </w:r>
      <w:r w:rsidDel="00000000" w:rsidR="00000000" w:rsidRPr="00000000">
        <w:rPr>
          <w:rtl w:val="0"/>
        </w:rPr>
        <w:t xml:space="preserve"> 73,488 TEUs</w:t>
      </w:r>
    </w:p>
    <w:p w:rsidR="00000000" w:rsidDel="00000000" w:rsidP="00000000" w:rsidRDefault="00000000" w:rsidRPr="00000000" w14:paraId="00000053">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4:</w:t>
      </w:r>
      <w:r w:rsidDel="00000000" w:rsidR="00000000" w:rsidRPr="00000000">
        <w:rPr>
          <w:rtl w:val="0"/>
        </w:rPr>
        <w:t xml:space="preserve"> 21,614 TEUs</w:t>
      </w:r>
    </w:p>
    <w:p w:rsidR="00000000" w:rsidDel="00000000" w:rsidP="00000000" w:rsidRDefault="00000000" w:rsidRPr="00000000" w14:paraId="00000054">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Hamad Port:</w:t>
      </w:r>
      <w:r w:rsidDel="00000000" w:rsidR="00000000" w:rsidRPr="00000000">
        <w:rPr>
          <w:rtl w:val="0"/>
        </w:rPr>
        <w:t xml:space="preserve"> 51,874 TEUs</w:t>
      </w:r>
    </w:p>
    <w:p w:rsidR="00000000" w:rsidDel="00000000" w:rsidP="00000000" w:rsidRDefault="00000000" w:rsidRPr="00000000" w14:paraId="00000055">
      <w:pPr>
        <w:ind w:left="1800" w:hanging="360"/>
        <w:rPr/>
      </w:pPr>
      <w:r w:rsidDel="00000000" w:rsidR="00000000" w:rsidRPr="00000000">
        <w:rPr>
          <w:rtl w:val="0"/>
        </w:rPr>
      </w:r>
    </w:p>
    <w:p w:rsidR="00000000" w:rsidDel="00000000" w:rsidP="00000000" w:rsidRDefault="00000000" w:rsidRPr="00000000" w14:paraId="00000056">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Distribution of Exports to Each Point to each port based on their weights:</w:t>
      </w:r>
    </w:p>
    <w:p w:rsidR="00000000" w:rsidDel="00000000" w:rsidP="00000000" w:rsidRDefault="00000000" w:rsidRPr="00000000" w14:paraId="00000057">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1:</w:t>
      </w:r>
    </w:p>
    <w:p w:rsidR="00000000" w:rsidDel="00000000" w:rsidP="00000000" w:rsidRDefault="00000000" w:rsidRPr="00000000" w14:paraId="00000058">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Hamad Port: 108,935 TEUs</w:t>
      </w:r>
    </w:p>
    <w:p w:rsidR="00000000" w:rsidDel="00000000" w:rsidP="00000000" w:rsidRDefault="00000000" w:rsidRPr="00000000" w14:paraId="00000059">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Al-Ruwais Port: 12,104 TEUs</w:t>
      </w:r>
    </w:p>
    <w:p w:rsidR="00000000" w:rsidDel="00000000" w:rsidP="00000000" w:rsidRDefault="00000000" w:rsidRPr="00000000" w14:paraId="0000005A">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2:</w:t>
      </w:r>
    </w:p>
    <w:p w:rsidR="00000000" w:rsidDel="00000000" w:rsidP="00000000" w:rsidRDefault="00000000" w:rsidRPr="00000000" w14:paraId="0000005B">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Hamad Port: 147,840 TEUs</w:t>
      </w:r>
    </w:p>
    <w:p w:rsidR="00000000" w:rsidDel="00000000" w:rsidP="00000000" w:rsidRDefault="00000000" w:rsidRPr="00000000" w14:paraId="0000005C">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Al-Ruwais Port: 16,427 TEUs</w:t>
      </w:r>
    </w:p>
    <w:p w:rsidR="00000000" w:rsidDel="00000000" w:rsidP="00000000" w:rsidRDefault="00000000" w:rsidRPr="00000000" w14:paraId="0000005D">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3:</w:t>
      </w:r>
    </w:p>
    <w:p w:rsidR="00000000" w:rsidDel="00000000" w:rsidP="00000000" w:rsidRDefault="00000000" w:rsidRPr="00000000" w14:paraId="0000005E">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Hamad Port: 66,139 TEUs</w:t>
      </w:r>
    </w:p>
    <w:p w:rsidR="00000000" w:rsidDel="00000000" w:rsidP="00000000" w:rsidRDefault="00000000" w:rsidRPr="00000000" w14:paraId="0000005F">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Al-Ruwais Port: 7,349 TEUs</w:t>
      </w:r>
    </w:p>
    <w:p w:rsidR="00000000" w:rsidDel="00000000" w:rsidP="00000000" w:rsidRDefault="00000000" w:rsidRPr="00000000" w14:paraId="00000060">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Point 4:</w:t>
      </w:r>
    </w:p>
    <w:p w:rsidR="00000000" w:rsidDel="00000000" w:rsidP="00000000" w:rsidRDefault="00000000" w:rsidRPr="00000000" w14:paraId="00000061">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Hamad Port: 19,453 TEUs</w:t>
      </w:r>
    </w:p>
    <w:p w:rsidR="00000000" w:rsidDel="00000000" w:rsidP="00000000" w:rsidRDefault="00000000" w:rsidRPr="00000000" w14:paraId="00000062">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Al-Ruwais Port: 2,161 TEUs</w:t>
      </w:r>
    </w:p>
    <w:p w:rsidR="00000000" w:rsidDel="00000000" w:rsidP="00000000" w:rsidRDefault="00000000" w:rsidRPr="00000000" w14:paraId="00000063">
      <w:pPr>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Hamad Port:</w:t>
      </w:r>
    </w:p>
    <w:p w:rsidR="00000000" w:rsidDel="00000000" w:rsidP="00000000" w:rsidRDefault="00000000" w:rsidRPr="00000000" w14:paraId="00000064">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Hamad Port: 46,686 TEUs</w:t>
      </w:r>
    </w:p>
    <w:p w:rsidR="00000000" w:rsidDel="00000000" w:rsidP="00000000" w:rsidRDefault="00000000" w:rsidRPr="00000000" w14:paraId="00000065">
      <w:pPr>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Al-Ruwais Port: 5,187 TEUs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