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jc w:val="center"/>
      </w:pPr>
      <w:r>
        <w:rPr>
          <w:rFonts w:ascii="Times New Roman" w:hAnsi="Times New Roman"/>
          <w:b/>
          <w:color w:val="000000"/>
          <w:sz w:val="30"/>
        </w:rPr>
        <w:t>Adaptive Ingress Admission Control for Multi-Tenant LLM Serving:</w:t>
        <w:br/>
        <w:t>GPU Memory Protection and the Limits of Upfront Semantic Screening</w:t>
      </w:r>
    </w:p>
    <w:p>
      <w:pPr>
        <w:spacing w:before="0" w:after="40"/>
        <w:jc w:val="center"/>
      </w:pPr>
      <w:r>
        <w:rPr>
          <w:rFonts w:ascii="Times New Roman" w:hAnsi="Times New Roman"/>
          <w:b/>
          <w:color w:val="000000"/>
          <w:sz w:val="22"/>
        </w:rPr>
        <w:t>Reet Shrivastav,  Pranshi Gupta,  Anushka Thakur</w:t>
      </w:r>
    </w:p>
    <w:p>
      <w:pPr>
        <w:spacing w:before="0" w:after="280"/>
        <w:jc w:val="center"/>
      </w:pPr>
      <w:r>
        <w:rPr>
          <w:rFonts w:ascii="Times New Roman" w:hAnsi="Times New Roman"/>
          <w:i/>
          <w:color w:val="000000"/>
          <w:sz w:val="19"/>
        </w:rPr>
        <w:t>Department of Computer Science and Engineering</w:t>
        <w:br/>
        <w:t>Project Repository: https://github.com/reetshrivastav/cad_project</w:t>
      </w:r>
    </w:p>
    <w:p>
      <w:pPr>
        <w:spacing w:before="80" w:after="120" w:line="276" w:lineRule="auto"/>
        <w:ind w:left="360" w:right="360"/>
        <w:jc w:val="both"/>
      </w:pPr>
      <w:r>
        <w:rPr>
          <w:rFonts w:ascii="Times New Roman" w:hAnsi="Times New Roman"/>
          <w:b/>
          <w:sz w:val="19"/>
        </w:rPr>
        <w:t xml:space="preserve">Abstract. </w:t>
      </w:r>
      <w:r>
        <w:rPr>
          <w:rFonts w:ascii="Times New Roman" w:hAnsi="Times New Roman"/>
          <w:sz w:val="19"/>
        </w:rPr>
        <w:t>A coupled resource-allocation and security challenge affects multi-tenant Large Language Model (LLM) serving architectures on physical GPU infrastructure: volumetric output-demand floods and repetitive prompt loops saturate GPU Key-Value (KV) cache memory, while unconstrained execution leaves downstream pipelines vulnerable to adversarial prompt injection. We present an end-to-end, adaptive ingress admission control gateway deployed in front of vLLM serving Qwen2.5-3B-Instruct on an NVIDIA RTX A4000 GPU. The controller extracts an 6-dimensional lexical, semantic, and resource-demand feature vector in under 20 ms, assigning requests to Full, Sandboxed, or Quarantined execution tiers. In controlled experiments on a 256 MiB KV-cache pool, direct vLLM saturation causes benign request latency to skyrocket to 50.24 seconds with 100% KV-cache occupancy. In contrast, gateway admission control preserves benign latency at ~300 ms across all trials, avoiding 43,008 generation tokens with zero waiting queue formation. However, our comprehensive investigation on the public LLMail-Inject benchmark (160k+ samples) reveals critical negative findings: while upfront screening reliably defeats volumetric resource exhaustion, lightweight semantic similarity filters fail to generalize to contextual prompt injection (achieving only 61.59% recall and 76.66% specificity on reserved data, and collapsing under long-email window aggregation). We conclude that while ingress admission control is indispensable for GPU memory protection and service availability, contextual injection defense requires layered, task-aware execution sandboxing rather than ingress filtering alone.</w:t>
      </w:r>
    </w:p>
    <w:p>
      <w:pPr>
        <w:spacing w:before="40" w:after="280"/>
        <w:ind w:left="360" w:right="360"/>
      </w:pPr>
      <w:r>
        <w:rPr>
          <w:rFonts w:ascii="Times New Roman" w:hAnsi="Times New Roman"/>
          <w:b/>
          <w:sz w:val="19"/>
        </w:rPr>
        <w:t xml:space="preserve">Keywords: </w:t>
      </w:r>
      <w:r>
        <w:rPr>
          <w:rFonts w:ascii="Times New Roman" w:hAnsi="Times New Roman"/>
          <w:i/>
          <w:sz w:val="19"/>
        </w:rPr>
        <w:t>Multi-Tenant LLM Serving, Admission Control, GPU Memory Management, KV-Cache Saturation, Prompt Injection, Systems for ML.</w:t>
      </w:r>
    </w:p>
    <w:p>
      <w:pPr>
        <w:keepNext/>
        <w:spacing w:before="280" w:after="80"/>
      </w:pPr>
      <w:r>
        <w:rPr>
          <w:rFonts w:ascii="Times New Roman" w:hAnsi="Times New Roman"/>
          <w:b/>
          <w:color w:val="000000"/>
          <w:sz w:val="24"/>
        </w:rPr>
        <w:t>1 Introduction</w:t>
      </w:r>
    </w:p>
    <w:p>
      <w:pPr>
        <w:spacing w:before="0" w:after="100" w:line="276" w:lineRule="auto"/>
        <w:ind w:firstLine="288"/>
      </w:pPr>
      <w:r>
        <w:rPr>
          <w:rFonts w:ascii="Times New Roman" w:hAnsi="Times New Roman"/>
          <w:color w:val="1E1E1E"/>
          <w:sz w:val="21"/>
        </w:rPr>
        <w:t>A multi-tenant Large Language Model (LLM) serving engine experiences severe queuing delays when its available memory pool becomes saturated. In modern serving runtimes, such as vLLM, TensorRT-LLM, and TGI, memory capacity is dominated by the dynamic Key-Value (KV) cache allocations managed via PagedAttention. While serving systems attempt to optimize scheduling through continuous batching, physical GPU hardware imposes strictly finite memory and compute limits. Consequently, when unvetted client ingress is admitted directly into the scheduling queue, resource-intensive requests compete directly with legitimate traffic for scarce KV-cache blocks.</w:t>
      </w:r>
    </w:p>
    <w:p>
      <w:pPr>
        <w:spacing w:before="0" w:after="100" w:line="276" w:lineRule="auto"/>
        <w:ind w:firstLine="288"/>
      </w:pPr>
      <w:r>
        <w:rPr>
          <w:rFonts w:ascii="Times New Roman" w:hAnsi="Times New Roman"/>
          <w:color w:val="1E1E1E"/>
          <w:sz w:val="21"/>
        </w:rPr>
        <w:t>These operational choices interact directly. While an ingress proxy can drop suspected demand floods prior to GPU scheduling, an incorrect rejection degrades legitimate user experience. Conversely, admitting volumetric sponge prompts—queries engineered to demand maximum generation lengths (e.g., requesting 100,000 words)—rapidly exhausts available KV-cache blocks, stalling concurrent queries behind long-running decoding loops. Furthermore, downstream guardrails (e.g., Llama Guard or auxiliary safety classifiers) evaluate prompts after inference has already commenced, executing billions of FLOPs and allocating high-bandwidth VRAM before returning a refusal message.</w:t>
      </w:r>
    </w:p>
    <w:p>
      <w:pPr>
        <w:spacing w:before="0" w:after="100" w:line="276" w:lineRule="auto"/>
        <w:ind w:firstLine="288"/>
      </w:pPr>
      <w:r>
        <w:rPr>
          <w:rFonts w:ascii="Times New Roman" w:hAnsi="Times New Roman"/>
          <w:color w:val="1E1E1E"/>
          <w:sz w:val="21"/>
        </w:rPr>
        <w:t>We propose an end-to-end, closed-loop ingress admission control framework that couples three key components: an 6-dimensional lexical, semantic, and resource-demand feature extractor, a multi-class XGBoost risk estimator with graduated execution tiers (Full, Sandbox, and Quarantine), and dynamic telemetry-driven threshold adaptation interfacing with vLLM's PagedAttention KV-cache manager. The system intercepts prompts at the network boundary, extracts features in under 20 ms, and prevents malicious resource drains from ever allocating GPU memory blocks.</w:t>
      </w:r>
    </w:p>
    <w:p>
      <w:pPr>
        <w:spacing w:before="0" w:after="100" w:line="276" w:lineRule="auto"/>
        <w:ind w:firstLine="288"/>
      </w:pPr>
      <w:r>
        <w:rPr>
          <w:rFonts w:ascii="Times New Roman" w:hAnsi="Times New Roman"/>
          <w:color w:val="1E1E1E"/>
          <w:sz w:val="21"/>
        </w:rPr>
        <w:t>The contributions consist of: (i) an ingress proxy architecture that extracts token, lexical, semantic, repetition, output demand, and session burst features in under 20 ms; (ii) a controlled hardware evaluation on an NVIDIA RTX A4000 GPU serving vLLM Qwen2.5-3B-Instruct under a 256 MiB KV-cache pool, demonstrating the preservation of ~300 ms benign latency and avoidance of 43,008 generation tokens against direct vLLM saturation (50.24 seconds); and (iii) an extensive trace-based assessment on the public LLMail-Inject benchmark (160k+ samples) evaluating task/content pairing, wording transfer, cutoff calibration, and long-context window extensions. The findings indicate areas where volumetric admission control succeeds and where upfront semantic screening fundamentally degrades.</w:t>
      </w:r>
    </w:p>
    <w:p>
      <w:pPr>
        <w:keepNext/>
        <w:spacing w:before="280" w:after="80"/>
      </w:pPr>
      <w:r>
        <w:rPr>
          <w:rFonts w:ascii="Times New Roman" w:hAnsi="Times New Roman"/>
          <w:b/>
          <w:color w:val="000000"/>
          <w:sz w:val="24"/>
        </w:rPr>
        <w:t>2 Related Work</w:t>
      </w:r>
    </w:p>
    <w:p>
      <w:pPr>
        <w:keepNext/>
        <w:spacing w:before="200" w:after="40"/>
      </w:pPr>
      <w:r>
        <w:rPr>
          <w:rFonts w:ascii="Times New Roman" w:hAnsi="Times New Roman"/>
          <w:b/>
          <w:color w:val="000000"/>
          <w:sz w:val="22"/>
        </w:rPr>
        <w:t>2.1 LLM Serving Systems and Memory Management</w:t>
      </w:r>
    </w:p>
    <w:p>
      <w:pPr>
        <w:spacing w:before="0" w:after="100" w:line="276" w:lineRule="auto"/>
        <w:ind w:firstLine="288"/>
      </w:pPr>
      <w:r>
        <w:rPr>
          <w:rFonts w:ascii="Times New Roman" w:hAnsi="Times New Roman"/>
          <w:color w:val="1E1E1E"/>
          <w:sz w:val="21"/>
        </w:rPr>
        <w:t>Workload-aware resource management in cloud serving architectures has been studied across containerized and serverless runtimes. In deep learning serving, PagedAttention was introduced by Kwon et al. [6] to resolve external memory fragmentation in vLLM by partitioning the KV-cache into discrete physical memory pages. SGLang [9] and chunked-prefill architectures optimize execution graphs and scheduling. However, these systems operate under the assumption of cooperative client workloads; without admission gating, unconstrained generation lengths still induce severe head-of-line blocking.</w:t>
      </w:r>
    </w:p>
    <w:p>
      <w:pPr>
        <w:keepNext/>
        <w:spacing w:before="200" w:after="40"/>
      </w:pPr>
      <w:r>
        <w:rPr>
          <w:rFonts w:ascii="Times New Roman" w:hAnsi="Times New Roman"/>
          <w:b/>
          <w:color w:val="000000"/>
          <w:sz w:val="22"/>
        </w:rPr>
        <w:t>2.2 Resource Denial and Algorithmic Sponge Attacks</w:t>
      </w:r>
    </w:p>
    <w:p>
      <w:pPr>
        <w:spacing w:before="0" w:after="100" w:line="276" w:lineRule="auto"/>
        <w:ind w:firstLine="288"/>
      </w:pPr>
      <w:r>
        <w:rPr>
          <w:rFonts w:ascii="Times New Roman" w:hAnsi="Times New Roman"/>
          <w:color w:val="1E1E1E"/>
          <w:sz w:val="21"/>
        </w:rPr>
        <w:t>Sponge examples, as characterized by Shumailov et al. [8], exploit the computational asymmetry of neural network inference to maximize energy consumption and latency. In LLM serving, this manifests as Denial-of-Wallet (DoW) and memory starvation: adversaries submit low-cost prompts that induce maximal decoding iteration. Traditional cloud rate-limiters track request frequency but fail to account for the superlinear token demands of individual queries.</w:t>
      </w:r>
    </w:p>
    <w:p>
      <w:pPr>
        <w:keepNext/>
        <w:spacing w:before="200" w:after="40"/>
      </w:pPr>
      <w:r>
        <w:rPr>
          <w:rFonts w:ascii="Times New Roman" w:hAnsi="Times New Roman"/>
          <w:b/>
          <w:color w:val="000000"/>
          <w:sz w:val="22"/>
        </w:rPr>
        <w:t>2.3 Prompt Injection and Adversarial Evaluation</w:t>
      </w:r>
    </w:p>
    <w:p>
      <w:pPr>
        <w:spacing w:before="0" w:after="100" w:line="276" w:lineRule="auto"/>
        <w:ind w:firstLine="288"/>
      </w:pPr>
      <w:r>
        <w:rPr>
          <w:rFonts w:ascii="Times New Roman" w:hAnsi="Times New Roman"/>
          <w:color w:val="1E1E1E"/>
          <w:sz w:val="21"/>
        </w:rPr>
        <w:t>Direct adversarial jailbreaks have been benchmarked via AdvBench by Zou et al. [10]. Indirect prompt injection, where malicious instructions are embedded within untrusted external data (such as emails or web documents), is formalized by BIPIA [2] and the LLMail-Inject challenge [1]. Downstream guardrails such as Llama Guard [5] evaluate inputs and outputs via fine-tuned LLMs; however, invoking an auxiliary LLM burns substantial GPU compute. Our work investigates the feasibility and fundamental limitations of upfront, sub-millisecond ingress screening prior to model invocation.</w:t>
      </w:r>
    </w:p>
    <w:p>
      <w:pPr>
        <w:keepNext/>
        <w:spacing w:before="280" w:after="80"/>
      </w:pPr>
      <w:r>
        <w:rPr>
          <w:rFonts w:ascii="Times New Roman" w:hAnsi="Times New Roman"/>
          <w:b/>
          <w:color w:val="000000"/>
          <w:sz w:val="24"/>
        </w:rPr>
        <w:t>3 System Model and Metrics</w:t>
      </w:r>
    </w:p>
    <w:p>
      <w:pPr>
        <w:spacing w:before="0" w:after="100" w:line="276" w:lineRule="auto"/>
        <w:ind w:firstLine="288"/>
      </w:pPr>
      <w:r>
        <w:rPr>
          <w:rFonts w:ascii="Times New Roman" w:hAnsi="Times New Roman"/>
          <w:color w:val="1E1E1E"/>
          <w:sz w:val="21"/>
        </w:rPr>
        <w:t>Requests arrive at the ingress boundary from concurrent client sessions. Each request i consists of a prompt text p_i, an optional system context, and generation parameters. The total end-to-end response latency for invocation i is formulated as:</w:t>
      </w:r>
    </w:p>
    <w:p>
      <w:pPr>
        <w:spacing w:before="80" w:after="120"/>
        <w:jc w:val="center"/>
      </w:pPr>
      <w:r>
        <w:rPr>
          <w:rFonts w:ascii="Times New Roman" w:hAnsi="Times New Roman"/>
          <w:i/>
          <w:sz w:val="20"/>
        </w:rPr>
        <w:t>L_i = T_ingress(p_i) + T_queue + T_prefill(p_i) + sum_{k=1}^{G_i} T_decode(k)        (1)</w:t>
      </w:r>
    </w:p>
    <w:p>
      <w:pPr>
        <w:spacing w:before="0" w:after="100" w:line="276" w:lineRule="auto"/>
        <w:ind w:firstLine="288"/>
      </w:pPr>
      <w:r>
        <w:rPr>
          <w:rFonts w:ascii="Times New Roman" w:hAnsi="Times New Roman"/>
          <w:color w:val="1E1E1E"/>
          <w:sz w:val="21"/>
        </w:rPr>
        <w:t>where T_ingress represents the gateway feature extraction and routing latency, T_queue denotes scheduling queue delay, T_prefill is the prompt encoding time on GPU, and G_i is the number of generated tokens. For quarantined requests rejected at ingress, T_queue = T_prefill = T_decode = 0, resulting in an immediate network refusal L_i = T_ingress. The composite risk score R is formulated from multi-class probabilities as R = 1 - P(benign) in [0, 1]. Primary metrics include the Quarantine Rate (CSR), SLA Violation Rate (SVR for deadline D = 1.0 s), active KV-cache utilization fraction mu_kv, and avoided backend generation tokens Delta_tokens.</w:t>
      </w:r>
    </w:p>
    <w:p>
      <w:pPr>
        <w:keepNext/>
        <w:spacing w:before="280" w:after="80"/>
      </w:pPr>
      <w:r>
        <w:rPr>
          <w:rFonts w:ascii="Times New Roman" w:hAnsi="Times New Roman"/>
          <w:b/>
          <w:color w:val="000000"/>
          <w:sz w:val="24"/>
        </w:rPr>
        <w:t>4 Unified Ingress Admission Framework</w:t>
      </w:r>
    </w:p>
    <w:p>
      <w:pPr>
        <w:spacing w:before="0" w:after="100" w:line="276" w:lineRule="auto"/>
        <w:ind w:firstLine="288"/>
      </w:pPr>
      <w:r>
        <w:rPr>
          <w:rFonts w:ascii="Times New Roman" w:hAnsi="Times New Roman"/>
          <w:color w:val="1E1E1E"/>
          <w:sz w:val="21"/>
        </w:rPr>
        <w:t>The overall controller architecture connects client ingress, lightweight feature extraction, multi-class risk scoring, and real-time GPU telemetry feedback (Fig. 1).</w:t>
      </w:r>
    </w:p>
    <w:p>
      <w:pPr>
        <w:spacing w:before="160" w:after="80"/>
        <w:jc w:val="center"/>
      </w:pPr>
      <w:r>
        <w:drawing>
          <wp:inline xmlns:a="http://schemas.openxmlformats.org/drawingml/2006/main" xmlns:pic="http://schemas.openxmlformats.org/drawingml/2006/picture">
            <wp:extent cx="5120640" cy="260719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120640" cy="2607191"/>
                    </a:xfrm>
                    <a:prstGeom prst="rect"/>
                  </pic:spPr>
                </pic:pic>
              </a:graphicData>
            </a:graphic>
          </wp:inline>
        </w:drawing>
      </w:r>
    </w:p>
    <w:p>
      <w:pPr>
        <w:spacing w:before="0" w:after="200" w:line="264" w:lineRule="auto"/>
        <w:ind w:left="432" w:right="432"/>
        <w:jc w:val="both"/>
      </w:pPr>
      <w:r>
        <w:rPr>
          <w:rFonts w:ascii="Times New Roman" w:hAnsi="Times New Roman"/>
          <w:color w:val="000000"/>
          <w:sz w:val="18"/>
        </w:rPr>
        <w:t>Fig. 1. System architecture. Ingress prompts are tokenized and extracted into a six-dimensional feature vector. The XGBoost risk classifier assigns execution tiers, while a background telemetry loop monitors vLLM KV-cache saturation.</w:t>
      </w:r>
    </w:p>
    <w:p>
      <w:pPr>
        <w:keepNext/>
        <w:spacing w:before="200" w:after="40"/>
      </w:pPr>
      <w:r>
        <w:rPr>
          <w:rFonts w:ascii="Times New Roman" w:hAnsi="Times New Roman"/>
          <w:b/>
          <w:color w:val="000000"/>
          <w:sz w:val="22"/>
        </w:rPr>
        <w:t>4.1 Causal Ingress Feature Representation</w:t>
      </w:r>
    </w:p>
    <w:p>
      <w:pPr>
        <w:spacing w:before="0" w:after="100" w:line="276" w:lineRule="auto"/>
        <w:ind w:firstLine="288"/>
      </w:pPr>
      <w:r>
        <w:rPr>
          <w:rFonts w:ascii="Times New Roman" w:hAnsi="Times New Roman"/>
          <w:color w:val="1E1E1E"/>
          <w:sz w:val="21"/>
        </w:rPr>
        <w:t>For each incoming prompt p_i, the gateway constructs an 6-dimensional feature vector x_i = [n_tokens, s_lexical, s_semantic, r_repeat, d_output, c_session] without relying on future session knowledge. Token count n_tokens is computed via tiktoken (cl100k_base). Lexical similarity s_lexical computes maximum cosine similarity against indexed adversarial patterns using TF-IDF n-grams. Dense semantic similarity s_semantic uses dot-product similarity against threat centroids computed over 384-dimensional all-MiniLM-L6-v2 embeddings running on CUDA in FP16 precision. Repetition density r_repeat captures bigram loops, output demand d_output estimates completion scale, and session burst count c_session tracks sliding prefix frequency.</w:t>
      </w:r>
    </w:p>
    <w:p>
      <w:pPr>
        <w:keepNext/>
        <w:spacing w:before="200" w:after="40"/>
      </w:pPr>
      <w:r>
        <w:rPr>
          <w:rFonts w:ascii="Times New Roman" w:hAnsi="Times New Roman"/>
          <w:b/>
          <w:color w:val="000000"/>
          <w:sz w:val="22"/>
        </w:rPr>
        <w:t>4.2 Multi-Class Risk Estimation and Tier Policy</w:t>
      </w:r>
    </w:p>
    <w:p>
      <w:pPr>
        <w:spacing w:before="0" w:after="100" w:line="276" w:lineRule="auto"/>
        <w:ind w:firstLine="288"/>
      </w:pPr>
      <w:r>
        <w:rPr>
          <w:rFonts w:ascii="Times New Roman" w:hAnsi="Times New Roman"/>
          <w:color w:val="1E1E1E"/>
          <w:sz w:val="21"/>
        </w:rPr>
        <w:t>An XGBoost classifier predicts class probabilities P(benign), P(injection), and P(exhaustion). Risk R = 1 - P(benign) routes requests into three tiers: (1) Full Tier (R &lt; 0.35): Direct passthrough to the primary LLM; (2) Sandbox Tier (0.35 &lt;= R &lt; 0.75): Hard 256-token completion limit and 5.0-second read timeout; and (3) Quarantine Tier (R &gt;= 0.75): Immediate rejection returning HTTP 403 (risk_quarantine) for zero backend GPU token allocations.</w:t>
      </w:r>
    </w:p>
    <w:p>
      <w:pPr>
        <w:keepNext/>
        <w:spacing w:before="200" w:after="40"/>
      </w:pPr>
      <w:r>
        <w:rPr>
          <w:rFonts w:ascii="Times New Roman" w:hAnsi="Times New Roman"/>
          <w:b/>
          <w:color w:val="000000"/>
          <w:sz w:val="22"/>
        </w:rPr>
        <w:t>4.3 Dynamic Telemetry-Driven Adaptation</w:t>
      </w:r>
    </w:p>
    <w:p>
      <w:pPr>
        <w:spacing w:before="0" w:after="100" w:line="276" w:lineRule="auto"/>
        <w:ind w:firstLine="288"/>
      </w:pPr>
      <w:r>
        <w:rPr>
          <w:rFonts w:ascii="Times New Roman" w:hAnsi="Times New Roman"/>
          <w:color w:val="1E1E1E"/>
          <w:sz w:val="21"/>
        </w:rPr>
        <w:t>A background polling thread queries vLLM's Prometheus endpoint at /metrics every 1.0 second, sampling vllm:kv_cache_usage_perc. When KV-cache occupancy exceeds 0.85, the gateway dynamically tightens thresholds to 0.25 (Full/Sandbox) and 0.65 (Sandbox/Quarantine), aggressively shedding load until memory saturation recedes.</w:t>
      </w:r>
    </w:p>
    <w:p>
      <w:pPr>
        <w:keepNext/>
        <w:spacing w:before="280" w:after="80"/>
      </w:pPr>
      <w:r>
        <w:rPr>
          <w:rFonts w:ascii="Times New Roman" w:hAnsi="Times New Roman"/>
          <w:b/>
          <w:color w:val="000000"/>
          <w:sz w:val="24"/>
        </w:rPr>
        <w:t>5 Experimental Protocol</w:t>
      </w:r>
    </w:p>
    <w:p>
      <w:pPr>
        <w:keepNext/>
        <w:spacing w:before="200" w:after="40"/>
      </w:pPr>
      <w:r>
        <w:rPr>
          <w:rFonts w:ascii="Times New Roman" w:hAnsi="Times New Roman"/>
          <w:b/>
          <w:color w:val="000000"/>
          <w:sz w:val="22"/>
        </w:rPr>
        <w:t>5.1 Lab Hardware and Serving Infrastructure</w:t>
      </w:r>
    </w:p>
    <w:p>
      <w:pPr>
        <w:spacing w:before="0" w:after="100" w:line="276" w:lineRule="auto"/>
        <w:ind w:firstLine="288"/>
      </w:pPr>
      <w:r>
        <w:rPr>
          <w:rFonts w:ascii="Times New Roman" w:hAnsi="Times New Roman"/>
          <w:color w:val="1E1E1E"/>
          <w:sz w:val="21"/>
        </w:rPr>
        <w:t>All hardware experiments were performed on an Ubuntu workstation equipped with an NVIDIA RTX A4000 GPU (16 GB GDDR6 VRAM, PCIe 4.0). The serving backend was vLLM 0.31.0 serving Qwen/Qwen2.5-3B-Instruct in FP16 with FlashInfer disabled. To evaluate memory saturation under repeatable conditions without multi-hour synthetic loads, we configured a deliberately constrained KV-cache pool of 256 MiB (268,435,456 bytes, corresponding to exactly 455 memory blocks and 7,280 tokens). Maximum model length was 2,048 tokens with sequence concurrency limit 4.</w:t>
      </w:r>
    </w:p>
    <w:p>
      <w:pPr>
        <w:keepNext/>
        <w:spacing w:before="200" w:after="40"/>
      </w:pPr>
      <w:r>
        <w:rPr>
          <w:rFonts w:ascii="Times New Roman" w:hAnsi="Times New Roman"/>
          <w:b/>
          <w:color w:val="000000"/>
          <w:sz w:val="22"/>
        </w:rPr>
        <w:t>5.2 Capped Workloads and Repeated Blocks</w:t>
      </w:r>
    </w:p>
    <w:p>
      <w:pPr>
        <w:spacing w:before="0" w:after="100" w:line="276" w:lineRule="auto"/>
        <w:ind w:firstLine="288"/>
      </w:pPr>
      <w:r>
        <w:rPr>
          <w:rFonts w:ascii="Times New Roman" w:hAnsi="Times New Roman"/>
          <w:color w:val="1E1E1E"/>
          <w:sz w:val="21"/>
        </w:rPr>
        <w:t>The benchmark compared three serving configurations across three balanced blocks with rotated execution order: Block 1 (Direct -&gt; Static -&gt; Adaptive), Block 2 (Static -&gt; Adaptive -&gt; Direct), and Block 3 (Adaptive -&gt; Direct -&gt; Static). Between conditions, serving instances were restarted to verify clean zero-counter state. Each run offered eight concurrent high-demand requests demanding a 100,000-word novel (capped to 1,792 tokens with ignore_eos=true) and eight short benign probes (16-token cap) staggered by 3.0 seconds.</w:t>
      </w:r>
    </w:p>
    <w:p>
      <w:pPr>
        <w:keepNext/>
        <w:spacing w:before="200" w:after="40"/>
      </w:pPr>
      <w:r>
        <w:rPr>
          <w:rFonts w:ascii="Times New Roman" w:hAnsi="Times New Roman"/>
          <w:b/>
          <w:color w:val="000000"/>
          <w:sz w:val="22"/>
        </w:rPr>
        <w:t>5.3 External Adversarial Benchmark (LLMail-Inject)</w:t>
      </w:r>
    </w:p>
    <w:p>
      <w:pPr>
        <w:spacing w:before="0" w:after="100" w:line="276" w:lineRule="auto"/>
        <w:ind w:firstLine="288"/>
      </w:pPr>
      <w:r>
        <w:rPr>
          <w:rFonts w:ascii="Times New Roman" w:hAnsi="Times New Roman"/>
          <w:color w:val="1E1E1E"/>
          <w:sz w:val="21"/>
        </w:rPr>
        <w:t>To evaluate prompt injection generalization, we utilized the public LLMail-Inject challenge dataset [1] containing 370,724 submissions across 224 teams. To prevent data leakage, we performed atomic connected-component deduplication across shared texts, followed by MinHash/Jaccard filtering at 0.8, yielding a rigorously partitioned split of 3,896 training, 1,892 validation, and 13,989 reserved test emails.</w:t>
      </w:r>
    </w:p>
    <w:p>
      <w:pPr>
        <w:keepNext/>
        <w:spacing w:before="280" w:after="80"/>
      </w:pPr>
      <w:r>
        <w:rPr>
          <w:rFonts w:ascii="Times New Roman" w:hAnsi="Times New Roman"/>
          <w:b/>
          <w:color w:val="000000"/>
          <w:sz w:val="24"/>
        </w:rPr>
        <w:t>6 Results and Analysis</w:t>
      </w:r>
    </w:p>
    <w:p>
      <w:pPr>
        <w:keepNext/>
        <w:spacing w:before="200" w:after="40"/>
      </w:pPr>
      <w:r>
        <w:rPr>
          <w:rFonts w:ascii="Times New Roman" w:hAnsi="Times New Roman"/>
          <w:b/>
          <w:color w:val="000000"/>
          <w:sz w:val="22"/>
        </w:rPr>
        <w:t>6.1 Controlled GPU Resource Protection on RTX A4000</w:t>
      </w:r>
    </w:p>
    <w:p>
      <w:pPr>
        <w:spacing w:before="0" w:after="100" w:line="276" w:lineRule="auto"/>
        <w:ind w:firstLine="288"/>
      </w:pPr>
      <w:r>
        <w:rPr>
          <w:rFonts w:ascii="Times New Roman" w:hAnsi="Times New Roman"/>
          <w:color w:val="1E1E1E"/>
          <w:sz w:val="21"/>
        </w:rPr>
        <w:t>The macro-averaged primary results across all nine balanced runs are summarized in Table 1. Under the unprotected Direct vLLM condition, the eight high-demand requests saturated the 256 MiB KV-pool almost immediately (99.56% to 100% sampled KV occupancy), inducing extreme queueing (Q_wait = 11 to 12). As a result, mean benign probe latency exploded to 50.244 seconds.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1255"/>
        <w:gridCol w:w="1255"/>
        <w:gridCol w:w="1255"/>
        <w:gridCol w:w="1255"/>
        <w:gridCol w:w="1255"/>
        <w:gridCol w:w="1255"/>
        <w:gridCol w:w="1255"/>
      </w:tblGrid>
      <w:tr>
        <w:tc>
          <w:tcPr>
            <w:tcW w:type="dxa" w:w="1872"/>
            <w:tcMar>
              <w:top w:w="80" w:type="dxa"/>
              <w:bottom w:w="80" w:type="dxa"/>
              <w:left w:w="90" w:type="dxa"/>
              <w:right w:w="90" w:type="dxa"/>
            </w:tcMar>
          </w:tcPr>
          <w:p>
            <w:pPr>
              <w:jc w:val="left"/>
            </w:pPr>
            <w:r>
              <w:rPr>
                <w:rFonts w:ascii="Times New Roman" w:hAnsi="Times New Roman"/>
                <w:b/>
                <w:color w:val="000000"/>
                <w:sz w:val="19"/>
              </w:rPr>
              <w:t>Policy</w:t>
            </w:r>
          </w:p>
        </w:tc>
        <w:tc>
          <w:tcPr>
            <w:tcW w:type="dxa" w:w="2160"/>
            <w:tcMar>
              <w:top w:w="80" w:type="dxa"/>
              <w:bottom w:w="80" w:type="dxa"/>
              <w:left w:w="90" w:type="dxa"/>
              <w:right w:w="90" w:type="dxa"/>
            </w:tcMar>
          </w:tcPr>
          <w:p>
            <w:pPr>
              <w:jc w:val="left"/>
            </w:pPr>
            <w:r>
              <w:rPr>
                <w:rFonts w:ascii="Times New Roman" w:hAnsi="Times New Roman"/>
                <w:b/>
                <w:color w:val="000000"/>
                <w:sz w:val="19"/>
              </w:rPr>
              <w:t>Block 1/2/3 Mean (s)</w:t>
            </w:r>
          </w:p>
        </w:tc>
        <w:tc>
          <w:tcPr>
            <w:tcW w:type="dxa" w:w="1296"/>
            <w:tcMar>
              <w:top w:w="80" w:type="dxa"/>
              <w:bottom w:w="80" w:type="dxa"/>
              <w:left w:w="90" w:type="dxa"/>
              <w:right w:w="90" w:type="dxa"/>
            </w:tcMar>
          </w:tcPr>
          <w:p>
            <w:pPr>
              <w:jc w:val="left"/>
            </w:pPr>
            <w:r>
              <w:rPr>
                <w:rFonts w:ascii="Times New Roman" w:hAnsi="Times New Roman"/>
                <w:b/>
                <w:color w:val="000000"/>
                <w:sz w:val="19"/>
              </w:rPr>
              <w:t>Overall Latency</w:t>
            </w:r>
          </w:p>
        </w:tc>
        <w:tc>
          <w:tcPr>
            <w:tcW w:type="dxa" w:w="1152"/>
            <w:tcMar>
              <w:top w:w="80" w:type="dxa"/>
              <w:bottom w:w="80" w:type="dxa"/>
              <w:left w:w="90" w:type="dxa"/>
              <w:right w:w="90" w:type="dxa"/>
            </w:tcMar>
          </w:tcPr>
          <w:p>
            <w:pPr>
              <w:jc w:val="left"/>
            </w:pPr>
            <w:r>
              <w:rPr>
                <w:rFonts w:ascii="Times New Roman" w:hAnsi="Times New Roman"/>
                <w:b/>
                <w:color w:val="000000"/>
                <w:sz w:val="19"/>
              </w:rPr>
              <w:t>Benign Done</w:t>
            </w:r>
          </w:p>
        </w:tc>
        <w:tc>
          <w:tcPr>
            <w:tcW w:type="dxa" w:w="1152"/>
            <w:tcMar>
              <w:top w:w="80" w:type="dxa"/>
              <w:bottom w:w="80" w:type="dxa"/>
              <w:left w:w="90" w:type="dxa"/>
              <w:right w:w="90" w:type="dxa"/>
            </w:tcMar>
          </w:tcPr>
          <w:p>
            <w:pPr>
              <w:jc w:val="left"/>
            </w:pPr>
            <w:r>
              <w:rPr>
                <w:rFonts w:ascii="Times New Roman" w:hAnsi="Times New Roman"/>
                <w:b/>
                <w:color w:val="000000"/>
                <w:sz w:val="19"/>
              </w:rPr>
              <w:t>Quarantined</w:t>
            </w:r>
          </w:p>
        </w:tc>
        <w:tc>
          <w:tcPr>
            <w:tcW w:type="dxa" w:w="1152"/>
            <w:tcMar>
              <w:top w:w="80" w:type="dxa"/>
              <w:bottom w:w="80" w:type="dxa"/>
              <w:left w:w="90" w:type="dxa"/>
              <w:right w:w="90" w:type="dxa"/>
            </w:tcMar>
          </w:tcPr>
          <w:p>
            <w:pPr>
              <w:jc w:val="left"/>
            </w:pPr>
            <w:r>
              <w:rPr>
                <w:rFonts w:ascii="Times New Roman" w:hAnsi="Times New Roman"/>
                <w:b/>
                <w:color w:val="000000"/>
                <w:sz w:val="19"/>
              </w:rPr>
              <w:t>Tokens Gen</w:t>
            </w:r>
          </w:p>
        </w:tc>
        <w:tc>
          <w:tcPr>
            <w:tcW w:type="dxa" w:w="1008"/>
            <w:tcMar>
              <w:top w:w="80" w:type="dxa"/>
              <w:bottom w:w="80" w:type="dxa"/>
              <w:left w:w="90" w:type="dxa"/>
              <w:right w:w="90" w:type="dxa"/>
            </w:tcMar>
          </w:tcPr>
          <w:p>
            <w:pPr>
              <w:jc w:val="left"/>
            </w:pPr>
            <w:r>
              <w:rPr>
                <w:rFonts w:ascii="Times New Roman" w:hAnsi="Times New Roman"/>
                <w:b/>
                <w:color w:val="000000"/>
                <w:sz w:val="19"/>
              </w:rPr>
              <w:t>Peak KV</w:t>
            </w:r>
          </w:p>
        </w:tc>
      </w:tr>
      <w:tr>
        <w:tc>
          <w:tcPr>
            <w:tcW w:type="dxa" w:w="1872"/>
            <w:tcMar>
              <w:top w:w="60" w:type="dxa"/>
              <w:bottom w:w="60" w:type="dxa"/>
              <w:left w:w="90" w:type="dxa"/>
              <w:right w:w="90" w:type="dxa"/>
            </w:tcMar>
          </w:tcPr>
          <w:p>
            <w:pPr>
              <w:jc w:val="left"/>
            </w:pPr>
            <w:r>
              <w:rPr>
                <w:rFonts w:ascii="Times New Roman" w:hAnsi="Times New Roman"/>
                <w:color w:val="000000"/>
                <w:sz w:val="18"/>
              </w:rPr>
              <w:t>Direct vLLM</w:t>
            </w:r>
          </w:p>
        </w:tc>
        <w:tc>
          <w:tcPr>
            <w:tcW w:type="dxa" w:w="2160"/>
            <w:tcMar>
              <w:top w:w="60" w:type="dxa"/>
              <w:bottom w:w="60" w:type="dxa"/>
              <w:left w:w="90" w:type="dxa"/>
              <w:right w:w="90" w:type="dxa"/>
            </w:tcMar>
          </w:tcPr>
          <w:p>
            <w:pPr>
              <w:jc w:val="left"/>
            </w:pPr>
            <w:r>
              <w:rPr>
                <w:rFonts w:ascii="Times New Roman" w:hAnsi="Times New Roman"/>
                <w:color w:val="000000"/>
                <w:sz w:val="18"/>
              </w:rPr>
              <w:t>47.71 / 55.63 / 47.39</w:t>
            </w:r>
          </w:p>
        </w:tc>
        <w:tc>
          <w:tcPr>
            <w:tcW w:type="dxa" w:w="1296"/>
            <w:tcMar>
              <w:top w:w="60" w:type="dxa"/>
              <w:bottom w:w="60" w:type="dxa"/>
              <w:left w:w="90" w:type="dxa"/>
              <w:right w:w="90" w:type="dxa"/>
            </w:tcMar>
          </w:tcPr>
          <w:p>
            <w:pPr>
              <w:jc w:val="left"/>
            </w:pPr>
            <w:r>
              <w:rPr>
                <w:rFonts w:ascii="Times New Roman" w:hAnsi="Times New Roman"/>
                <w:color w:val="000000"/>
                <w:sz w:val="18"/>
              </w:rPr>
              <w:t>50.244 s</w:t>
            </w:r>
          </w:p>
        </w:tc>
        <w:tc>
          <w:tcPr>
            <w:tcW w:type="dxa" w:w="1152"/>
            <w:tcMar>
              <w:top w:w="60" w:type="dxa"/>
              <w:bottom w:w="60" w:type="dxa"/>
              <w:left w:w="90" w:type="dxa"/>
              <w:right w:w="90" w:type="dxa"/>
            </w:tcMar>
          </w:tcPr>
          <w:p>
            <w:pPr>
              <w:jc w:val="left"/>
            </w:pPr>
            <w:r>
              <w:rPr>
                <w:rFonts w:ascii="Times New Roman" w:hAnsi="Times New Roman"/>
                <w:color w:val="000000"/>
                <w:sz w:val="18"/>
              </w:rPr>
              <w:t>24 / 24</w:t>
            </w:r>
          </w:p>
        </w:tc>
        <w:tc>
          <w:tcPr>
            <w:tcW w:type="dxa" w:w="1152"/>
            <w:tcMar>
              <w:top w:w="60" w:type="dxa"/>
              <w:bottom w:w="60" w:type="dxa"/>
              <w:left w:w="90" w:type="dxa"/>
              <w:right w:w="90" w:type="dxa"/>
            </w:tcMar>
          </w:tcPr>
          <w:p>
            <w:pPr>
              <w:jc w:val="left"/>
            </w:pPr>
            <w:r>
              <w:rPr>
                <w:rFonts w:ascii="Times New Roman" w:hAnsi="Times New Roman"/>
                <w:color w:val="000000"/>
                <w:sz w:val="18"/>
              </w:rPr>
              <w:t>0 / 24</w:t>
            </w:r>
          </w:p>
        </w:tc>
        <w:tc>
          <w:tcPr>
            <w:tcW w:type="dxa" w:w="1152"/>
            <w:tcMar>
              <w:top w:w="60" w:type="dxa"/>
              <w:bottom w:w="60" w:type="dxa"/>
              <w:left w:w="90" w:type="dxa"/>
              <w:right w:w="90" w:type="dxa"/>
            </w:tcMar>
          </w:tcPr>
          <w:p>
            <w:pPr>
              <w:jc w:val="left"/>
            </w:pPr>
            <w:r>
              <w:rPr>
                <w:rFonts w:ascii="Times New Roman" w:hAnsi="Times New Roman"/>
                <w:color w:val="000000"/>
                <w:sz w:val="18"/>
              </w:rPr>
              <w:t>14,464</w:t>
            </w:r>
          </w:p>
        </w:tc>
        <w:tc>
          <w:tcPr>
            <w:tcW w:type="dxa" w:w="1008"/>
            <w:tcMar>
              <w:top w:w="60" w:type="dxa"/>
              <w:bottom w:w="60" w:type="dxa"/>
              <w:left w:w="90" w:type="dxa"/>
              <w:right w:w="90" w:type="dxa"/>
            </w:tcMar>
          </w:tcPr>
          <w:p>
            <w:pPr>
              <w:jc w:val="left"/>
            </w:pPr>
            <w:r>
              <w:rPr>
                <w:rFonts w:ascii="Times New Roman" w:hAnsi="Times New Roman"/>
                <w:color w:val="000000"/>
                <w:sz w:val="18"/>
              </w:rPr>
              <w:t>100.0%</w:t>
            </w:r>
          </w:p>
        </w:tc>
      </w:tr>
      <w:tr>
        <w:tc>
          <w:tcPr>
            <w:tcW w:type="dxa" w:w="1872"/>
            <w:tcMar>
              <w:top w:w="60" w:type="dxa"/>
              <w:bottom w:w="60" w:type="dxa"/>
              <w:left w:w="90" w:type="dxa"/>
              <w:right w:w="90" w:type="dxa"/>
            </w:tcMar>
          </w:tcPr>
          <w:p>
            <w:pPr>
              <w:jc w:val="left"/>
            </w:pPr>
            <w:r>
              <w:rPr>
                <w:rFonts w:ascii="Times New Roman" w:hAnsi="Times New Roman"/>
                <w:color w:val="000000"/>
                <w:sz w:val="18"/>
              </w:rPr>
              <w:t>Static Gateway</w:t>
            </w:r>
          </w:p>
        </w:tc>
        <w:tc>
          <w:tcPr>
            <w:tcW w:type="dxa" w:w="2160"/>
            <w:tcMar>
              <w:top w:w="60" w:type="dxa"/>
              <w:bottom w:w="60" w:type="dxa"/>
              <w:left w:w="90" w:type="dxa"/>
              <w:right w:w="90" w:type="dxa"/>
            </w:tcMar>
          </w:tcPr>
          <w:p>
            <w:pPr>
              <w:jc w:val="left"/>
            </w:pPr>
            <w:r>
              <w:rPr>
                <w:rFonts w:ascii="Times New Roman" w:hAnsi="Times New Roman"/>
                <w:color w:val="000000"/>
                <w:sz w:val="18"/>
              </w:rPr>
              <w:t>0.301 / 0.299 / 0.307</w:t>
            </w:r>
          </w:p>
        </w:tc>
        <w:tc>
          <w:tcPr>
            <w:tcW w:type="dxa" w:w="1296"/>
            <w:tcMar>
              <w:top w:w="60" w:type="dxa"/>
              <w:bottom w:w="60" w:type="dxa"/>
              <w:left w:w="90" w:type="dxa"/>
              <w:right w:w="90" w:type="dxa"/>
            </w:tcMar>
          </w:tcPr>
          <w:p>
            <w:pPr>
              <w:jc w:val="left"/>
            </w:pPr>
            <w:r>
              <w:rPr>
                <w:rFonts w:ascii="Times New Roman" w:hAnsi="Times New Roman"/>
                <w:color w:val="000000"/>
                <w:sz w:val="18"/>
              </w:rPr>
              <w:t>0.302 s</w:t>
            </w:r>
          </w:p>
        </w:tc>
        <w:tc>
          <w:tcPr>
            <w:tcW w:type="dxa" w:w="1152"/>
            <w:tcMar>
              <w:top w:w="60" w:type="dxa"/>
              <w:bottom w:w="60" w:type="dxa"/>
              <w:left w:w="90" w:type="dxa"/>
              <w:right w:w="90" w:type="dxa"/>
            </w:tcMar>
          </w:tcPr>
          <w:p>
            <w:pPr>
              <w:jc w:val="left"/>
            </w:pPr>
            <w:r>
              <w:rPr>
                <w:rFonts w:ascii="Times New Roman" w:hAnsi="Times New Roman"/>
                <w:color w:val="000000"/>
                <w:sz w:val="18"/>
              </w:rPr>
              <w:t>24 / 24</w:t>
            </w:r>
          </w:p>
        </w:tc>
        <w:tc>
          <w:tcPr>
            <w:tcW w:type="dxa" w:w="1152"/>
            <w:tcMar>
              <w:top w:w="60" w:type="dxa"/>
              <w:bottom w:w="60" w:type="dxa"/>
              <w:left w:w="90" w:type="dxa"/>
              <w:right w:w="90" w:type="dxa"/>
            </w:tcMar>
          </w:tcPr>
          <w:p>
            <w:pPr>
              <w:jc w:val="left"/>
            </w:pPr>
            <w:r>
              <w:rPr>
                <w:rFonts w:ascii="Times New Roman" w:hAnsi="Times New Roman"/>
                <w:color w:val="000000"/>
                <w:sz w:val="18"/>
              </w:rPr>
              <w:t>24 / 24</w:t>
            </w:r>
          </w:p>
        </w:tc>
        <w:tc>
          <w:tcPr>
            <w:tcW w:type="dxa" w:w="1152"/>
            <w:tcMar>
              <w:top w:w="60" w:type="dxa"/>
              <w:bottom w:w="60" w:type="dxa"/>
              <w:left w:w="90" w:type="dxa"/>
              <w:right w:w="90" w:type="dxa"/>
            </w:tcMar>
          </w:tcPr>
          <w:p>
            <w:pPr>
              <w:jc w:val="left"/>
            </w:pPr>
            <w:r>
              <w:rPr>
                <w:rFonts w:ascii="Times New Roman" w:hAnsi="Times New Roman"/>
                <w:color w:val="000000"/>
                <w:sz w:val="18"/>
              </w:rPr>
              <w:t>128</w:t>
            </w:r>
          </w:p>
        </w:tc>
        <w:tc>
          <w:tcPr>
            <w:tcW w:type="dxa" w:w="1008"/>
            <w:tcMar>
              <w:top w:w="60" w:type="dxa"/>
              <w:bottom w:w="60" w:type="dxa"/>
              <w:left w:w="90" w:type="dxa"/>
              <w:right w:w="90" w:type="dxa"/>
            </w:tcMar>
          </w:tcPr>
          <w:p>
            <w:pPr>
              <w:jc w:val="left"/>
            </w:pPr>
            <w:r>
              <w:rPr>
                <w:rFonts w:ascii="Times New Roman" w:hAnsi="Times New Roman"/>
                <w:color w:val="000000"/>
                <w:sz w:val="18"/>
              </w:rPr>
              <w:t>0.881%</w:t>
            </w:r>
          </w:p>
        </w:tc>
      </w:tr>
      <w:tr>
        <w:tc>
          <w:tcPr>
            <w:tcW w:type="dxa" w:w="1872"/>
            <w:tcMar>
              <w:top w:w="60" w:type="dxa"/>
              <w:bottom w:w="60" w:type="dxa"/>
              <w:left w:w="90" w:type="dxa"/>
              <w:right w:w="90" w:type="dxa"/>
            </w:tcMar>
          </w:tcPr>
          <w:p>
            <w:pPr>
              <w:jc w:val="left"/>
            </w:pPr>
            <w:r>
              <w:rPr>
                <w:rFonts w:ascii="Times New Roman" w:hAnsi="Times New Roman"/>
                <w:color w:val="000000"/>
                <w:sz w:val="18"/>
              </w:rPr>
              <w:t>Adaptive Gateway</w:t>
            </w:r>
          </w:p>
        </w:tc>
        <w:tc>
          <w:tcPr>
            <w:tcW w:type="dxa" w:w="2160"/>
            <w:tcMar>
              <w:top w:w="60" w:type="dxa"/>
              <w:bottom w:w="60" w:type="dxa"/>
              <w:left w:w="90" w:type="dxa"/>
              <w:right w:w="90" w:type="dxa"/>
            </w:tcMar>
          </w:tcPr>
          <w:p>
            <w:pPr>
              <w:jc w:val="left"/>
            </w:pPr>
            <w:r>
              <w:rPr>
                <w:rFonts w:ascii="Times New Roman" w:hAnsi="Times New Roman"/>
                <w:color w:val="000000"/>
                <w:sz w:val="18"/>
              </w:rPr>
              <w:t>0.297 / 0.300 / 0.297</w:t>
            </w:r>
          </w:p>
        </w:tc>
        <w:tc>
          <w:tcPr>
            <w:tcW w:type="dxa" w:w="1296"/>
            <w:tcMar>
              <w:top w:w="60" w:type="dxa"/>
              <w:bottom w:w="60" w:type="dxa"/>
              <w:left w:w="90" w:type="dxa"/>
              <w:right w:w="90" w:type="dxa"/>
            </w:tcMar>
          </w:tcPr>
          <w:p>
            <w:pPr>
              <w:jc w:val="left"/>
            </w:pPr>
            <w:r>
              <w:rPr>
                <w:rFonts w:ascii="Times New Roman" w:hAnsi="Times New Roman"/>
                <w:color w:val="000000"/>
                <w:sz w:val="18"/>
              </w:rPr>
              <w:t>0.298 s</w:t>
            </w:r>
          </w:p>
        </w:tc>
        <w:tc>
          <w:tcPr>
            <w:tcW w:type="dxa" w:w="1152"/>
            <w:tcMar>
              <w:top w:w="60" w:type="dxa"/>
              <w:bottom w:w="60" w:type="dxa"/>
              <w:left w:w="90" w:type="dxa"/>
              <w:right w:w="90" w:type="dxa"/>
            </w:tcMar>
          </w:tcPr>
          <w:p>
            <w:pPr>
              <w:jc w:val="left"/>
            </w:pPr>
            <w:r>
              <w:rPr>
                <w:rFonts w:ascii="Times New Roman" w:hAnsi="Times New Roman"/>
                <w:color w:val="000000"/>
                <w:sz w:val="18"/>
              </w:rPr>
              <w:t>24 / 24</w:t>
            </w:r>
          </w:p>
        </w:tc>
        <w:tc>
          <w:tcPr>
            <w:tcW w:type="dxa" w:w="1152"/>
            <w:tcMar>
              <w:top w:w="60" w:type="dxa"/>
              <w:bottom w:w="60" w:type="dxa"/>
              <w:left w:w="90" w:type="dxa"/>
              <w:right w:w="90" w:type="dxa"/>
            </w:tcMar>
          </w:tcPr>
          <w:p>
            <w:pPr>
              <w:jc w:val="left"/>
            </w:pPr>
            <w:r>
              <w:rPr>
                <w:rFonts w:ascii="Times New Roman" w:hAnsi="Times New Roman"/>
                <w:color w:val="000000"/>
                <w:sz w:val="18"/>
              </w:rPr>
              <w:t>24 / 24</w:t>
            </w:r>
          </w:p>
        </w:tc>
        <w:tc>
          <w:tcPr>
            <w:tcW w:type="dxa" w:w="1152"/>
            <w:tcMar>
              <w:top w:w="60" w:type="dxa"/>
              <w:bottom w:w="60" w:type="dxa"/>
              <w:left w:w="90" w:type="dxa"/>
              <w:right w:w="90" w:type="dxa"/>
            </w:tcMar>
          </w:tcPr>
          <w:p>
            <w:pPr>
              <w:jc w:val="left"/>
            </w:pPr>
            <w:r>
              <w:rPr>
                <w:rFonts w:ascii="Times New Roman" w:hAnsi="Times New Roman"/>
                <w:color w:val="000000"/>
                <w:sz w:val="18"/>
              </w:rPr>
              <w:t>128</w:t>
            </w:r>
          </w:p>
        </w:tc>
        <w:tc>
          <w:tcPr>
            <w:tcW w:type="dxa" w:w="1008"/>
            <w:tcMar>
              <w:top w:w="60" w:type="dxa"/>
              <w:bottom w:w="60" w:type="dxa"/>
              <w:left w:w="90" w:type="dxa"/>
              <w:right w:w="90" w:type="dxa"/>
            </w:tcMar>
          </w:tcPr>
          <w:p>
            <w:pPr>
              <w:jc w:val="left"/>
            </w:pPr>
            <w:r>
              <w:rPr>
                <w:rFonts w:ascii="Times New Roman" w:hAnsi="Times New Roman"/>
                <w:color w:val="000000"/>
                <w:sz w:val="18"/>
              </w:rPr>
              <w:t>0.881%</w:t>
            </w:r>
          </w:p>
        </w:tc>
      </w:tr>
    </w:tbl>
    <w:p>
      <w:pPr>
        <w:spacing w:before="0" w:after="100" w:line="276" w:lineRule="auto"/>
        <w:ind w:firstLine="288"/>
      </w:pPr>
      <w:r>
        <w:rPr>
          <w:rFonts w:ascii="Times New Roman" w:hAnsi="Times New Roman"/>
          <w:color w:val="1E1E1E"/>
          <w:sz w:val="21"/>
        </w:rPr>
        <w:t>In contrast, both the Static and Adaptive gateway configurations intercepted all 24 demand requests at the network boundary (HTTP 403, risk score R &gt;= 0.990). Active KV-cache occupancy peaked at only 0.881% (active benign blocks only), and waiting queue depth remained strictly zero throughout. Benign probe latency remained preserved at ~300 ms across all blocks (Fig. 2).</w:t>
      </w:r>
    </w:p>
    <w:p>
      <w:pPr>
        <w:spacing w:before="160" w:after="80"/>
        <w:jc w:val="center"/>
      </w:pPr>
      <w:r>
        <w:drawing>
          <wp:inline xmlns:a="http://schemas.openxmlformats.org/drawingml/2006/main" xmlns:pic="http://schemas.openxmlformats.org/drawingml/2006/picture">
            <wp:extent cx="5120640" cy="1787818"/>
            <wp:docPr id="2" name="Picture 2"/>
            <wp:cNvGraphicFramePr>
              <a:graphicFrameLocks noChangeAspect="1"/>
            </wp:cNvGraphicFramePr>
            <a:graphic>
              <a:graphicData uri="http://schemas.openxmlformats.org/drawingml/2006/picture">
                <pic:pic>
                  <pic:nvPicPr>
                    <pic:cNvPr id="0" name="gpu_repeatability.png"/>
                    <pic:cNvPicPr/>
                  </pic:nvPicPr>
                  <pic:blipFill>
                    <a:blip r:embed="rId12"/>
                    <a:stretch>
                      <a:fillRect/>
                    </a:stretch>
                  </pic:blipFill>
                  <pic:spPr>
                    <a:xfrm>
                      <a:off x="0" y="0"/>
                      <a:ext cx="5120640" cy="1787818"/>
                    </a:xfrm>
                    <a:prstGeom prst="rect"/>
                  </pic:spPr>
                </pic:pic>
              </a:graphicData>
            </a:graphic>
          </wp:inline>
        </w:drawing>
      </w:r>
    </w:p>
    <w:p>
      <w:pPr>
        <w:spacing w:before="0" w:after="200" w:line="264" w:lineRule="auto"/>
        <w:ind w:left="432" w:right="432"/>
        <w:jc w:val="both"/>
      </w:pPr>
      <w:r>
        <w:rPr>
          <w:rFonts w:ascii="Times New Roman" w:hAnsi="Times New Roman"/>
          <w:color w:val="000000"/>
          <w:sz w:val="18"/>
        </w:rPr>
        <w:t>Fig. 2. Controlled GPU benchmark measurements across three balanced blocks on NVIDIA RTX A4000. Each point represents one complete run.</w:t>
      </w:r>
    </w:p>
    <w:p>
      <w:pPr>
        <w:keepNext/>
        <w:spacing w:before="200" w:after="40"/>
      </w:pPr>
      <w:r>
        <w:rPr>
          <w:rFonts w:ascii="Times New Roman" w:hAnsi="Times New Roman"/>
          <w:b/>
          <w:color w:val="000000"/>
          <w:sz w:val="22"/>
        </w:rPr>
        <w:t>6.2 Backend Token and Workload Reconciliation</w:t>
      </w:r>
    </w:p>
    <w:p>
      <w:pPr>
        <w:spacing w:before="0" w:after="100" w:line="276" w:lineRule="auto"/>
        <w:ind w:firstLine="288"/>
      </w:pPr>
      <w:r>
        <w:rPr>
          <w:rFonts w:ascii="Times New Roman" w:hAnsi="Times New Roman"/>
          <w:color w:val="1E1E1E"/>
          <w:sz w:val="21"/>
        </w:rPr>
        <w:t>By reconciling internal vLLM Prometheus counters before and after each trial, we verify compute avoidance. Across the three experimental blocks, each protected gateway condition avoided exactly 43,008 generation tokens (14,336 per run) and 1,848 prompt tokens compared to the direct baseline. However, operating-system device memory observed via nvidia-smi remained largely flat between 7,403 MiB and 7,509 MiB across all direct and protected trials, confirming that vLLM preallocates its memory arena upon initialization. The defensible metric is active KV-block occupancy.</w:t>
      </w:r>
    </w:p>
    <w:p>
      <w:pPr>
        <w:keepNext/>
        <w:spacing w:before="200" w:after="40"/>
      </w:pPr>
      <w:r>
        <w:rPr>
          <w:rFonts w:ascii="Times New Roman" w:hAnsi="Times New Roman"/>
          <w:b/>
          <w:color w:val="000000"/>
          <w:sz w:val="22"/>
        </w:rPr>
        <w:t>6.3 Limitations of Upfront Semantic Screening</w:t>
      </w:r>
    </w:p>
    <w:p>
      <w:pPr>
        <w:spacing w:before="0" w:after="100" w:line="276" w:lineRule="auto"/>
        <w:ind w:firstLine="288"/>
      </w:pPr>
      <w:r>
        <w:rPr>
          <w:rFonts w:ascii="Times New Roman" w:hAnsi="Times New Roman"/>
          <w:color w:val="1E1E1E"/>
          <w:sz w:val="21"/>
        </w:rPr>
        <w:t>While volumetric demand screening succeeds decisively, evaluating semantic filters against the LLMail-Inject benchmark exposed critical generalization limits. On in-distribution synthetic templates, an offline Task/Content Pair model scored 59 / 60 (98.3%) on a held-out topic test. However, when evaluated on a 48-case wording-transfer diagnostic, the model detected only 4 of 16 injections (25.0% recall), revealing severe template overfitting.</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1464"/>
        <w:gridCol w:w="1464"/>
        <w:gridCol w:w="1464"/>
        <w:gridCol w:w="1464"/>
        <w:gridCol w:w="1464"/>
        <w:gridCol w:w="1464"/>
      </w:tblGrid>
      <w:tr>
        <w:tc>
          <w:tcPr>
            <w:tcW w:type="dxa" w:w="2592"/>
            <w:tcMar>
              <w:top w:w="80" w:type="dxa"/>
              <w:bottom w:w="80" w:type="dxa"/>
              <w:left w:w="90" w:type="dxa"/>
              <w:right w:w="90" w:type="dxa"/>
            </w:tcMar>
          </w:tcPr>
          <w:p>
            <w:pPr>
              <w:jc w:val="left"/>
            </w:pPr>
            <w:r>
              <w:rPr>
                <w:rFonts w:ascii="Times New Roman" w:hAnsi="Times New Roman"/>
                <w:b/>
                <w:color w:val="000000"/>
                <w:sz w:val="19"/>
              </w:rPr>
              <w:t>Model Head</w:t>
            </w:r>
          </w:p>
        </w:tc>
        <w:tc>
          <w:tcPr>
            <w:tcW w:type="dxa" w:w="1152"/>
            <w:tcMar>
              <w:top w:w="80" w:type="dxa"/>
              <w:bottom w:w="80" w:type="dxa"/>
              <w:left w:w="90" w:type="dxa"/>
              <w:right w:w="90" w:type="dxa"/>
            </w:tcMar>
          </w:tcPr>
          <w:p>
            <w:pPr>
              <w:jc w:val="left"/>
            </w:pPr>
            <w:r>
              <w:rPr>
                <w:rFonts w:ascii="Times New Roman" w:hAnsi="Times New Roman"/>
                <w:b/>
                <w:color w:val="000000"/>
                <w:sz w:val="19"/>
              </w:rPr>
              <w:t>Cutoff</w:t>
            </w:r>
          </w:p>
        </w:tc>
        <w:tc>
          <w:tcPr>
            <w:tcW w:type="dxa" w:w="1152"/>
            <w:tcMar>
              <w:top w:w="80" w:type="dxa"/>
              <w:bottom w:w="80" w:type="dxa"/>
              <w:left w:w="90" w:type="dxa"/>
              <w:right w:w="90" w:type="dxa"/>
            </w:tcMar>
          </w:tcPr>
          <w:p>
            <w:pPr>
              <w:jc w:val="left"/>
            </w:pPr>
            <w:r>
              <w:rPr>
                <w:rFonts w:ascii="Times New Roman" w:hAnsi="Times New Roman"/>
                <w:b/>
                <w:color w:val="000000"/>
                <w:sz w:val="19"/>
              </w:rPr>
              <w:t>Recall</w:t>
            </w:r>
          </w:p>
        </w:tc>
        <w:tc>
          <w:tcPr>
            <w:tcW w:type="dxa" w:w="1296"/>
            <w:tcMar>
              <w:top w:w="80" w:type="dxa"/>
              <w:bottom w:w="80" w:type="dxa"/>
              <w:left w:w="90" w:type="dxa"/>
              <w:right w:w="90" w:type="dxa"/>
            </w:tcMar>
          </w:tcPr>
          <w:p>
            <w:pPr>
              <w:jc w:val="left"/>
            </w:pPr>
            <w:r>
              <w:rPr>
                <w:rFonts w:ascii="Times New Roman" w:hAnsi="Times New Roman"/>
                <w:b/>
                <w:color w:val="000000"/>
                <w:sz w:val="19"/>
              </w:rPr>
              <w:t>Specificity</w:t>
            </w:r>
          </w:p>
        </w:tc>
        <w:tc>
          <w:tcPr>
            <w:tcW w:type="dxa" w:w="1440"/>
            <w:tcMar>
              <w:top w:w="80" w:type="dxa"/>
              <w:bottom w:w="80" w:type="dxa"/>
              <w:left w:w="90" w:type="dxa"/>
              <w:right w:w="90" w:type="dxa"/>
            </w:tcMar>
          </w:tcPr>
          <w:p>
            <w:pPr>
              <w:jc w:val="left"/>
            </w:pPr>
            <w:r>
              <w:rPr>
                <w:rFonts w:ascii="Times New Roman" w:hAnsi="Times New Roman"/>
                <w:b/>
                <w:color w:val="000000"/>
                <w:sz w:val="19"/>
              </w:rPr>
              <w:t>Balanced Acc</w:t>
            </w:r>
          </w:p>
        </w:tc>
        <w:tc>
          <w:tcPr>
            <w:tcW w:type="dxa" w:w="1584"/>
            <w:tcMar>
              <w:top w:w="80" w:type="dxa"/>
              <w:bottom w:w="80" w:type="dxa"/>
              <w:left w:w="90" w:type="dxa"/>
              <w:right w:w="90" w:type="dxa"/>
            </w:tcMar>
          </w:tcPr>
          <w:p>
            <w:pPr>
              <w:jc w:val="left"/>
            </w:pPr>
            <w:r>
              <w:rPr>
                <w:rFonts w:ascii="Times New Roman" w:hAnsi="Times New Roman"/>
                <w:b/>
                <w:color w:val="000000"/>
                <w:sz w:val="19"/>
              </w:rPr>
              <w:t>False Flags / 707</w:t>
            </w:r>
          </w:p>
        </w:tc>
      </w:tr>
      <w:tr>
        <w:tc>
          <w:tcPr>
            <w:tcW w:type="dxa" w:w="2592"/>
            <w:tcMar>
              <w:top w:w="60" w:type="dxa"/>
              <w:bottom w:w="60" w:type="dxa"/>
              <w:left w:w="90" w:type="dxa"/>
              <w:right w:w="90" w:type="dxa"/>
            </w:tcMar>
          </w:tcPr>
          <w:p>
            <w:pPr>
              <w:jc w:val="left"/>
            </w:pPr>
            <w:r>
              <w:rPr>
                <w:rFonts w:ascii="Times New Roman" w:hAnsi="Times New Roman"/>
                <w:color w:val="000000"/>
                <w:sz w:val="18"/>
              </w:rPr>
              <w:t>Pair Head (Default)</w:t>
            </w:r>
          </w:p>
        </w:tc>
        <w:tc>
          <w:tcPr>
            <w:tcW w:type="dxa" w:w="1152"/>
            <w:tcMar>
              <w:top w:w="60" w:type="dxa"/>
              <w:bottom w:w="60" w:type="dxa"/>
              <w:left w:w="90" w:type="dxa"/>
              <w:right w:w="90" w:type="dxa"/>
            </w:tcMar>
          </w:tcPr>
          <w:p>
            <w:pPr>
              <w:jc w:val="left"/>
            </w:pPr>
            <w:r>
              <w:rPr>
                <w:rFonts w:ascii="Times New Roman" w:hAnsi="Times New Roman"/>
                <w:color w:val="000000"/>
                <w:sz w:val="18"/>
              </w:rPr>
              <w:t>0.500</w:t>
            </w:r>
          </w:p>
        </w:tc>
        <w:tc>
          <w:tcPr>
            <w:tcW w:type="dxa" w:w="1152"/>
            <w:tcMar>
              <w:top w:w="60" w:type="dxa"/>
              <w:bottom w:w="60" w:type="dxa"/>
              <w:left w:w="90" w:type="dxa"/>
              <w:right w:w="90" w:type="dxa"/>
            </w:tcMar>
          </w:tcPr>
          <w:p>
            <w:pPr>
              <w:jc w:val="left"/>
            </w:pPr>
            <w:r>
              <w:rPr>
                <w:rFonts w:ascii="Times New Roman" w:hAnsi="Times New Roman"/>
                <w:color w:val="000000"/>
                <w:sz w:val="18"/>
              </w:rPr>
              <w:t>98.06%</w:t>
            </w:r>
          </w:p>
        </w:tc>
        <w:tc>
          <w:tcPr>
            <w:tcW w:type="dxa" w:w="1296"/>
            <w:tcMar>
              <w:top w:w="60" w:type="dxa"/>
              <w:bottom w:w="60" w:type="dxa"/>
              <w:left w:w="90" w:type="dxa"/>
              <w:right w:w="90" w:type="dxa"/>
            </w:tcMar>
          </w:tcPr>
          <w:p>
            <w:pPr>
              <w:jc w:val="left"/>
            </w:pPr>
            <w:r>
              <w:rPr>
                <w:rFonts w:ascii="Times New Roman" w:hAnsi="Times New Roman"/>
                <w:color w:val="000000"/>
                <w:sz w:val="18"/>
              </w:rPr>
              <w:t>21.22%</w:t>
            </w:r>
          </w:p>
        </w:tc>
        <w:tc>
          <w:tcPr>
            <w:tcW w:type="dxa" w:w="1440"/>
            <w:tcMar>
              <w:top w:w="60" w:type="dxa"/>
              <w:bottom w:w="60" w:type="dxa"/>
              <w:left w:w="90" w:type="dxa"/>
              <w:right w:w="90" w:type="dxa"/>
            </w:tcMar>
          </w:tcPr>
          <w:p>
            <w:pPr>
              <w:jc w:val="left"/>
            </w:pPr>
            <w:r>
              <w:rPr>
                <w:rFonts w:ascii="Times New Roman" w:hAnsi="Times New Roman"/>
                <w:color w:val="000000"/>
                <w:sz w:val="18"/>
              </w:rPr>
              <w:t>59.64%</w:t>
            </w:r>
          </w:p>
        </w:tc>
        <w:tc>
          <w:tcPr>
            <w:tcW w:type="dxa" w:w="1584"/>
            <w:tcMar>
              <w:top w:w="60" w:type="dxa"/>
              <w:bottom w:w="60" w:type="dxa"/>
              <w:left w:w="90" w:type="dxa"/>
              <w:right w:w="90" w:type="dxa"/>
            </w:tcMar>
          </w:tcPr>
          <w:p>
            <w:pPr>
              <w:jc w:val="left"/>
            </w:pPr>
            <w:r>
              <w:rPr>
                <w:rFonts w:ascii="Times New Roman" w:hAnsi="Times New Roman"/>
                <w:color w:val="000000"/>
                <w:sz w:val="18"/>
              </w:rPr>
              <w:t>557</w:t>
            </w:r>
          </w:p>
        </w:tc>
      </w:tr>
      <w:tr>
        <w:tc>
          <w:tcPr>
            <w:tcW w:type="dxa" w:w="2592"/>
            <w:tcMar>
              <w:top w:w="60" w:type="dxa"/>
              <w:bottom w:w="60" w:type="dxa"/>
              <w:left w:w="90" w:type="dxa"/>
              <w:right w:w="90" w:type="dxa"/>
            </w:tcMar>
          </w:tcPr>
          <w:p>
            <w:pPr>
              <w:jc w:val="left"/>
            </w:pPr>
            <w:r>
              <w:rPr>
                <w:rFonts w:ascii="Times New Roman" w:hAnsi="Times New Roman"/>
                <w:color w:val="000000"/>
                <w:sz w:val="18"/>
              </w:rPr>
              <w:t>Pair Head (Calibrated)</w:t>
            </w:r>
          </w:p>
        </w:tc>
        <w:tc>
          <w:tcPr>
            <w:tcW w:type="dxa" w:w="1152"/>
            <w:tcMar>
              <w:top w:w="60" w:type="dxa"/>
              <w:bottom w:w="60" w:type="dxa"/>
              <w:left w:w="90" w:type="dxa"/>
              <w:right w:w="90" w:type="dxa"/>
            </w:tcMar>
          </w:tcPr>
          <w:p>
            <w:pPr>
              <w:jc w:val="left"/>
            </w:pPr>
            <w:r>
              <w:rPr>
                <w:rFonts w:ascii="Times New Roman" w:hAnsi="Times New Roman"/>
                <w:color w:val="000000"/>
                <w:sz w:val="18"/>
              </w:rPr>
              <w:t>0.954</w:t>
            </w:r>
          </w:p>
        </w:tc>
        <w:tc>
          <w:tcPr>
            <w:tcW w:type="dxa" w:w="1152"/>
            <w:tcMar>
              <w:top w:w="60" w:type="dxa"/>
              <w:bottom w:w="60" w:type="dxa"/>
              <w:left w:w="90" w:type="dxa"/>
              <w:right w:w="90" w:type="dxa"/>
            </w:tcMar>
          </w:tcPr>
          <w:p>
            <w:pPr>
              <w:jc w:val="left"/>
            </w:pPr>
            <w:r>
              <w:rPr>
                <w:rFonts w:ascii="Times New Roman" w:hAnsi="Times New Roman"/>
                <w:color w:val="000000"/>
                <w:sz w:val="18"/>
              </w:rPr>
              <w:t>61.59%</w:t>
            </w:r>
          </w:p>
        </w:tc>
        <w:tc>
          <w:tcPr>
            <w:tcW w:type="dxa" w:w="1296"/>
            <w:tcMar>
              <w:top w:w="60" w:type="dxa"/>
              <w:bottom w:w="60" w:type="dxa"/>
              <w:left w:w="90" w:type="dxa"/>
              <w:right w:w="90" w:type="dxa"/>
            </w:tcMar>
          </w:tcPr>
          <w:p>
            <w:pPr>
              <w:jc w:val="left"/>
            </w:pPr>
            <w:r>
              <w:rPr>
                <w:rFonts w:ascii="Times New Roman" w:hAnsi="Times New Roman"/>
                <w:color w:val="000000"/>
                <w:sz w:val="18"/>
              </w:rPr>
              <w:t>76.66%</w:t>
            </w:r>
          </w:p>
        </w:tc>
        <w:tc>
          <w:tcPr>
            <w:tcW w:type="dxa" w:w="1440"/>
            <w:tcMar>
              <w:top w:w="60" w:type="dxa"/>
              <w:bottom w:w="60" w:type="dxa"/>
              <w:left w:w="90" w:type="dxa"/>
              <w:right w:w="90" w:type="dxa"/>
            </w:tcMar>
          </w:tcPr>
          <w:p>
            <w:pPr>
              <w:jc w:val="left"/>
            </w:pPr>
            <w:r>
              <w:rPr>
                <w:rFonts w:ascii="Times New Roman" w:hAnsi="Times New Roman"/>
                <w:color w:val="000000"/>
                <w:sz w:val="18"/>
              </w:rPr>
              <w:t>69.13%</w:t>
            </w:r>
          </w:p>
        </w:tc>
        <w:tc>
          <w:tcPr>
            <w:tcW w:type="dxa" w:w="1584"/>
            <w:tcMar>
              <w:top w:w="60" w:type="dxa"/>
              <w:bottom w:w="60" w:type="dxa"/>
              <w:left w:w="90" w:type="dxa"/>
              <w:right w:w="90" w:type="dxa"/>
            </w:tcMar>
          </w:tcPr>
          <w:p>
            <w:pPr>
              <w:jc w:val="left"/>
            </w:pPr>
            <w:r>
              <w:rPr>
                <w:rFonts w:ascii="Times New Roman" w:hAnsi="Times New Roman"/>
                <w:color w:val="000000"/>
                <w:sz w:val="18"/>
              </w:rPr>
              <w:t>165</w:t>
            </w:r>
          </w:p>
        </w:tc>
      </w:tr>
      <w:tr>
        <w:tc>
          <w:tcPr>
            <w:tcW w:type="dxa" w:w="2592"/>
            <w:tcMar>
              <w:top w:w="60" w:type="dxa"/>
              <w:bottom w:w="60" w:type="dxa"/>
              <w:left w:w="90" w:type="dxa"/>
              <w:right w:w="90" w:type="dxa"/>
            </w:tcMar>
          </w:tcPr>
          <w:p>
            <w:pPr>
              <w:jc w:val="left"/>
            </w:pPr>
            <w:r>
              <w:rPr>
                <w:rFonts w:ascii="Times New Roman" w:hAnsi="Times New Roman"/>
                <w:color w:val="000000"/>
                <w:sz w:val="18"/>
              </w:rPr>
              <w:t>Content Head (Default)</w:t>
            </w:r>
          </w:p>
        </w:tc>
        <w:tc>
          <w:tcPr>
            <w:tcW w:type="dxa" w:w="1152"/>
            <w:tcMar>
              <w:top w:w="60" w:type="dxa"/>
              <w:bottom w:w="60" w:type="dxa"/>
              <w:left w:w="90" w:type="dxa"/>
              <w:right w:w="90" w:type="dxa"/>
            </w:tcMar>
          </w:tcPr>
          <w:p>
            <w:pPr>
              <w:jc w:val="left"/>
            </w:pPr>
            <w:r>
              <w:rPr>
                <w:rFonts w:ascii="Times New Roman" w:hAnsi="Times New Roman"/>
                <w:color w:val="000000"/>
                <w:sz w:val="18"/>
              </w:rPr>
              <w:t>0.500</w:t>
            </w:r>
          </w:p>
        </w:tc>
        <w:tc>
          <w:tcPr>
            <w:tcW w:type="dxa" w:w="1152"/>
            <w:tcMar>
              <w:top w:w="60" w:type="dxa"/>
              <w:bottom w:w="60" w:type="dxa"/>
              <w:left w:w="90" w:type="dxa"/>
              <w:right w:w="90" w:type="dxa"/>
            </w:tcMar>
          </w:tcPr>
          <w:p>
            <w:pPr>
              <w:jc w:val="left"/>
            </w:pPr>
            <w:r>
              <w:rPr>
                <w:rFonts w:ascii="Times New Roman" w:hAnsi="Times New Roman"/>
                <w:color w:val="000000"/>
                <w:sz w:val="18"/>
              </w:rPr>
              <w:t>97.42%</w:t>
            </w:r>
          </w:p>
        </w:tc>
        <w:tc>
          <w:tcPr>
            <w:tcW w:type="dxa" w:w="1296"/>
            <w:tcMar>
              <w:top w:w="60" w:type="dxa"/>
              <w:bottom w:w="60" w:type="dxa"/>
              <w:left w:w="90" w:type="dxa"/>
              <w:right w:w="90" w:type="dxa"/>
            </w:tcMar>
          </w:tcPr>
          <w:p>
            <w:pPr>
              <w:jc w:val="left"/>
            </w:pPr>
            <w:r>
              <w:rPr>
                <w:rFonts w:ascii="Times New Roman" w:hAnsi="Times New Roman"/>
                <w:color w:val="000000"/>
                <w:sz w:val="18"/>
              </w:rPr>
              <w:t>30.41%</w:t>
            </w:r>
          </w:p>
        </w:tc>
        <w:tc>
          <w:tcPr>
            <w:tcW w:type="dxa" w:w="1440"/>
            <w:tcMar>
              <w:top w:w="60" w:type="dxa"/>
              <w:bottom w:w="60" w:type="dxa"/>
              <w:left w:w="90" w:type="dxa"/>
              <w:right w:w="90" w:type="dxa"/>
            </w:tcMar>
          </w:tcPr>
          <w:p>
            <w:pPr>
              <w:jc w:val="left"/>
            </w:pPr>
            <w:r>
              <w:rPr>
                <w:rFonts w:ascii="Times New Roman" w:hAnsi="Times New Roman"/>
                <w:color w:val="000000"/>
                <w:sz w:val="18"/>
              </w:rPr>
              <w:t>63.91%</w:t>
            </w:r>
          </w:p>
        </w:tc>
        <w:tc>
          <w:tcPr>
            <w:tcW w:type="dxa" w:w="1584"/>
            <w:tcMar>
              <w:top w:w="60" w:type="dxa"/>
              <w:bottom w:w="60" w:type="dxa"/>
              <w:left w:w="90" w:type="dxa"/>
              <w:right w:w="90" w:type="dxa"/>
            </w:tcMar>
          </w:tcPr>
          <w:p>
            <w:pPr>
              <w:jc w:val="left"/>
            </w:pPr>
            <w:r>
              <w:rPr>
                <w:rFonts w:ascii="Times New Roman" w:hAnsi="Times New Roman"/>
                <w:color w:val="000000"/>
                <w:sz w:val="18"/>
              </w:rPr>
              <w:t>492</w:t>
            </w:r>
          </w:p>
        </w:tc>
      </w:tr>
      <w:tr>
        <w:tc>
          <w:tcPr>
            <w:tcW w:type="dxa" w:w="2592"/>
            <w:tcMar>
              <w:top w:w="60" w:type="dxa"/>
              <w:bottom w:w="60" w:type="dxa"/>
              <w:left w:w="90" w:type="dxa"/>
              <w:right w:w="90" w:type="dxa"/>
            </w:tcMar>
          </w:tcPr>
          <w:p>
            <w:pPr>
              <w:jc w:val="left"/>
            </w:pPr>
            <w:r>
              <w:rPr>
                <w:rFonts w:ascii="Times New Roman" w:hAnsi="Times New Roman"/>
                <w:color w:val="000000"/>
                <w:sz w:val="18"/>
              </w:rPr>
              <w:t>Content Head (Calibrated)</w:t>
            </w:r>
          </w:p>
        </w:tc>
        <w:tc>
          <w:tcPr>
            <w:tcW w:type="dxa" w:w="1152"/>
            <w:tcMar>
              <w:top w:w="60" w:type="dxa"/>
              <w:bottom w:w="60" w:type="dxa"/>
              <w:left w:w="90" w:type="dxa"/>
              <w:right w:w="90" w:type="dxa"/>
            </w:tcMar>
          </w:tcPr>
          <w:p>
            <w:pPr>
              <w:jc w:val="left"/>
            </w:pPr>
            <w:r>
              <w:rPr>
                <w:rFonts w:ascii="Times New Roman" w:hAnsi="Times New Roman"/>
                <w:color w:val="000000"/>
                <w:sz w:val="18"/>
              </w:rPr>
              <w:t>0.957</w:t>
            </w:r>
          </w:p>
        </w:tc>
        <w:tc>
          <w:tcPr>
            <w:tcW w:type="dxa" w:w="1152"/>
            <w:tcMar>
              <w:top w:w="60" w:type="dxa"/>
              <w:bottom w:w="60" w:type="dxa"/>
              <w:left w:w="90" w:type="dxa"/>
              <w:right w:w="90" w:type="dxa"/>
            </w:tcMar>
          </w:tcPr>
          <w:p>
            <w:pPr>
              <w:jc w:val="left"/>
            </w:pPr>
            <w:r>
              <w:rPr>
                <w:rFonts w:ascii="Times New Roman" w:hAnsi="Times New Roman"/>
                <w:color w:val="000000"/>
                <w:sz w:val="18"/>
              </w:rPr>
              <w:t>54.46%</w:t>
            </w:r>
          </w:p>
        </w:tc>
        <w:tc>
          <w:tcPr>
            <w:tcW w:type="dxa" w:w="1296"/>
            <w:tcMar>
              <w:top w:w="60" w:type="dxa"/>
              <w:bottom w:w="60" w:type="dxa"/>
              <w:left w:w="90" w:type="dxa"/>
              <w:right w:w="90" w:type="dxa"/>
            </w:tcMar>
          </w:tcPr>
          <w:p>
            <w:pPr>
              <w:jc w:val="left"/>
            </w:pPr>
            <w:r>
              <w:rPr>
                <w:rFonts w:ascii="Times New Roman" w:hAnsi="Times New Roman"/>
                <w:color w:val="000000"/>
                <w:sz w:val="18"/>
              </w:rPr>
              <w:t>80.06%</w:t>
            </w:r>
          </w:p>
        </w:tc>
        <w:tc>
          <w:tcPr>
            <w:tcW w:type="dxa" w:w="1440"/>
            <w:tcMar>
              <w:top w:w="60" w:type="dxa"/>
              <w:bottom w:w="60" w:type="dxa"/>
              <w:left w:w="90" w:type="dxa"/>
              <w:right w:w="90" w:type="dxa"/>
            </w:tcMar>
          </w:tcPr>
          <w:p>
            <w:pPr>
              <w:jc w:val="left"/>
            </w:pPr>
            <w:r>
              <w:rPr>
                <w:rFonts w:ascii="Times New Roman" w:hAnsi="Times New Roman"/>
                <w:color w:val="000000"/>
                <w:sz w:val="18"/>
              </w:rPr>
              <w:t>67.26%</w:t>
            </w:r>
          </w:p>
        </w:tc>
        <w:tc>
          <w:tcPr>
            <w:tcW w:type="dxa" w:w="1584"/>
            <w:tcMar>
              <w:top w:w="60" w:type="dxa"/>
              <w:bottom w:w="60" w:type="dxa"/>
              <w:left w:w="90" w:type="dxa"/>
              <w:right w:w="90" w:type="dxa"/>
            </w:tcMar>
          </w:tcPr>
          <w:p>
            <w:pPr>
              <w:jc w:val="left"/>
            </w:pPr>
            <w:r>
              <w:rPr>
                <w:rFonts w:ascii="Times New Roman" w:hAnsi="Times New Roman"/>
                <w:color w:val="000000"/>
                <w:sz w:val="18"/>
              </w:rPr>
              <w:t>141</w:t>
            </w:r>
          </w:p>
        </w:tc>
      </w:tr>
      <w:tr>
        <w:tc>
          <w:tcPr>
            <w:tcW w:type="dxa" w:w="2592"/>
            <w:tcMar>
              <w:top w:w="60" w:type="dxa"/>
              <w:bottom w:w="60" w:type="dxa"/>
              <w:left w:w="90" w:type="dxa"/>
              <w:right w:w="90" w:type="dxa"/>
            </w:tcMar>
          </w:tcPr>
          <w:p>
            <w:pPr>
              <w:jc w:val="left"/>
            </w:pPr>
            <w:r>
              <w:rPr>
                <w:rFonts w:ascii="Times New Roman" w:hAnsi="Times New Roman"/>
                <w:color w:val="000000"/>
                <w:sz w:val="18"/>
              </w:rPr>
              <w:t>Task Head (Default)</w:t>
            </w:r>
          </w:p>
        </w:tc>
        <w:tc>
          <w:tcPr>
            <w:tcW w:type="dxa" w:w="1152"/>
            <w:tcMar>
              <w:top w:w="60" w:type="dxa"/>
              <w:bottom w:w="60" w:type="dxa"/>
              <w:left w:w="90" w:type="dxa"/>
              <w:right w:w="90" w:type="dxa"/>
            </w:tcMar>
          </w:tcPr>
          <w:p>
            <w:pPr>
              <w:jc w:val="left"/>
            </w:pPr>
            <w:r>
              <w:rPr>
                <w:rFonts w:ascii="Times New Roman" w:hAnsi="Times New Roman"/>
                <w:color w:val="000000"/>
                <w:sz w:val="18"/>
              </w:rPr>
              <w:t>0.500</w:t>
            </w:r>
          </w:p>
        </w:tc>
        <w:tc>
          <w:tcPr>
            <w:tcW w:type="dxa" w:w="1152"/>
            <w:tcMar>
              <w:top w:w="60" w:type="dxa"/>
              <w:bottom w:w="60" w:type="dxa"/>
              <w:left w:w="90" w:type="dxa"/>
              <w:right w:w="90" w:type="dxa"/>
            </w:tcMar>
          </w:tcPr>
          <w:p>
            <w:pPr>
              <w:jc w:val="left"/>
            </w:pPr>
            <w:r>
              <w:rPr>
                <w:rFonts w:ascii="Times New Roman" w:hAnsi="Times New Roman"/>
                <w:color w:val="000000"/>
                <w:sz w:val="18"/>
              </w:rPr>
              <w:t>93.25%</w:t>
            </w:r>
          </w:p>
        </w:tc>
        <w:tc>
          <w:tcPr>
            <w:tcW w:type="dxa" w:w="1296"/>
            <w:tcMar>
              <w:top w:w="60" w:type="dxa"/>
              <w:bottom w:w="60" w:type="dxa"/>
              <w:left w:w="90" w:type="dxa"/>
              <w:right w:w="90" w:type="dxa"/>
            </w:tcMar>
          </w:tcPr>
          <w:p>
            <w:pPr>
              <w:jc w:val="left"/>
            </w:pPr>
            <w:r>
              <w:rPr>
                <w:rFonts w:ascii="Times New Roman" w:hAnsi="Times New Roman"/>
                <w:color w:val="000000"/>
                <w:sz w:val="18"/>
              </w:rPr>
              <w:t>6.51%</w:t>
            </w:r>
          </w:p>
        </w:tc>
        <w:tc>
          <w:tcPr>
            <w:tcW w:type="dxa" w:w="1440"/>
            <w:tcMar>
              <w:top w:w="60" w:type="dxa"/>
              <w:bottom w:w="60" w:type="dxa"/>
              <w:left w:w="90" w:type="dxa"/>
              <w:right w:w="90" w:type="dxa"/>
            </w:tcMar>
          </w:tcPr>
          <w:p>
            <w:pPr>
              <w:jc w:val="left"/>
            </w:pPr>
            <w:r>
              <w:rPr>
                <w:rFonts w:ascii="Times New Roman" w:hAnsi="Times New Roman"/>
                <w:color w:val="000000"/>
                <w:sz w:val="18"/>
              </w:rPr>
              <w:t>49.88%</w:t>
            </w:r>
          </w:p>
        </w:tc>
        <w:tc>
          <w:tcPr>
            <w:tcW w:type="dxa" w:w="1584"/>
            <w:tcMar>
              <w:top w:w="60" w:type="dxa"/>
              <w:bottom w:w="60" w:type="dxa"/>
              <w:left w:w="90" w:type="dxa"/>
              <w:right w:w="90" w:type="dxa"/>
            </w:tcMar>
          </w:tcPr>
          <w:p>
            <w:pPr>
              <w:jc w:val="left"/>
            </w:pPr>
            <w:r>
              <w:rPr>
                <w:rFonts w:ascii="Times New Roman" w:hAnsi="Times New Roman"/>
                <w:color w:val="000000"/>
                <w:sz w:val="18"/>
              </w:rPr>
              <w:t>661</w:t>
            </w:r>
          </w:p>
        </w:tc>
      </w:tr>
      <w:tr>
        <w:tc>
          <w:tcPr>
            <w:tcW w:type="dxa" w:w="2592"/>
            <w:tcMar>
              <w:top w:w="60" w:type="dxa"/>
              <w:bottom w:w="60" w:type="dxa"/>
              <w:left w:w="90" w:type="dxa"/>
              <w:right w:w="90" w:type="dxa"/>
            </w:tcMar>
          </w:tcPr>
          <w:p>
            <w:pPr>
              <w:jc w:val="left"/>
            </w:pPr>
            <w:r>
              <w:rPr>
                <w:rFonts w:ascii="Times New Roman" w:hAnsi="Times New Roman"/>
                <w:color w:val="000000"/>
                <w:sz w:val="18"/>
              </w:rPr>
              <w:t>Task Head (Calibrated)</w:t>
            </w:r>
          </w:p>
        </w:tc>
        <w:tc>
          <w:tcPr>
            <w:tcW w:type="dxa" w:w="1152"/>
            <w:tcMar>
              <w:top w:w="60" w:type="dxa"/>
              <w:bottom w:w="60" w:type="dxa"/>
              <w:left w:w="90" w:type="dxa"/>
              <w:right w:w="90" w:type="dxa"/>
            </w:tcMar>
          </w:tcPr>
          <w:p>
            <w:pPr>
              <w:jc w:val="left"/>
            </w:pPr>
            <w:r>
              <w:rPr>
                <w:rFonts w:ascii="Times New Roman" w:hAnsi="Times New Roman"/>
                <w:color w:val="000000"/>
                <w:sz w:val="18"/>
              </w:rPr>
              <w:t>0.752</w:t>
            </w:r>
          </w:p>
        </w:tc>
        <w:tc>
          <w:tcPr>
            <w:tcW w:type="dxa" w:w="1152"/>
            <w:tcMar>
              <w:top w:w="60" w:type="dxa"/>
              <w:bottom w:w="60" w:type="dxa"/>
              <w:left w:w="90" w:type="dxa"/>
              <w:right w:w="90" w:type="dxa"/>
            </w:tcMar>
          </w:tcPr>
          <w:p>
            <w:pPr>
              <w:jc w:val="left"/>
            </w:pPr>
            <w:r>
              <w:rPr>
                <w:rFonts w:ascii="Times New Roman" w:hAnsi="Times New Roman"/>
                <w:color w:val="000000"/>
                <w:sz w:val="18"/>
              </w:rPr>
              <w:t>0.14%</w:t>
            </w:r>
          </w:p>
        </w:tc>
        <w:tc>
          <w:tcPr>
            <w:tcW w:type="dxa" w:w="1296"/>
            <w:tcMar>
              <w:top w:w="60" w:type="dxa"/>
              <w:bottom w:w="60" w:type="dxa"/>
              <w:left w:w="90" w:type="dxa"/>
              <w:right w:w="90" w:type="dxa"/>
            </w:tcMar>
          </w:tcPr>
          <w:p>
            <w:pPr>
              <w:jc w:val="left"/>
            </w:pPr>
            <w:r>
              <w:rPr>
                <w:rFonts w:ascii="Times New Roman" w:hAnsi="Times New Roman"/>
                <w:color w:val="000000"/>
                <w:sz w:val="18"/>
              </w:rPr>
              <w:t>99.43%</w:t>
            </w:r>
          </w:p>
        </w:tc>
        <w:tc>
          <w:tcPr>
            <w:tcW w:type="dxa" w:w="1440"/>
            <w:tcMar>
              <w:top w:w="60" w:type="dxa"/>
              <w:bottom w:w="60" w:type="dxa"/>
              <w:left w:w="90" w:type="dxa"/>
              <w:right w:w="90" w:type="dxa"/>
            </w:tcMar>
          </w:tcPr>
          <w:p>
            <w:pPr>
              <w:jc w:val="left"/>
            </w:pPr>
            <w:r>
              <w:rPr>
                <w:rFonts w:ascii="Times New Roman" w:hAnsi="Times New Roman"/>
                <w:color w:val="000000"/>
                <w:sz w:val="18"/>
              </w:rPr>
              <w:t>49.79%</w:t>
            </w:r>
          </w:p>
        </w:tc>
        <w:tc>
          <w:tcPr>
            <w:tcW w:type="dxa" w:w="1584"/>
            <w:tcMar>
              <w:top w:w="60" w:type="dxa"/>
              <w:bottom w:w="60" w:type="dxa"/>
              <w:left w:w="90" w:type="dxa"/>
              <w:right w:w="90" w:type="dxa"/>
            </w:tcMar>
          </w:tcPr>
          <w:p>
            <w:pPr>
              <w:jc w:val="left"/>
            </w:pPr>
            <w:r>
              <w:rPr>
                <w:rFonts w:ascii="Times New Roman" w:hAnsi="Times New Roman"/>
                <w:color w:val="000000"/>
                <w:sz w:val="18"/>
              </w:rPr>
              <w:t>4</w:t>
            </w:r>
          </w:p>
        </w:tc>
      </w:tr>
    </w:tbl>
    <w:p>
      <w:pPr>
        <w:spacing w:before="0" w:after="100" w:line="276" w:lineRule="auto"/>
        <w:ind w:firstLine="288"/>
      </w:pPr>
      <w:r>
        <w:rPr>
          <w:rFonts w:ascii="Times New Roman" w:hAnsi="Times New Roman"/>
          <w:color w:val="1E1E1E"/>
          <w:sz w:val="21"/>
        </w:rPr>
        <w:t>When evaluated on the 13,989 reserved test emails (Table 2 and Fig. 3), the Pair model at cutoff 0.5 flagged 557 of 707 source-negative emails (78.8% false-positive rate). Shifting to the calibrated 0.954 cutoff improved specificity to 76.66%, but positive recall dropped to 61.59% (missing 5,101 attacks). The Content-only model achieved comparable ROC AUC (0.779 vs. 0.763 for Pair), demonstrating that task pairing provides minimal incremental discrimination on natural adversarial distributions.</w:t>
      </w:r>
    </w:p>
    <w:p>
      <w:pPr>
        <w:spacing w:before="160" w:after="80"/>
        <w:jc w:val="center"/>
      </w:pPr>
      <w:r>
        <w:drawing>
          <wp:inline xmlns:a="http://schemas.openxmlformats.org/drawingml/2006/main" xmlns:pic="http://schemas.openxmlformats.org/drawingml/2006/picture">
            <wp:extent cx="5120640" cy="3237112"/>
            <wp:docPr id="3" name="Picture 3"/>
            <wp:cNvGraphicFramePr>
              <a:graphicFrameLocks noChangeAspect="1"/>
            </wp:cNvGraphicFramePr>
            <a:graphic>
              <a:graphicData uri="http://schemas.openxmlformats.org/drawingml/2006/picture">
                <pic:pic>
                  <pic:nvPicPr>
                    <pic:cNvPr id="0" name="reserved_operating_points.png"/>
                    <pic:cNvPicPr/>
                  </pic:nvPicPr>
                  <pic:blipFill>
                    <a:blip r:embed="rId13"/>
                    <a:stretch>
                      <a:fillRect/>
                    </a:stretch>
                  </pic:blipFill>
                  <pic:spPr>
                    <a:xfrm>
                      <a:off x="0" y="0"/>
                      <a:ext cx="5120640" cy="3237112"/>
                    </a:xfrm>
                    <a:prstGeom prst="rect"/>
                  </pic:spPr>
                </pic:pic>
              </a:graphicData>
            </a:graphic>
          </wp:inline>
        </w:drawing>
      </w:r>
    </w:p>
    <w:p>
      <w:pPr>
        <w:spacing w:before="0" w:after="200" w:line="264" w:lineRule="auto"/>
        <w:ind w:left="432" w:right="432"/>
        <w:jc w:val="both"/>
      </w:pPr>
      <w:r>
        <w:rPr>
          <w:rFonts w:ascii="Times New Roman" w:hAnsi="Times New Roman"/>
          <w:color w:val="000000"/>
          <w:sz w:val="18"/>
        </w:rPr>
        <w:t>Fig. 3. Operating trade-offs and ROC behavior on reserved LLMail-Inject evaluation samples.</w:t>
      </w:r>
    </w:p>
    <w:p>
      <w:pPr>
        <w:keepNext/>
        <w:spacing w:before="200" w:after="40"/>
      </w:pPr>
      <w:r>
        <w:rPr>
          <w:rFonts w:ascii="Times New Roman" w:hAnsi="Times New Roman"/>
          <w:b/>
          <w:color w:val="000000"/>
          <w:sz w:val="22"/>
        </w:rPr>
        <w:t>6.4 Long-Context Windowing and False-Positive Amplification</w:t>
      </w:r>
    </w:p>
    <w:p>
      <w:pPr>
        <w:spacing w:before="0" w:after="100" w:line="276" w:lineRule="auto"/>
        <w:ind w:firstLine="288"/>
      </w:pPr>
      <w:r>
        <w:rPr>
          <w:rFonts w:ascii="Times New Roman" w:hAnsi="Times New Roman"/>
          <w:color w:val="1E1E1E"/>
          <w:sz w:val="21"/>
        </w:rPr>
        <w:t>Extending evaluation to 300 sampled long emails using 723 overlapping 256-token windows (130,735 content tokens) revealed a severe aggregation failure mode (Fig. 4). While max-window pooling at cutoff 0.5 flagged 274 of 276 attacks (99.28% recall), it also falsely flagged 22 of 24 benign samples (91.7% false-positive rate, yielding 53.80% balanced accuracy). At the higher cutoff, 18 of 24 benign samples remained falsely flagged (51.99% balanced accuracy). Thus, while windowing achieves 100% token coverage, lightweight embedding aggregations suffer catastrophic false-alarm amplification.</w:t>
      </w:r>
    </w:p>
    <w:p>
      <w:pPr>
        <w:spacing w:before="160" w:after="80"/>
        <w:jc w:val="center"/>
      </w:pPr>
      <w:r>
        <w:drawing>
          <wp:inline xmlns:a="http://schemas.openxmlformats.org/drawingml/2006/main" xmlns:pic="http://schemas.openxmlformats.org/drawingml/2006/picture">
            <wp:extent cx="5120640" cy="2233220"/>
            <wp:docPr id="4" name="Picture 4"/>
            <wp:cNvGraphicFramePr>
              <a:graphicFrameLocks noChangeAspect="1"/>
            </wp:cNvGraphicFramePr>
            <a:graphic>
              <a:graphicData uri="http://schemas.openxmlformats.org/drawingml/2006/picture">
                <pic:pic>
                  <pic:nvPicPr>
                    <pic:cNvPr id="0" name="long_email_tradeoff.png"/>
                    <pic:cNvPicPr/>
                  </pic:nvPicPr>
                  <pic:blipFill>
                    <a:blip r:embed="rId14"/>
                    <a:stretch>
                      <a:fillRect/>
                    </a:stretch>
                  </pic:blipFill>
                  <pic:spPr>
                    <a:xfrm>
                      <a:off x="0" y="0"/>
                      <a:ext cx="5120640" cy="2233220"/>
                    </a:xfrm>
                    <a:prstGeom prst="rect"/>
                  </pic:spPr>
                </pic:pic>
              </a:graphicData>
            </a:graphic>
          </wp:inline>
        </w:drawing>
      </w:r>
    </w:p>
    <w:p>
      <w:pPr>
        <w:spacing w:before="0" w:after="200" w:line="264" w:lineRule="auto"/>
        <w:ind w:left="432" w:right="432"/>
        <w:jc w:val="both"/>
      </w:pPr>
      <w:r>
        <w:rPr>
          <w:rFonts w:ascii="Times New Roman" w:hAnsi="Times New Roman"/>
          <w:color w:val="000000"/>
          <w:sz w:val="18"/>
        </w:rPr>
        <w:t>Fig. 4. Aggregation trade-offs on 300 long-email candidates across window aggregation strategies.</w:t>
      </w:r>
    </w:p>
    <w:p>
      <w:pPr>
        <w:keepNext/>
        <w:spacing w:before="200" w:after="40"/>
      </w:pPr>
      <w:r>
        <w:rPr>
          <w:rFonts w:ascii="Times New Roman" w:hAnsi="Times New Roman"/>
          <w:b/>
          <w:color w:val="000000"/>
          <w:sz w:val="22"/>
        </w:rPr>
        <w:t>6.5 Ingress Latency Breakdown and CUDA Optimization</w:t>
      </w:r>
    </w:p>
    <w:p>
      <w:pPr>
        <w:spacing w:before="0" w:after="100" w:line="276" w:lineRule="auto"/>
        <w:ind w:firstLine="288"/>
      </w:pPr>
      <w:r>
        <w:rPr>
          <w:rFonts w:ascii="Times New Roman" w:hAnsi="Times New Roman"/>
          <w:color w:val="1E1E1E"/>
          <w:sz w:val="21"/>
        </w:rPr>
        <w:t>Isolated profiling of the ingress pipeline on the RTX A4000 GPU across 100 warmed samples indicated that tokenization and repetition analysis require &lt; 0.25 ms, TF-IDF vectorization requires ~0.45 ms, MiniLM dense embedding on CUDA FP16 requires ~2.10 ms, and XGBoost inference takes ~0.20 ms (totaling ~3.0 ms). In live Flask serving, high-level SentenceTransformer wrapper overhead initially inflated extraction latency to 24.623 ms. Developing an opt-in direct inference path (GATEWAY_EMBEDDING_MODE=direct) utilizing torch.inference_mode() reduced mean live extraction by 23.5% to 18.837 ms (Fig. 5) while maintaining 100% numerical and routing decision parity across 39 paired test configurations.</w:t>
      </w:r>
    </w:p>
    <w:p>
      <w:pPr>
        <w:spacing w:before="160" w:after="80"/>
        <w:jc w:val="center"/>
      </w:pPr>
      <w:r>
        <w:drawing>
          <wp:inline xmlns:a="http://schemas.openxmlformats.org/drawingml/2006/main" xmlns:pic="http://schemas.openxmlformats.org/drawingml/2006/picture">
            <wp:extent cx="5120640" cy="2055062"/>
            <wp:docPr id="5" name="Picture 5"/>
            <wp:cNvGraphicFramePr>
              <a:graphicFrameLocks noChangeAspect="1"/>
            </wp:cNvGraphicFramePr>
            <a:graphic>
              <a:graphicData uri="http://schemas.openxmlformats.org/drawingml/2006/picture">
                <pic:pic>
                  <pic:nvPicPr>
                    <pic:cNvPr id="0" name="latency_tuning.png"/>
                    <pic:cNvPicPr/>
                  </pic:nvPicPr>
                  <pic:blipFill>
                    <a:blip r:embed="rId15"/>
                    <a:stretch>
                      <a:fillRect/>
                    </a:stretch>
                  </pic:blipFill>
                  <pic:spPr>
                    <a:xfrm>
                      <a:off x="0" y="0"/>
                      <a:ext cx="5120640" cy="2055062"/>
                    </a:xfrm>
                    <a:prstGeom prst="rect"/>
                  </pic:spPr>
                </pic:pic>
              </a:graphicData>
            </a:graphic>
          </wp:inline>
        </w:drawing>
      </w:r>
    </w:p>
    <w:p>
      <w:pPr>
        <w:spacing w:before="0" w:after="200" w:line="264" w:lineRule="auto"/>
        <w:ind w:left="432" w:right="432"/>
        <w:jc w:val="both"/>
      </w:pPr>
      <w:r>
        <w:rPr>
          <w:rFonts w:ascii="Times New Roman" w:hAnsi="Times New Roman"/>
          <w:color w:val="000000"/>
          <w:sz w:val="18"/>
        </w:rPr>
        <w:t>Fig. 5. Ingress extraction latency distributions before and after direct inference path optimization.</w:t>
      </w:r>
    </w:p>
    <w:p>
      <w:pPr>
        <w:keepNext/>
        <w:spacing w:before="280" w:after="80"/>
      </w:pPr>
      <w:r>
        <w:rPr>
          <w:rFonts w:ascii="Times New Roman" w:hAnsi="Times New Roman"/>
          <w:b/>
          <w:color w:val="000000"/>
          <w:sz w:val="24"/>
        </w:rPr>
        <w:t>7 Limitations</w:t>
      </w:r>
    </w:p>
    <w:p>
      <w:pPr>
        <w:spacing w:before="0" w:after="100" w:line="276" w:lineRule="auto"/>
        <w:ind w:firstLine="288"/>
      </w:pPr>
      <w:r>
        <w:rPr>
          <w:rFonts w:ascii="Times New Roman" w:hAnsi="Times New Roman"/>
          <w:color w:val="1E1E1E"/>
          <w:sz w:val="21"/>
        </w:rPr>
        <w:t>Generalization is subject to several empirical constraints: (i) The GPU benchmark evaluated eight concurrent synthetic demand queries under a constrained 256 MiB KV-pool; unconstrained production clusters require validation under mixed dynamic arrival processes; (ii) Because all demand queries were already assigned R &gt;= 0.990 by the baseline static policy, these experiments do not isolate an incremental causal advantage of dynamic threshold tightening; (iii) LLMail-Inject labels originate from automated challenge evaluation rather than exhaustive human consensus; and (iv) While sliding windows provide complete token coverage, lightweight embedding aggregations lack the capacity to distinguish injected instructions from benign contextual references in long documents.</w:t>
      </w:r>
    </w:p>
    <w:p>
      <w:pPr>
        <w:keepNext/>
        <w:spacing w:before="280" w:after="80"/>
      </w:pPr>
      <w:r>
        <w:rPr>
          <w:rFonts w:ascii="Times New Roman" w:hAnsi="Times New Roman"/>
          <w:b/>
          <w:color w:val="000000"/>
          <w:sz w:val="24"/>
        </w:rPr>
        <w:t>8 Conclusion</w:t>
      </w:r>
    </w:p>
    <w:p>
      <w:pPr>
        <w:spacing w:before="0" w:after="100" w:line="276" w:lineRule="auto"/>
        <w:ind w:firstLine="288"/>
      </w:pPr>
      <w:r>
        <w:rPr>
          <w:rFonts w:ascii="Times New Roman" w:hAnsi="Times New Roman"/>
          <w:color w:val="1E1E1E"/>
          <w:sz w:val="21"/>
        </w:rPr>
        <w:t>We designed and evaluated an adaptive ingress admission control gateway for multi-tenant LLM serving architectures. On an NVIDIA RTX A4000 GPU serving vLLM, upfront admission control eliminated KV-cache saturation, maintained sub-second benign response times (~300 ms vs. 50.24 s), and prevented over 43,000 wasted generation tokens. However, extensive evaluation on the LLMail-Inject benchmark demonstrated that lightweight semantic embeddings cannot reliably generalize to contextual prompt injection, suffering severe false-positive amplification on long-context aggregations. These results demonstrate that while upfront admission control is indispensable for hardware availability, robust security requires a defense-in-depth architecture combining upfront capacity protection with sandboxed execution environments.</w:t>
      </w:r>
    </w:p>
    <w:p>
      <w:pPr>
        <w:spacing w:before="160" w:after="160"/>
      </w:pPr>
      <w:r>
        <w:rPr>
          <w:rFonts w:ascii="Times New Roman" w:hAnsi="Times New Roman"/>
          <w:b/>
          <w:sz w:val="19"/>
        </w:rPr>
        <w:t xml:space="preserve">Disclosure of Interests. </w:t>
      </w:r>
      <w:r>
        <w:rPr>
          <w:rFonts w:ascii="Times New Roman" w:hAnsi="Times New Roman"/>
          <w:sz w:val="19"/>
        </w:rPr>
        <w:t>The authors declare no competing interest.</w:t>
      </w:r>
    </w:p>
    <w:p>
      <w:pPr>
        <w:keepNext/>
        <w:spacing w:before="280" w:after="80"/>
      </w:pPr>
      <w:r>
        <w:rPr>
          <w:rFonts w:ascii="Times New Roman" w:hAnsi="Times New Roman"/>
          <w:b/>
          <w:color w:val="000000"/>
          <w:sz w:val="24"/>
        </w:rPr>
        <w:t>References</w:t>
      </w:r>
    </w:p>
    <w:p>
      <w:pPr>
        <w:spacing w:before="20" w:after="60" w:line="264" w:lineRule="auto"/>
        <w:ind w:left="288"/>
      </w:pPr>
      <w:r>
        <w:rPr>
          <w:rFonts w:ascii="Times New Roman" w:hAnsi="Times New Roman"/>
          <w:sz w:val="17"/>
        </w:rPr>
        <w:t>1. Abdelnabi, S., et al.: LLMail-Inject: A dataset from a realistic adaptive prompt injection challenge. In: IEEE Symposium on Security and Privacy (S&amp;P) (2025). https://arxiv.org/abs/2506.09956</w:t>
      </w:r>
    </w:p>
    <w:p>
      <w:pPr>
        <w:spacing w:before="20" w:after="60" w:line="264" w:lineRule="auto"/>
        <w:ind w:left="288"/>
      </w:pPr>
      <w:r>
        <w:rPr>
          <w:rFonts w:ascii="Times New Roman" w:hAnsi="Times New Roman"/>
          <w:sz w:val="17"/>
        </w:rPr>
        <w:t>2. Microsoft BIPIA Team: Benchmarking and defending against indirect prompt injection attacks on large language models. arXiv:2312.14197 (2023)</w:t>
      </w:r>
    </w:p>
    <w:p>
      <w:pPr>
        <w:spacing w:before="20" w:after="60" w:line="264" w:lineRule="auto"/>
        <w:ind w:left="288"/>
      </w:pPr>
      <w:r>
        <w:rPr>
          <w:rFonts w:ascii="Times New Roman" w:hAnsi="Times New Roman"/>
          <w:sz w:val="17"/>
        </w:rPr>
        <w:t>3. Chen, T., Guestrin, C.: XGBoost: A scalable tree boosting system. In: ACM SIGKDD International Conference on Knowledge Discovery and Data Mining (KDD), pp. 785-794 (2016)</w:t>
      </w:r>
    </w:p>
    <w:p>
      <w:pPr>
        <w:spacing w:before="20" w:after="60" w:line="264" w:lineRule="auto"/>
        <w:ind w:left="288"/>
      </w:pPr>
      <w:r>
        <w:rPr>
          <w:rFonts w:ascii="Times New Roman" w:hAnsi="Times New Roman"/>
          <w:sz w:val="17"/>
        </w:rPr>
        <w:t>4. Debenedetti, E., et al.: AgentDojo: A dynamic environment to evaluate prompt injection attacks and defenses for LLM agents. arXiv:2406.13352 (2024)</w:t>
      </w:r>
    </w:p>
    <w:p>
      <w:pPr>
        <w:spacing w:before="20" w:after="60" w:line="264" w:lineRule="auto"/>
        <w:ind w:left="288"/>
      </w:pPr>
      <w:r>
        <w:rPr>
          <w:rFonts w:ascii="Times New Roman" w:hAnsi="Times New Roman"/>
          <w:sz w:val="17"/>
        </w:rPr>
        <w:t>5. Inan, H., et al.: Llama Guard: LLM-based input-output moderation for human-ai conversation. arXiv:2312.06674 (2023)</w:t>
      </w:r>
    </w:p>
    <w:p>
      <w:pPr>
        <w:spacing w:before="20" w:after="60" w:line="264" w:lineRule="auto"/>
        <w:ind w:left="288"/>
      </w:pPr>
      <w:r>
        <w:rPr>
          <w:rFonts w:ascii="Times New Roman" w:hAnsi="Times New Roman"/>
          <w:sz w:val="17"/>
        </w:rPr>
        <w:t>6. Kwon, W., et al.: Efficient memory management for large language model serving with PagedAttention. In: ACM Symposium on Operating Systems Principles (SOSP) (2023). https://arxiv.org/abs/2309.06180</w:t>
      </w:r>
    </w:p>
    <w:p>
      <w:pPr>
        <w:spacing w:before="20" w:after="60" w:line="264" w:lineRule="auto"/>
        <w:ind w:left="288"/>
      </w:pPr>
      <w:r>
        <w:rPr>
          <w:rFonts w:ascii="Times New Roman" w:hAnsi="Times New Roman"/>
          <w:sz w:val="17"/>
        </w:rPr>
        <w:t>7. Reimers, N., Gurevych, I.: Sentence-BERT: Sentence embeddings using Siamese BERT-networks. In: Empirical Methods in Natural Language Processing (EMNLP) (2019). https://arxiv.org/abs/1908.10084</w:t>
      </w:r>
    </w:p>
    <w:p>
      <w:pPr>
        <w:spacing w:before="20" w:after="60" w:line="264" w:lineRule="auto"/>
        <w:ind w:left="288"/>
      </w:pPr>
      <w:r>
        <w:rPr>
          <w:rFonts w:ascii="Times New Roman" w:hAnsi="Times New Roman"/>
          <w:sz w:val="17"/>
        </w:rPr>
        <w:t>8. Shumailov, I., et al.: Sponge examples: Energy-latency attacks on neural networks. In: IEEE European Symposium on Security and Privacy (EuroS&amp;P) (2021)</w:t>
      </w:r>
    </w:p>
    <w:p>
      <w:pPr>
        <w:spacing w:before="20" w:after="60" w:line="264" w:lineRule="auto"/>
        <w:ind w:left="288"/>
      </w:pPr>
      <w:r>
        <w:rPr>
          <w:rFonts w:ascii="Times New Roman" w:hAnsi="Times New Roman"/>
          <w:sz w:val="17"/>
        </w:rPr>
        <w:t>9. Zheng, L., et al.: SGLang: Efficient execution of structured language model programs. arXiv:2312.07104 (2024)</w:t>
      </w:r>
    </w:p>
    <w:p>
      <w:pPr>
        <w:spacing w:before="20" w:after="60" w:line="264" w:lineRule="auto"/>
        <w:ind w:left="288"/>
      </w:pPr>
      <w:r>
        <w:rPr>
          <w:rFonts w:ascii="Times New Roman" w:hAnsi="Times New Roman"/>
          <w:sz w:val="17"/>
        </w:rPr>
        <w:t>10. Zou, A., et al.: Universal and transferable adversarial attacks on aligned language models. arXiv:2307.15043 (2023)</w:t>
      </w:r>
    </w:p>
    <w:sectPr w:rsidR="00FC693F" w:rsidRPr="0006063C" w:rsidSect="00034616">
      <w:headerReference w:type="default" r:id="rId9"/>
      <w:footerReference w:type="default" r:id="rId10"/>
      <w:pgSz w:w="12240" w:h="15840"/>
      <w:pgMar w:top="1584" w:right="1728" w:bottom="1584"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Adaptive Ingress Admission Control for Multi-Tenant LLM Serving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