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60"/>
        <w:jc w:val="center"/>
      </w:pPr>
      <w:r>
        <w:rPr>
          <w:rFonts w:ascii="Calibri" w:cs="Calibri" w:eastAsia="Calibri" w:hAnsi="Calibri"/>
          <w:b/>
          <w:bCs/>
          <w:color w:val="1A1A1A"/>
          <w:sz w:val="36"/>
          <w:szCs w:val="36"/>
        </w:rPr>
        <w:t xml:space="preserve">LAPORAN OPTIMASI LOKASI SPKLU</w:t>
      </w:r>
    </w:p>
    <w:p>
      <w:pPr>
        <w:spacing w:after="480"/>
        <w:jc w:val="center"/>
      </w:pPr>
      <w:r>
        <w:rPr>
          <w:rFonts w:ascii="Calibri" w:cs="Calibri" w:eastAsia="Calibri" w:hAnsi="Calibri"/>
          <w:b/>
          <w:bCs/>
          <w:color w:val="185FA5"/>
          <w:sz w:val="28"/>
          <w:szCs w:val="28"/>
        </w:rPr>
        <w:t xml:space="preserve">Kota Bandung Menggunakan Model P-Median</w:t>
      </w:r>
    </w:p>
    <w:p>
      <w:pPr>
        <w:spacing w:after="1600"/>
        <w:jc w:val="center"/>
      </w:pPr>
      <w:r>
        <w:rPr>
          <w:rFonts w:ascii="Calibri" w:cs="Calibri" w:eastAsia="Calibri" w:hAnsi="Calibri"/>
          <w:i/>
          <w:iCs/>
          <w:color w:val="5F5E5A"/>
          <w:sz w:val="22"/>
          <w:szCs w:val="22"/>
        </w:rPr>
        <w:t xml:space="preserve">Studi Kasus: Estimasi Demand Usia Produktif (25–60 Tahun)</w:t>
      </w:r>
    </w:p>
    <w:p>
      <w:pPr>
        <w:spacing w:after="80"/>
        <w:jc w:val="center"/>
      </w:pPr>
      <w:r>
        <w:rPr>
          <w:rFonts w:ascii="Calibri" w:cs="Calibri" w:eastAsia="Calibri" w:hAnsi="Calibri"/>
          <w:b/>
          <w:bCs/>
          <w:sz w:val="22"/>
          <w:szCs w:val="22"/>
        </w:rPr>
        <w:t xml:space="preserve">Reevanza Abel Desta Arifin</w:t>
      </w:r>
    </w:p>
    <w:p>
      <w:pPr>
        <w:spacing w:after="40"/>
        <w:jc w:val="center"/>
      </w:pPr>
      <w:r>
        <w:rPr>
          <w:rFonts w:ascii="Calibri" w:cs="Calibri" w:eastAsia="Calibri" w:hAnsi="Calibri"/>
          <w:color w:val="5F5E5A"/>
          <w:sz w:val="20"/>
          <w:szCs w:val="20"/>
        </w:rPr>
        <w:t xml:space="preserve">Program Studi S1 Informatika — Telkom University</w:t>
      </w:r>
    </w:p>
    <w:p>
      <w:pPr>
        <w:spacing w:after="40"/>
        <w:jc w:val="center"/>
      </w:pPr>
      <w:r>
        <w:rPr>
          <w:rFonts w:ascii="Calibri" w:cs="Calibri" w:eastAsia="Calibri" w:hAnsi="Calibri"/>
          <w:color w:val="5F5E5A"/>
          <w:sz w:val="20"/>
          <w:szCs w:val="20"/>
        </w:rPr>
        <w:t xml:space="preserve">Program Magang — Optimasi Lokasi SPKLU Kota Bandung</w:t>
      </w:r>
    </w:p>
    <w:p>
      <w:pPr>
        <w:jc w:val="center"/>
      </w:pPr>
      <w:r>
        <w:rPr>
          <w:rFonts w:ascii="Calibri" w:cs="Calibri" w:eastAsia="Calibri" w:hAnsi="Calibri"/>
          <w:color w:val="5F5E5A"/>
          <w:sz w:val="20"/>
          <w:szCs w:val="20"/>
        </w:rPr>
        <w:t xml:space="preserve">Agustus 2026</w:t>
      </w:r>
    </w:p>
    <w:p>
      <w:r>
        <w:br w:type="page"/>
      </w:r>
    </w:p>
    <w:p>
      <w:pPr>
        <w:pStyle w:val="Heading1"/>
        <w:spacing w:after="160" w:before="320"/>
      </w:pPr>
      <w:r>
        <w:t xml:space="preserve">1. Ringkasan Eksekutif</w:t>
      </w:r>
    </w:p>
    <w:p>
      <w:pPr>
        <w:spacing w:after="160" w:line="300"/>
      </w:pPr>
      <w:r>
        <w:rPr>
          <w:rFonts w:ascii="Calibri" w:cs="Calibri" w:eastAsia="Calibri" w:hAnsi="Calibri"/>
          <w:sz w:val="22"/>
          <w:szCs w:val="22"/>
        </w:rPr>
        <w:t xml:space="preserve">Laporan ini menyajikan hasil optimasi lokasi Stasiun Pengisian Kendaraan Listrik Umum (SPKLU) di Kota Bandung menggunakan model P-Median. Model mempertimbangkan estimasi demand kendaraan listrik roda empat yang didistribusikan ke 151 kelurahan berdasarkan struktur demografi usia 25–60 tahun, dan memilih lokasi optimal dari 272 kandidat lokasi (SPBU, mall, kantor, hotel, dan rumah sakit).</w:t>
      </w:r>
    </w:p>
    <w:p>
      <w:pPr>
        <w:spacing w:after="160" w:line="300"/>
      </w:pPr>
      <w:r>
        <w:rPr>
          <w:rFonts w:ascii="Calibri" w:cs="Calibri" w:eastAsia="Calibri" w:hAnsi="Calibri"/>
          <w:sz w:val="22"/>
          <w:szCs w:val="22"/>
        </w:rPr>
        <w:t xml:space="preserve">Setelah menjalankan dan membandingkan lima skenario jumlah fasilitas (p = 5, 10, 15, 20, 25), analisis menunjukkan bahwa </w:t>
      </w:r>
      <w:r>
        <w:rPr>
          <w:rFonts w:ascii="Calibri" w:cs="Calibri" w:eastAsia="Calibri" w:hAnsi="Calibri"/>
          <w:b/>
          <w:bCs/>
          <w:color w:val="185FA5"/>
          <w:sz w:val="22"/>
          <w:szCs w:val="22"/>
        </w:rPr>
        <w:t xml:space="preserve">p = 20</w:t>
      </w:r>
      <w:r>
        <w:rPr>
          <w:rFonts w:ascii="Calibri" w:cs="Calibri" w:eastAsia="Calibri" w:hAnsi="Calibri"/>
          <w:sz w:val="22"/>
          <w:szCs w:val="22"/>
        </w:rPr>
        <w:t xml:space="preserve"> merupakan titik optimal — penurunan nilai objective mulai melandai signifikan pada rentang ini (pola diminishing returns / elbow), dan hasil ini konsisten dengan eksplorasi sensitivitas p sebelumnya.</w:t>
      </w:r>
    </w:p>
    <w:p>
      <w:pPr>
        <w:spacing w:after="160" w:line="300"/>
      </w:pPr>
      <w:r>
        <w:rPr>
          <w:rFonts w:ascii="Calibri" w:cs="Calibri" w:eastAsia="Calibri" w:hAnsi="Calibri"/>
          <w:sz w:val="22"/>
          <w:szCs w:val="22"/>
        </w:rPr>
        <w:t xml:space="preserve">Seluruh tahapan pipeline — pembentukan Himpunan permintaan (I), pembentukan Himpunan kandidat (J), perhitungan matriks jarak jaringan jalan, dan optimasi P-Median — telah divalidasi dan lolos seluruh pemeriksaan integritas data.</w:t>
      </w:r>
    </w:p>
    <w:p>
      <w:pPr>
        <w:pStyle w:val="Heading1"/>
        <w:spacing w:after="160" w:before="320"/>
      </w:pPr>
      <w:r>
        <w:t xml:space="preserve">2. Metodologi</w:t>
      </w:r>
    </w:p>
    <w:p>
      <w:pPr>
        <w:pStyle w:val="Heading2"/>
        <w:spacing w:after="120" w:before="240"/>
      </w:pPr>
      <w:r>
        <w:t xml:space="preserve">2.1 Data dan Sumber</w:t>
      </w:r>
    </w:p>
    <w:p>
      <w:pPr>
        <w:pStyle w:val="ListParagraph"/>
        <w:numPr>
          <w:ilvl w:val="0"/>
          <w:numId w:val="1"/>
        </w:numPr>
        <w:spacing w:after="80"/>
      </w:pPr>
      <w:r>
        <w:rPr>
          <w:rFonts w:ascii="Calibri" w:cs="Calibri" w:eastAsia="Calibri" w:hAnsi="Calibri"/>
          <w:sz w:val="22"/>
          <w:szCs w:val="22"/>
        </w:rPr>
        <w:t xml:space="preserve">Jumlah kendaraan listrik roda empat: data SAMSAT (3 wilayah — Pajajaran, Kawaluyaan, Soekarno Hatta), total 7.136 unit</w:t>
      </w:r>
    </w:p>
    <w:p>
      <w:pPr>
        <w:pStyle w:val="ListParagraph"/>
        <w:numPr>
          <w:ilvl w:val="0"/>
          <w:numId w:val="1"/>
        </w:numPr>
        <w:spacing w:after="80"/>
      </w:pPr>
      <w:r>
        <w:rPr>
          <w:rFonts w:ascii="Calibri" w:cs="Calibri" w:eastAsia="Calibri" w:hAnsi="Calibri"/>
          <w:sz w:val="22"/>
          <w:szCs w:val="22"/>
        </w:rPr>
        <w:t xml:space="preserve">Struktur umur penduduk 25–60 tahun: data BPS, semester 2 tahun 2025, level kecamatan (30 kecamatan)</w:t>
      </w:r>
    </w:p>
    <w:p>
      <w:pPr>
        <w:pStyle w:val="ListParagraph"/>
        <w:numPr>
          <w:ilvl w:val="0"/>
          <w:numId w:val="1"/>
        </w:numPr>
        <w:spacing w:after="80"/>
      </w:pPr>
      <w:r>
        <w:rPr>
          <w:rFonts w:ascii="Calibri" w:cs="Calibri" w:eastAsia="Calibri" w:hAnsi="Calibri"/>
          <w:sz w:val="22"/>
          <w:szCs w:val="22"/>
        </w:rPr>
        <w:t xml:space="preserve">Jumlah penduduk total: data kependudukan per kelurahan (151 kelurahan)</w:t>
      </w:r>
    </w:p>
    <w:p>
      <w:pPr>
        <w:pStyle w:val="ListParagraph"/>
        <w:numPr>
          <w:ilvl w:val="0"/>
          <w:numId w:val="1"/>
        </w:numPr>
        <w:spacing w:after="80"/>
      </w:pPr>
      <w:r>
        <w:rPr>
          <w:rFonts w:ascii="Calibri" w:cs="Calibri" w:eastAsia="Calibri" w:hAnsi="Calibri"/>
          <w:sz w:val="22"/>
          <w:szCs w:val="22"/>
        </w:rPr>
        <w:t xml:space="preserve">Batas administratif: GeoJSON kelurahan Kota Bandung</w:t>
      </w:r>
    </w:p>
    <w:p>
      <w:pPr>
        <w:pStyle w:val="ListParagraph"/>
        <w:numPr>
          <w:ilvl w:val="0"/>
          <w:numId w:val="1"/>
        </w:numPr>
        <w:spacing w:after="80"/>
      </w:pPr>
      <w:r>
        <w:rPr>
          <w:rFonts w:ascii="Calibri" w:cs="Calibri" w:eastAsia="Calibri" w:hAnsi="Calibri"/>
          <w:sz w:val="22"/>
          <w:szCs w:val="22"/>
        </w:rPr>
        <w:t xml:space="preserve">Jaringan jalan: OSMnx (OpenStreetMap), diproyeksikan ke UTM Zona 48S</w:t>
      </w:r>
    </w:p>
    <w:p>
      <w:pPr>
        <w:pStyle w:val="ListParagraph"/>
        <w:numPr>
          <w:ilvl w:val="0"/>
          <w:numId w:val="1"/>
        </w:numPr>
        <w:spacing w:after="80"/>
      </w:pPr>
      <w:r>
        <w:rPr>
          <w:rFonts w:ascii="Calibri" w:cs="Calibri" w:eastAsia="Calibri" w:hAnsi="Calibri"/>
          <w:sz w:val="22"/>
          <w:szCs w:val="22"/>
        </w:rPr>
        <w:t xml:space="preserve">Kandidat lokasi SPKLU: 282 titik awal (SPBU Pertamina, mall, kantor pemerintahan/BUMN, hotel, rumah sakit)</w:t>
      </w:r>
    </w:p>
    <w:p>
      <w:pPr>
        <w:pStyle w:val="Heading2"/>
        <w:spacing w:after="120" w:before="240"/>
      </w:pPr>
      <w:r>
        <w:t xml:space="preserve">2.2 Pembentukan Himpunan I (Titik Permintaan)</w:t>
      </w:r>
    </w:p>
    <w:p>
      <w:pPr>
        <w:spacing w:after="160" w:line="300"/>
      </w:pPr>
      <w:r>
        <w:rPr>
          <w:rFonts w:ascii="Calibri" w:cs="Calibri" w:eastAsia="Calibri" w:hAnsi="Calibri"/>
          <w:sz w:val="22"/>
          <w:szCs w:val="22"/>
        </w:rPr>
        <w:t xml:space="preserve">Himpunan I merepresentasikan 151 titik permintaan, satu per kelurahan, masing-masing diberi bobot estimasi jumlah EV yang berpotensi menjadi pengguna SPKLU dari wilayah tersebut. Bobot dihitung melalui tiga tahap:</w:t>
      </w:r>
    </w:p>
    <w:p>
      <w:pPr>
        <w:pStyle w:val="ListParagraph"/>
        <w:numPr>
          <w:ilvl w:val="0"/>
          <w:numId w:val="1"/>
        </w:numPr>
        <w:spacing w:after="80"/>
      </w:pPr>
      <w:r>
        <w:rPr>
          <w:rFonts w:ascii="Calibri" w:cs="Calibri" w:eastAsia="Calibri" w:hAnsi="Calibri"/>
          <w:sz w:val="22"/>
          <w:szCs w:val="22"/>
        </w:rPr>
        <w:t xml:space="preserve">Estimasi penduduk usia 25–60 tahun per kecamatan: penduduk usia (25–59) + 1/5 × penduduk usia (60–64), sebagai proksi penduduk tepat 60 tahun.</w:t>
      </w:r>
    </w:p>
    <w:p>
      <w:pPr>
        <w:pStyle w:val="ListParagraph"/>
        <w:numPr>
          <w:ilvl w:val="0"/>
          <w:numId w:val="1"/>
        </w:numPr>
        <w:spacing w:after="80"/>
      </w:pPr>
      <w:r>
        <w:rPr>
          <w:rFonts w:ascii="Calibri" w:cs="Calibri" w:eastAsia="Calibri" w:hAnsi="Calibri"/>
          <w:sz w:val="22"/>
          <w:szCs w:val="22"/>
        </w:rPr>
        <w:t xml:space="preserve">Distribusi proporsional dari kecamatan ke kelurahan berdasarkan porsi penduduk total kelurahan terhadap total penduduk kecamatan.</w:t>
      </w:r>
    </w:p>
    <w:p>
      <w:pPr>
        <w:pStyle w:val="ListParagraph"/>
        <w:numPr>
          <w:ilvl w:val="0"/>
          <w:numId w:val="1"/>
        </w:numPr>
        <w:spacing w:after="80"/>
      </w:pPr>
      <w:r>
        <w:rPr>
          <w:rFonts w:ascii="Calibri" w:cs="Calibri" w:eastAsia="Calibri" w:hAnsi="Calibri"/>
          <w:sz w:val="22"/>
          <w:szCs w:val="22"/>
        </w:rPr>
        <w:t xml:space="preserve">Distribusi bobot EV per wilayah SAMSAT ke kelurahan, proporsional terhadap estimasi penduduk usia 25–60 tahun kelurahan tersebut.</w:t>
      </w:r>
    </w:p>
    <w:p>
      <w:pPr>
        <w:spacing w:after="160" w:line="300"/>
      </w:pPr>
      <w:r>
        <w:rPr>
          <w:rFonts w:ascii="Calibri" w:cs="Calibri" w:eastAsia="Calibri" w:hAnsi="Calibri"/>
          <w:i/>
          <w:iCs/>
          <w:sz w:val="22"/>
          <w:szCs w:val="22"/>
        </w:rPr>
        <w:t xml:space="preserve">Rumus distribusi bobot EV:</w:t>
      </w:r>
    </w:p>
    <w:p>
      <w:pPr>
        <w:spacing w:after="200"/>
        <w:jc w:val="center"/>
      </w:pPr>
      <w:r>
        <w:rPr>
          <w:rFonts w:ascii="Cambria Math" w:cs="Cambria Math" w:eastAsia="Cambria Math" w:hAnsi="Cambria Math"/>
          <w:i/>
          <w:iCs/>
          <w:sz w:val="24"/>
          <w:szCs w:val="24"/>
        </w:rPr>
        <w:t xml:space="preserve">wᵢ = EVₖ × (Pᵢ,25-60 / Σ Pᵣ,25-60)</w:t>
      </w:r>
    </w:p>
    <w:p>
      <w:pPr>
        <w:spacing w:after="160" w:line="300"/>
      </w:pPr>
      <w:r>
        <w:rPr>
          <w:rFonts w:ascii="Calibri" w:cs="Calibri" w:eastAsia="Calibri" w:hAnsi="Calibri"/>
          <w:sz w:val="22"/>
          <w:szCs w:val="22"/>
        </w:rPr>
        <w:t xml:space="preserve">dengan wᵢ = bobot EV kelurahan i, EVₖ = total EV wilayah SAMSAT k, dan Pᵢ,25-60 = estimasi penduduk usia 25–60 kelurahan i.</w:t>
      </w:r>
    </w:p>
    <w:p>
      <w:pPr>
        <w:spacing w:after="160" w:line="300"/>
      </w:pPr>
      <w:r>
        <w:rPr>
          <w:rFonts w:ascii="Calibri" w:cs="Calibri" w:eastAsia="Calibri" w:hAnsi="Calibri"/>
          <w:sz w:val="22"/>
          <w:szCs w:val="22"/>
        </w:rPr>
        <w:t xml:space="preserve">Setiap poligon kelurahan direpresentasikan oleh satu titik menggunakan representative_point() (menjamin titik berada di dalam poligon), kemudian di-snap ke node terdekat pada komponen strongly connected terbesar dari graf jaringan jalan — memastikan seluruh rute berarah tersedia tanpa jarak tak berhingga.</w:t>
      </w:r>
    </w:p>
    <w:p>
      <w:pPr>
        <w:pStyle w:val="Heading2"/>
        <w:spacing w:after="120" w:before="240"/>
      </w:pPr>
      <w:r>
        <w:t xml:space="preserve">2.3 Pencocokan Nama Kelurahan</w:t>
      </w:r>
    </w:p>
    <w:p>
      <w:pPr>
        <w:spacing w:after="160" w:line="300"/>
      </w:pPr>
      <w:r>
        <w:rPr>
          <w:rFonts w:ascii="Calibri" w:cs="Calibri" w:eastAsia="Calibri" w:hAnsi="Calibri"/>
          <w:sz w:val="22"/>
          <w:szCs w:val="22"/>
        </w:rPr>
        <w:t xml:space="preserve">Nama kelurahan pada data penduduk dan GeoJSON dicocokkan melalui normalisasi teks. Dari 151 kelurahan, 2 pasang nama tidak cocok persis karena perbedaan ejaan dan dipadankan otomatis menggunakan algoritma kemiripan teks (SequenceMatcher, ambang skor 0,70). Kedua pasangan telah diverifikasi manual terhadap sumber resmi (situs Pemerintah Kota Bandung, situs kecamatan, dan BPS):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3500"/>
      </w:tblGrid>
      <w:tr>
        <w:trPr>
          <w:tblHeader/>
        </w:trPr>
        <w:tc>
          <w:tcPr>
            <w:tcW w:type="dxa" w:w="2400"/>
            <w:shd w:fill="185FA5"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Data Penduduk</w:t>
            </w:r>
          </w:p>
        </w:tc>
        <w:tc>
          <w:tcPr>
            <w:tcW w:type="dxa" w:w="2400"/>
            <w:shd w:fill="185FA5"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GeoJSON</w:t>
            </w:r>
          </w:p>
        </w:tc>
        <w:tc>
          <w:tcPr>
            <w:tcW w:type="dxa" w:w="1600"/>
            <w:shd w:fill="185FA5"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Skor Kemiripan</w:t>
            </w:r>
          </w:p>
        </w:tc>
        <w:tc>
          <w:tcPr>
            <w:tcW w:type="dxa" w:w="3500"/>
            <w:shd w:fill="185FA5"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Verifikasi Sumber Resmi</w:t>
            </w:r>
          </w:p>
        </w:tc>
      </w:tr>
      <w:tr>
        <w:tc>
          <w:tcPr>
            <w:tcW w:type="dxa" w:w="24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CIMINCRANG</w:t>
            </w:r>
          </w:p>
        </w:tc>
        <w:tc>
          <w:tcPr>
            <w:tcW w:type="dxa" w:w="24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CIMENCRANG</w:t>
            </w:r>
          </w:p>
        </w:tc>
        <w:tc>
          <w:tcPr>
            <w:tcW w:type="dxa" w:w="16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0,900</w:t>
            </w:r>
          </w:p>
        </w:tc>
        <w:tc>
          <w:tcPr>
            <w:tcW w:type="dxa" w:w="3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Kelurahan sama (Kec. Gedebage). Ejaan resmi: Cimincrang.</w:t>
            </w:r>
          </w:p>
        </w:tc>
      </w:tr>
      <w:tr>
        <w:tc>
          <w:tcPr>
            <w:tcW w:type="dxa" w:w="24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HUSENSASTRANEGARA</w:t>
            </w:r>
          </w:p>
        </w:tc>
        <w:tc>
          <w:tcPr>
            <w:tcW w:type="dxa" w:w="24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HUSEINSASTRANEGARA</w:t>
            </w:r>
          </w:p>
        </w:tc>
        <w:tc>
          <w:tcPr>
            <w:tcW w:type="dxa" w:w="16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0,971</w:t>
            </w:r>
          </w:p>
        </w:tc>
        <w:tc>
          <w:tcPr>
            <w:tcW w:type="dxa" w:w="3500"/>
            <w:shd w:fill="F7F7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Kelurahan sama (Kec. Cicendo). Ejaan resmi: Husein Sastranegara.</w:t>
            </w:r>
          </w:p>
        </w:tc>
      </w:tr>
    </w:tbl>
    <w:p>
      <w:pPr>
        <w:spacing w:after="200"/>
      </w:pPr>
    </w:p>
    <w:p>
      <w:pPr>
        <w:spacing w:after="160" w:line="300"/>
      </w:pPr>
      <w:r>
        <w:rPr>
          <w:rFonts w:ascii="Calibri" w:cs="Calibri" w:eastAsia="Calibri" w:hAnsi="Calibri"/>
          <w:sz w:val="22"/>
          <w:szCs w:val="22"/>
        </w:rPr>
        <w:t xml:space="preserve">Verifikasi memastikan kedua pasangan alias merujuk kelurahan fisik yang sama, bukan kesalahan penggabungan dua kelurahan berbeda.</w:t>
      </w:r>
    </w:p>
    <w:p>
      <w:pPr>
        <w:pStyle w:val="Heading2"/>
        <w:spacing w:after="120" w:before="240"/>
      </w:pPr>
      <w:r>
        <w:t xml:space="preserve">2.4 Pembentukan Himpunan J (Kandidat Lokasi) dan Matriks Jarak</w:t>
      </w:r>
    </w:p>
    <w:p>
      <w:pPr>
        <w:spacing w:after="160" w:line="300"/>
      </w:pPr>
      <w:r>
        <w:rPr>
          <w:rFonts w:ascii="Calibri" w:cs="Calibri" w:eastAsia="Calibri" w:hAnsi="Calibri"/>
          <w:sz w:val="22"/>
          <w:szCs w:val="22"/>
        </w:rPr>
        <w:t xml:space="preserve">Kandidat lokasi J (282 titik awal) di-snap ke komponen jaringan jalan yang sama dengan Himpunan I, kemudian dideduplikasi berdasarkan node hasil snap — menyisakan 272 kandidat unik (10 titik dihapus karena bersnap ke node yang sama dengan kandidat lain). Matriks jarak dihitung menggunakan algoritma Dijkstra dari setiap titik permintaan ke seluruh kandidat, berdasarkan panjang ruas jalan aktual (bukan jarak euclidean).</w:t>
      </w:r>
    </w:p>
    <w:p>
      <w:pPr>
        <w:pStyle w:val="Heading2"/>
        <w:spacing w:after="120" w:before="240"/>
      </w:pPr>
      <w:r>
        <w:t xml:space="preserve">2.5 Model Optimasi P-Median</w:t>
      </w:r>
    </w:p>
    <w:p>
      <w:pPr>
        <w:spacing w:after="160" w:line="300"/>
      </w:pPr>
      <w:r>
        <w:rPr>
          <w:rFonts w:ascii="Calibri" w:cs="Calibri" w:eastAsia="Calibri" w:hAnsi="Calibri"/>
          <w:sz w:val="22"/>
          <w:szCs w:val="22"/>
        </w:rPr>
        <w:t xml:space="preserve">Model diformulasikan sebagai Integer Linear Programming (ILP) dan diselesaikan menggunakan solver CBC (PuLP):</w:t>
      </w:r>
    </w:p>
    <w:p>
      <w:pPr>
        <w:spacing w:after="120"/>
        <w:jc w:val="center"/>
      </w:pPr>
      <w:r>
        <w:rPr>
          <w:rFonts w:ascii="Cambria Math" w:cs="Cambria Math" w:eastAsia="Cambria Math" w:hAnsi="Cambria Math"/>
          <w:i/>
          <w:iCs/>
          <w:sz w:val="24"/>
          <w:szCs w:val="24"/>
        </w:rPr>
        <w:t xml:space="preserve">min Σᵢ Σⱼ wᵢ · dᵢⱼ · xᵢⱼ</w:t>
      </w:r>
    </w:p>
    <w:p>
      <w:pPr>
        <w:spacing w:after="160" w:line="300"/>
      </w:pPr>
      <w:r>
        <w:rPr>
          <w:rFonts w:ascii="Calibri" w:cs="Calibri" w:eastAsia="Calibri" w:hAnsi="Calibri"/>
          <w:i/>
          <w:iCs/>
          <w:sz w:val="22"/>
          <w:szCs w:val="22"/>
        </w:rPr>
        <w:t xml:space="preserve">dengan kendala: setiap titik permintaan dilayani tepat satu fasilitas, fasilitas hanya melayani jika dibuka (xᵢⱼ ≤ yⱼ), dan jumlah fasilitas yang dibuka tepat sama dengan p (Σⱼ yⱼ = p).</w:t>
      </w:r>
    </w:p>
    <w:p>
      <w:pPr>
        <w:pStyle w:val="Heading1"/>
        <w:spacing w:after="160" w:before="320"/>
      </w:pPr>
      <w:r>
        <w:t xml:space="preserve">3. Penentuan Jumlah Fasilitas Optimal (p)</w:t>
      </w:r>
    </w:p>
    <w:p>
      <w:pPr>
        <w:spacing w:after="160" w:line="300"/>
      </w:pPr>
      <w:r>
        <w:rPr>
          <w:rFonts w:ascii="Calibri" w:cs="Calibri" w:eastAsia="Calibri" w:hAnsi="Calibri"/>
          <w:sz w:val="22"/>
          <w:szCs w:val="22"/>
        </w:rPr>
        <w:t xml:space="preserve">Lima skenario dijalankan (p = 5, 10, 15, 20, 25) untuk menganalisis titik keseimbangan (elbow) antara jumlah fasilitas dan penurunan nilai objective (total jarak berbobot):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600"/>
        <w:gridCol w:w="2200"/>
        <w:gridCol w:w="2600"/>
      </w:tblGrid>
      <w:tr>
        <w:trPr>
          <w:tblHeader/>
        </w:trPr>
        <w:tc>
          <w:tcPr>
            <w:tcW w:type="dxa" w:w="900"/>
            <w:shd w:fill="185FA5"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w:t>
            </w:r>
          </w:p>
        </w:tc>
        <w:tc>
          <w:tcPr>
            <w:tcW w:type="dxa" w:w="1600"/>
            <w:shd w:fill="185FA5"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Status</w:t>
            </w:r>
          </w:p>
        </w:tc>
        <w:tc>
          <w:tcPr>
            <w:tcW w:type="dxa" w:w="2600"/>
            <w:shd w:fill="185FA5"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Rata² jarak berbobot (km)</w:t>
            </w:r>
          </w:p>
        </w:tc>
        <w:tc>
          <w:tcPr>
            <w:tcW w:type="dxa" w:w="2200"/>
            <w:shd w:fill="185FA5"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Jarak maksimum (km)</w:t>
            </w:r>
          </w:p>
        </w:tc>
        <w:tc>
          <w:tcPr>
            <w:tcW w:type="dxa" w:w="2600"/>
            <w:shd w:fill="185FA5"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Penurunan objective (%)</w:t>
            </w:r>
          </w:p>
        </w:tc>
      </w:tr>
      <w:tr>
        <w:tc>
          <w:tcPr>
            <w:tcW w:type="dxa" w:w="9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5</w:t>
            </w:r>
          </w:p>
        </w:tc>
        <w:tc>
          <w:tcPr>
            <w:tcW w:type="dxa" w:w="16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Optimal</w:t>
            </w:r>
          </w:p>
        </w:tc>
        <w:tc>
          <w:tcPr>
            <w:tcW w:type="dxa" w:w="2600"/>
            <w:tcMar>
              <w:top w:type="dxa" w:w="80"/>
              <w:left w:type="dxa" w:w="100"/>
              <w:bottom w:type="dxa" w:w="80"/>
              <w:right w:type="dxa" w:w="100"/>
            </w:tcMar>
          </w:tcPr>
          <w:p>
            <w:pPr>
              <w:jc w:val="right"/>
            </w:pPr>
            <w:r>
              <w:rPr>
                <w:rFonts w:ascii="Calibri" w:cs="Calibri" w:eastAsia="Calibri" w:hAnsi="Calibri"/>
                <w:b w:val="false"/>
                <w:bCs w:val="false"/>
                <w:sz w:val="20"/>
                <w:szCs w:val="20"/>
              </w:rPr>
              <w:t xml:space="preserve">3,13</w:t>
            </w:r>
          </w:p>
        </w:tc>
        <w:tc>
          <w:tcPr>
            <w:tcW w:type="dxa" w:w="2200"/>
            <w:tcMar>
              <w:top w:type="dxa" w:w="80"/>
              <w:left w:type="dxa" w:w="100"/>
              <w:bottom w:type="dxa" w:w="80"/>
              <w:right w:type="dxa" w:w="100"/>
            </w:tcMar>
          </w:tcPr>
          <w:p>
            <w:pPr>
              <w:jc w:val="right"/>
            </w:pPr>
            <w:r>
              <w:rPr>
                <w:rFonts w:ascii="Calibri" w:cs="Calibri" w:eastAsia="Calibri" w:hAnsi="Calibri"/>
                <w:b w:val="false"/>
                <w:bCs w:val="false"/>
                <w:sz w:val="20"/>
                <w:szCs w:val="20"/>
              </w:rPr>
              <w:t xml:space="preserve">6,59</w:t>
            </w:r>
          </w:p>
        </w:tc>
        <w:tc>
          <w:tcPr>
            <w:tcW w:type="dxa" w:w="2600"/>
            <w:tcMar>
              <w:top w:type="dxa" w:w="80"/>
              <w:left w:type="dxa" w:w="100"/>
              <w:bottom w:type="dxa" w:w="80"/>
              <w:right w:type="dxa" w:w="100"/>
            </w:tcMar>
          </w:tcPr>
          <w:p>
            <w:pPr>
              <w:jc w:val="right"/>
            </w:pPr>
            <w:r>
              <w:rPr>
                <w:rFonts w:ascii="Calibri" w:cs="Calibri" w:eastAsia="Calibri" w:hAnsi="Calibri"/>
                <w:b w:val="false"/>
                <w:bCs w:val="false"/>
                <w:sz w:val="20"/>
                <w:szCs w:val="20"/>
              </w:rPr>
              <w:t xml:space="preserve">—</w:t>
            </w:r>
          </w:p>
        </w:tc>
      </w:tr>
      <w:tr>
        <w:tc>
          <w:tcPr>
            <w:tcW w:type="dxa" w:w="9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10</w:t>
            </w:r>
          </w:p>
        </w:tc>
        <w:tc>
          <w:tcPr>
            <w:tcW w:type="dxa" w:w="16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Optimal</w:t>
            </w:r>
          </w:p>
        </w:tc>
        <w:tc>
          <w:tcPr>
            <w:tcW w:type="dxa" w:w="2600"/>
            <w:shd w:fill="F7F7F5" w:val="clear"/>
            <w:tcMar>
              <w:top w:type="dxa" w:w="80"/>
              <w:left w:type="dxa" w:w="100"/>
              <w:bottom w:type="dxa" w:w="80"/>
              <w:right w:type="dxa" w:w="100"/>
            </w:tcMar>
          </w:tcPr>
          <w:p>
            <w:pPr>
              <w:jc w:val="right"/>
            </w:pPr>
            <w:r>
              <w:rPr>
                <w:rFonts w:ascii="Calibri" w:cs="Calibri" w:eastAsia="Calibri" w:hAnsi="Calibri"/>
                <w:b w:val="false"/>
                <w:bCs w:val="false"/>
                <w:sz w:val="20"/>
                <w:szCs w:val="20"/>
              </w:rPr>
              <w:t xml:space="preserve">2,32</w:t>
            </w:r>
          </w:p>
        </w:tc>
        <w:tc>
          <w:tcPr>
            <w:tcW w:type="dxa" w:w="2200"/>
            <w:shd w:fill="F7F7F5" w:val="clear"/>
            <w:tcMar>
              <w:top w:type="dxa" w:w="80"/>
              <w:left w:type="dxa" w:w="100"/>
              <w:bottom w:type="dxa" w:w="80"/>
              <w:right w:type="dxa" w:w="100"/>
            </w:tcMar>
          </w:tcPr>
          <w:p>
            <w:pPr>
              <w:jc w:val="right"/>
            </w:pPr>
            <w:r>
              <w:rPr>
                <w:rFonts w:ascii="Calibri" w:cs="Calibri" w:eastAsia="Calibri" w:hAnsi="Calibri"/>
                <w:b w:val="false"/>
                <w:bCs w:val="false"/>
                <w:sz w:val="20"/>
                <w:szCs w:val="20"/>
              </w:rPr>
              <w:t xml:space="preserve">7,43</w:t>
            </w:r>
          </w:p>
        </w:tc>
        <w:tc>
          <w:tcPr>
            <w:tcW w:type="dxa" w:w="2600"/>
            <w:shd w:fill="F7F7F5" w:val="clear"/>
            <w:tcMar>
              <w:top w:type="dxa" w:w="80"/>
              <w:left w:type="dxa" w:w="100"/>
              <w:bottom w:type="dxa" w:w="80"/>
              <w:right w:type="dxa" w:w="100"/>
            </w:tcMar>
          </w:tcPr>
          <w:p>
            <w:pPr>
              <w:jc w:val="right"/>
            </w:pPr>
            <w:r>
              <w:rPr>
                <w:rFonts w:ascii="Calibri" w:cs="Calibri" w:eastAsia="Calibri" w:hAnsi="Calibri"/>
                <w:b w:val="false"/>
                <w:bCs w:val="false"/>
                <w:sz w:val="20"/>
                <w:szCs w:val="20"/>
              </w:rPr>
              <w:t xml:space="preserve">25,9%</w:t>
            </w:r>
          </w:p>
        </w:tc>
      </w:tr>
      <w:tr>
        <w:tc>
          <w:tcPr>
            <w:tcW w:type="dxa" w:w="9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15</w:t>
            </w:r>
          </w:p>
        </w:tc>
        <w:tc>
          <w:tcPr>
            <w:tcW w:type="dxa" w:w="16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Optimal</w:t>
            </w:r>
          </w:p>
        </w:tc>
        <w:tc>
          <w:tcPr>
            <w:tcW w:type="dxa" w:w="2600"/>
            <w:tcMar>
              <w:top w:type="dxa" w:w="80"/>
              <w:left w:type="dxa" w:w="100"/>
              <w:bottom w:type="dxa" w:w="80"/>
              <w:right w:type="dxa" w:w="100"/>
            </w:tcMar>
          </w:tcPr>
          <w:p>
            <w:pPr>
              <w:jc w:val="right"/>
            </w:pPr>
            <w:r>
              <w:rPr>
                <w:rFonts w:ascii="Calibri" w:cs="Calibri" w:eastAsia="Calibri" w:hAnsi="Calibri"/>
                <w:b w:val="false"/>
                <w:bCs w:val="false"/>
                <w:sz w:val="20"/>
                <w:szCs w:val="20"/>
              </w:rPr>
              <w:t xml:space="preserve">1,98</w:t>
            </w:r>
          </w:p>
        </w:tc>
        <w:tc>
          <w:tcPr>
            <w:tcW w:type="dxa" w:w="2200"/>
            <w:tcMar>
              <w:top w:type="dxa" w:w="80"/>
              <w:left w:type="dxa" w:w="100"/>
              <w:bottom w:type="dxa" w:w="80"/>
              <w:right w:type="dxa" w:w="100"/>
            </w:tcMar>
          </w:tcPr>
          <w:p>
            <w:pPr>
              <w:jc w:val="right"/>
            </w:pPr>
            <w:r>
              <w:rPr>
                <w:rFonts w:ascii="Calibri" w:cs="Calibri" w:eastAsia="Calibri" w:hAnsi="Calibri"/>
                <w:b w:val="false"/>
                <w:bCs w:val="false"/>
                <w:sz w:val="20"/>
                <w:szCs w:val="20"/>
              </w:rPr>
              <w:t xml:space="preserve">6,27</w:t>
            </w:r>
          </w:p>
        </w:tc>
        <w:tc>
          <w:tcPr>
            <w:tcW w:type="dxa" w:w="2600"/>
            <w:tcMar>
              <w:top w:type="dxa" w:w="80"/>
              <w:left w:type="dxa" w:w="100"/>
              <w:bottom w:type="dxa" w:w="80"/>
              <w:right w:type="dxa" w:w="100"/>
            </w:tcMar>
          </w:tcPr>
          <w:p>
            <w:pPr>
              <w:jc w:val="right"/>
            </w:pPr>
            <w:r>
              <w:rPr>
                <w:rFonts w:ascii="Calibri" w:cs="Calibri" w:eastAsia="Calibri" w:hAnsi="Calibri"/>
                <w:b w:val="false"/>
                <w:bCs w:val="false"/>
                <w:sz w:val="20"/>
                <w:szCs w:val="20"/>
              </w:rPr>
              <w:t xml:space="preserve">14,9%</w:t>
            </w:r>
          </w:p>
        </w:tc>
      </w:tr>
      <w:tr>
        <w:tc>
          <w:tcPr>
            <w:tcW w:type="dxa" w:w="900"/>
            <w:shd w:fill="E6F1FB" w:val="clear"/>
            <w:tcMar>
              <w:top w:type="dxa" w:w="80"/>
              <w:left w:type="dxa" w:w="100"/>
              <w:bottom w:type="dxa" w:w="80"/>
              <w:right w:type="dxa" w:w="100"/>
            </w:tcMar>
          </w:tcPr>
          <w:p>
            <w:pPr>
              <w:jc w:val="center"/>
            </w:pPr>
            <w:r>
              <w:rPr>
                <w:rFonts w:ascii="Calibri" w:cs="Calibri" w:eastAsia="Calibri" w:hAnsi="Calibri"/>
                <w:b/>
                <w:bCs/>
                <w:sz w:val="20"/>
                <w:szCs w:val="20"/>
              </w:rPr>
              <w:t xml:space="preserve">20</w:t>
            </w:r>
          </w:p>
        </w:tc>
        <w:tc>
          <w:tcPr>
            <w:tcW w:type="dxa" w:w="1600"/>
            <w:shd w:fill="E6F1FB" w:val="clear"/>
            <w:tcMar>
              <w:top w:type="dxa" w:w="80"/>
              <w:left w:type="dxa" w:w="100"/>
              <w:bottom w:type="dxa" w:w="80"/>
              <w:right w:type="dxa" w:w="100"/>
            </w:tcMar>
          </w:tcPr>
          <w:p>
            <w:pPr>
              <w:jc w:val="center"/>
            </w:pPr>
            <w:r>
              <w:rPr>
                <w:rFonts w:ascii="Calibri" w:cs="Calibri" w:eastAsia="Calibri" w:hAnsi="Calibri"/>
                <w:b/>
                <w:bCs/>
                <w:sz w:val="20"/>
                <w:szCs w:val="20"/>
              </w:rPr>
              <w:t xml:space="preserve">Optimal</w:t>
            </w:r>
          </w:p>
        </w:tc>
        <w:tc>
          <w:tcPr>
            <w:tcW w:type="dxa" w:w="2600"/>
            <w:shd w:fill="E6F1FB" w:val="clear"/>
            <w:tcMar>
              <w:top w:type="dxa" w:w="80"/>
              <w:left w:type="dxa" w:w="100"/>
              <w:bottom w:type="dxa" w:w="80"/>
              <w:right w:type="dxa" w:w="100"/>
            </w:tcMar>
          </w:tcPr>
          <w:p>
            <w:pPr>
              <w:jc w:val="right"/>
            </w:pPr>
            <w:r>
              <w:rPr>
                <w:rFonts w:ascii="Calibri" w:cs="Calibri" w:eastAsia="Calibri" w:hAnsi="Calibri"/>
                <w:b/>
                <w:bCs/>
                <w:sz w:val="20"/>
                <w:szCs w:val="20"/>
              </w:rPr>
              <w:t xml:space="preserve">1,75</w:t>
            </w:r>
          </w:p>
        </w:tc>
        <w:tc>
          <w:tcPr>
            <w:tcW w:type="dxa" w:w="2200"/>
            <w:shd w:fill="E6F1FB" w:val="clear"/>
            <w:tcMar>
              <w:top w:type="dxa" w:w="80"/>
              <w:left w:type="dxa" w:w="100"/>
              <w:bottom w:type="dxa" w:w="80"/>
              <w:right w:type="dxa" w:w="100"/>
            </w:tcMar>
          </w:tcPr>
          <w:p>
            <w:pPr>
              <w:jc w:val="right"/>
            </w:pPr>
            <w:r>
              <w:rPr>
                <w:rFonts w:ascii="Calibri" w:cs="Calibri" w:eastAsia="Calibri" w:hAnsi="Calibri"/>
                <w:b/>
                <w:bCs/>
                <w:sz w:val="20"/>
                <w:szCs w:val="20"/>
              </w:rPr>
              <w:t xml:space="preserve">6,38</w:t>
            </w:r>
          </w:p>
        </w:tc>
        <w:tc>
          <w:tcPr>
            <w:tcW w:type="dxa" w:w="2600"/>
            <w:shd w:fill="E6F1FB" w:val="clear"/>
            <w:tcMar>
              <w:top w:type="dxa" w:w="80"/>
              <w:left w:type="dxa" w:w="100"/>
              <w:bottom w:type="dxa" w:w="80"/>
              <w:right w:type="dxa" w:w="100"/>
            </w:tcMar>
          </w:tcPr>
          <w:p>
            <w:pPr>
              <w:jc w:val="right"/>
            </w:pPr>
            <w:r>
              <w:rPr>
                <w:rFonts w:ascii="Calibri" w:cs="Calibri" w:eastAsia="Calibri" w:hAnsi="Calibri"/>
                <w:b/>
                <w:bCs/>
                <w:sz w:val="20"/>
                <w:szCs w:val="20"/>
              </w:rPr>
              <w:t xml:space="preserve">11,6%</w:t>
            </w:r>
          </w:p>
        </w:tc>
      </w:tr>
      <w:tr>
        <w:tc>
          <w:tcPr>
            <w:tcW w:type="dxa" w:w="9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25</w:t>
            </w:r>
          </w:p>
        </w:tc>
        <w:tc>
          <w:tcPr>
            <w:tcW w:type="dxa" w:w="16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Optimal</w:t>
            </w:r>
          </w:p>
        </w:tc>
        <w:tc>
          <w:tcPr>
            <w:tcW w:type="dxa" w:w="2600"/>
            <w:tcMar>
              <w:top w:type="dxa" w:w="80"/>
              <w:left w:type="dxa" w:w="100"/>
              <w:bottom w:type="dxa" w:w="80"/>
              <w:right w:type="dxa" w:w="100"/>
            </w:tcMar>
          </w:tcPr>
          <w:p>
            <w:pPr>
              <w:jc w:val="right"/>
            </w:pPr>
            <w:r>
              <w:rPr>
                <w:rFonts w:ascii="Calibri" w:cs="Calibri" w:eastAsia="Calibri" w:hAnsi="Calibri"/>
                <w:b w:val="false"/>
                <w:bCs w:val="false"/>
                <w:sz w:val="20"/>
                <w:szCs w:val="20"/>
              </w:rPr>
              <w:t xml:space="preserve">1,57</w:t>
            </w:r>
          </w:p>
        </w:tc>
        <w:tc>
          <w:tcPr>
            <w:tcW w:type="dxa" w:w="2200"/>
            <w:tcMar>
              <w:top w:type="dxa" w:w="80"/>
              <w:left w:type="dxa" w:w="100"/>
              <w:bottom w:type="dxa" w:w="80"/>
              <w:right w:type="dxa" w:w="100"/>
            </w:tcMar>
          </w:tcPr>
          <w:p>
            <w:pPr>
              <w:jc w:val="right"/>
            </w:pPr>
            <w:r>
              <w:rPr>
                <w:rFonts w:ascii="Calibri" w:cs="Calibri" w:eastAsia="Calibri" w:hAnsi="Calibri"/>
                <w:b w:val="false"/>
                <w:bCs w:val="false"/>
                <w:sz w:val="20"/>
                <w:szCs w:val="20"/>
              </w:rPr>
              <w:t xml:space="preserve">6,38</w:t>
            </w:r>
          </w:p>
        </w:tc>
        <w:tc>
          <w:tcPr>
            <w:tcW w:type="dxa" w:w="2600"/>
            <w:tcMar>
              <w:top w:type="dxa" w:w="80"/>
              <w:left w:type="dxa" w:w="100"/>
              <w:bottom w:type="dxa" w:w="80"/>
              <w:right w:type="dxa" w:w="100"/>
            </w:tcMar>
          </w:tcPr>
          <w:p>
            <w:pPr>
              <w:jc w:val="right"/>
            </w:pPr>
            <w:r>
              <w:rPr>
                <w:rFonts w:ascii="Calibri" w:cs="Calibri" w:eastAsia="Calibri" w:hAnsi="Calibri"/>
                <w:b w:val="false"/>
                <w:bCs w:val="false"/>
                <w:sz w:val="20"/>
                <w:szCs w:val="20"/>
              </w:rPr>
              <w:t xml:space="preserve">10,0%</w:t>
            </w:r>
          </w:p>
        </w:tc>
      </w:tr>
    </w:tbl>
    <w:p>
      <w:pPr>
        <w:spacing w:after="240"/>
      </w:pPr>
    </w:p>
    <w:p>
      <w:pPr>
        <w:spacing w:after="160" w:line="300"/>
      </w:pPr>
      <w:r>
        <w:rPr>
          <w:rFonts w:ascii="Calibri" w:cs="Calibri" w:eastAsia="Calibri" w:hAnsi="Calibri"/>
          <w:sz w:val="22"/>
          <w:szCs w:val="22"/>
        </w:rPr>
        <w:t xml:space="preserve">Seluruh skenario mencapai status Optimal (bukan timeout atau infeasible), dengan waktu solver antara 1,8–4,9 detik.</w:t>
      </w:r>
    </w:p>
    <w:p>
      <w:pPr>
        <w:pStyle w:val="Heading2"/>
        <w:spacing w:after="120" w:before="240"/>
      </w:pPr>
      <w:r>
        <w:t xml:space="preserve">3.1 Analisis Diminishing Returns</w:t>
      </w:r>
    </w:p>
    <w:p>
      <w:pPr>
        <w:spacing w:after="160" w:line="300"/>
      </w:pPr>
      <w:r>
        <w:rPr>
          <w:rFonts w:ascii="Calibri" w:cs="Calibri" w:eastAsia="Calibri" w:hAnsi="Calibri"/>
          <w:sz w:val="22"/>
          <w:szCs w:val="22"/>
        </w:rPr>
        <w:t xml:space="preserve">Untuk menentukan titik optimal secara objektif, dianalisis laju perlambatan penurunan objective antar skenario: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500"/>
      </w:tblGrid>
      <w:tr>
        <w:trPr>
          <w:tblHeader/>
        </w:trPr>
        <w:tc>
          <w:tcPr>
            <w:tcW w:type="dxa" w:w="3000"/>
            <w:shd w:fill="185FA5"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Langkah</w:t>
            </w:r>
          </w:p>
        </w:tc>
        <w:tc>
          <w:tcPr>
            <w:tcW w:type="dxa" w:w="3400"/>
            <w:shd w:fill="185FA5"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Penurunan objective</w:t>
            </w:r>
          </w:p>
        </w:tc>
        <w:tc>
          <w:tcPr>
            <w:tcW w:type="dxa" w:w="3500"/>
            <w:shd w:fill="185FA5"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Selisih dari langkah sebelumnya</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p=5 → 10</w:t>
            </w:r>
          </w:p>
        </w:tc>
        <w:tc>
          <w:tcPr>
            <w:tcW w:type="dxa" w:w="34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25,9%</w:t>
            </w:r>
          </w:p>
        </w:tc>
        <w:tc>
          <w:tcPr>
            <w:tcW w:type="dxa" w:w="35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w:t>
            </w:r>
          </w:p>
        </w:tc>
      </w:tr>
      <w:tr>
        <w:tc>
          <w:tcPr>
            <w:tcW w:type="dxa" w:w="3000"/>
            <w:shd w:fill="F7F7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p=10 → 15</w:t>
            </w:r>
          </w:p>
        </w:tc>
        <w:tc>
          <w:tcPr>
            <w:tcW w:type="dxa" w:w="34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14,9%</w:t>
            </w:r>
          </w:p>
        </w:tc>
        <w:tc>
          <w:tcPr>
            <w:tcW w:type="dxa" w:w="35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turun 11,0 poin</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p=15 → 20</w:t>
            </w:r>
          </w:p>
        </w:tc>
        <w:tc>
          <w:tcPr>
            <w:tcW w:type="dxa" w:w="34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11,6%</w:t>
            </w:r>
          </w:p>
        </w:tc>
        <w:tc>
          <w:tcPr>
            <w:tcW w:type="dxa" w:w="35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turun 3,3 poin</w:t>
            </w:r>
          </w:p>
        </w:tc>
      </w:tr>
      <w:tr>
        <w:tc>
          <w:tcPr>
            <w:tcW w:type="dxa" w:w="3000"/>
            <w:shd w:fill="F7F7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p=20 → 25</w:t>
            </w:r>
          </w:p>
        </w:tc>
        <w:tc>
          <w:tcPr>
            <w:tcW w:type="dxa" w:w="34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10,0%</w:t>
            </w:r>
          </w:p>
        </w:tc>
        <w:tc>
          <w:tcPr>
            <w:tcW w:type="dxa" w:w="35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turun 1,6 poin</w:t>
            </w:r>
          </w:p>
        </w:tc>
      </w:tr>
    </w:tbl>
    <w:p>
      <w:pPr>
        <w:spacing w:after="240"/>
      </w:pPr>
    </w:p>
    <w:p>
      <w:pPr>
        <w:spacing w:after="160" w:line="300"/>
      </w:pPr>
      <w:r>
        <w:rPr>
          <w:rFonts w:ascii="Calibri" w:cs="Calibri" w:eastAsia="Calibri" w:hAnsi="Calibri"/>
          <w:sz w:val="22"/>
          <w:szCs w:val="22"/>
        </w:rPr>
        <w:t xml:space="preserve">Selisih penurunan antar langkah mengecil drastis: dari -11,0 poin (p=10→15) menjadi -3,3 poin (p=15→20) dan -1,6 poin (p=20→25). Pola ini menunjukkan elbow (titik diminishing returns) berada di sekitar p=15–20.</w:t>
      </w:r>
    </w:p>
    <w:p>
      <w:pPr>
        <w:spacing w:after="160" w:line="300"/>
      </w:pPr>
      <w:r>
        <w:rPr>
          <w:rFonts w:ascii="Calibri" w:cs="Calibri" w:eastAsia="Calibri" w:hAnsi="Calibri"/>
          <w:sz w:val="22"/>
          <w:szCs w:val="22"/>
        </w:rPr>
        <w:t xml:space="preserve">Temuan pendukung: nilai jarak_maksimum_km pada p=20 dan p=25 sama persis (6,38 km) — menunjukkan penambahan 5 fasilitas dari p=20 ke p=25 tidak memperbaiki kelurahan yang paling jauh dari SPKLU terdekat sama sekali, hanya menurunkan rata-rata jarak secara marjinal.</w:t>
      </w:r>
    </w:p>
    <w:p>
      <w:pPr>
        <w:pStyle w:val="Heading2"/>
        <w:spacing w:after="120" w:before="240"/>
      </w:pPr>
      <w:r>
        <w:t xml:space="preserve">3.2 Kesimpulan Pemilihan p</w:t>
      </w:r>
    </w:p>
    <w:p>
      <w:pPr>
        <w:spacing w:after="160" w:line="300"/>
      </w:pPr>
      <w:r>
        <w:rPr>
          <w:rFonts w:ascii="Calibri" w:cs="Calibri" w:eastAsia="Calibri" w:hAnsi="Calibri"/>
          <w:b w:val="false"/>
          <w:bCs w:val="false"/>
          <w:sz w:val="22"/>
          <w:szCs w:val="22"/>
        </w:rPr>
        <w:t xml:space="preserve">Berdasarkan analisis elbow dan temuan jarak maksimum, p = 20 dipilih sebagai jumlah SPKLU optimal, dengan pertimbangan:</w:t>
      </w:r>
    </w:p>
    <w:p>
      <w:pPr>
        <w:pStyle w:val="ListParagraph"/>
        <w:numPr>
          <w:ilvl w:val="0"/>
          <w:numId w:val="1"/>
        </w:numPr>
        <w:spacing w:after="80"/>
      </w:pPr>
      <w:r>
        <w:rPr>
          <w:rFonts w:ascii="Calibri" w:cs="Calibri" w:eastAsia="Calibri" w:hAnsi="Calibri"/>
          <w:sz w:val="22"/>
          <w:szCs w:val="22"/>
        </w:rPr>
        <w:t xml:space="preserve">Penurunan objective sudah melandai signifikan pada titik ini (11,6%, turun dari 14,9% sebelumnya).</w:t>
      </w:r>
    </w:p>
    <w:p>
      <w:pPr>
        <w:pStyle w:val="ListParagraph"/>
        <w:numPr>
          <w:ilvl w:val="0"/>
          <w:numId w:val="1"/>
        </w:numPr>
        <w:spacing w:after="80"/>
      </w:pPr>
      <w:r>
        <w:rPr>
          <w:rFonts w:ascii="Calibri" w:cs="Calibri" w:eastAsia="Calibri" w:hAnsi="Calibri"/>
          <w:sz w:val="22"/>
          <w:szCs w:val="22"/>
        </w:rPr>
        <w:t xml:space="preserve">Konsisten dengan hasil eksplorasi sensitivitas p (rentang p=10–25) yang dilakukan sebelumnya.</w:t>
      </w:r>
    </w:p>
    <w:p>
      <w:pPr>
        <w:pStyle w:val="ListParagraph"/>
        <w:numPr>
          <w:ilvl w:val="0"/>
          <w:numId w:val="1"/>
        </w:numPr>
        <w:spacing w:after="80"/>
      </w:pPr>
      <w:r>
        <w:rPr>
          <w:rFonts w:ascii="Calibri" w:cs="Calibri" w:eastAsia="Calibri" w:hAnsi="Calibri"/>
          <w:sz w:val="22"/>
          <w:szCs w:val="22"/>
        </w:rPr>
        <w:t xml:space="preserve">Penambahan fasilitas lebih lanjut (p=25) tidak memberikan perbaikan struktural (jarak maksimum tetap sama), hanya efisiensi marjinal kecil.</w:t>
      </w:r>
    </w:p>
    <w:p>
      <w:pPr>
        <w:pStyle w:val="ListParagraph"/>
        <w:numPr>
          <w:ilvl w:val="0"/>
          <w:numId w:val="1"/>
        </w:numPr>
        <w:spacing w:after="80"/>
      </w:pPr>
      <w:r>
        <w:rPr>
          <w:rFonts w:ascii="Calibri" w:cs="Calibri" w:eastAsia="Calibri" w:hAnsi="Calibri"/>
          <w:sz w:val="22"/>
          <w:szCs w:val="22"/>
        </w:rPr>
        <w:t xml:space="preserve">Keputusan akhir tetap perlu dikonfirmasi terhadap batasan anggaran/lahan riil dari instansi terkait (Dishub/PLN).</w:t>
      </w:r>
    </w:p>
    <w:p>
      <w:pPr>
        <w:pStyle w:val="Heading1"/>
        <w:spacing w:after="160" w:before="320"/>
      </w:pPr>
      <w:r>
        <w:t xml:space="preserve">4. Hasil: 20 Lokasi SPKLU Terpilih (p=20)</w:t>
      </w:r>
    </w:p>
    <w:p>
      <w:pPr>
        <w:spacing w:after="160" w:line="300"/>
      </w:pPr>
      <w:r>
        <w:rPr>
          <w:rFonts w:ascii="Calibri" w:cs="Calibri" w:eastAsia="Calibri" w:hAnsi="Calibri"/>
          <w:sz w:val="22"/>
          <w:szCs w:val="22"/>
        </w:rPr>
        <w:t xml:space="preserve">Berikut adalah 20 lokasi hasil optimasi P-Median untuk p=20, dengan rata-rata jarak berbobot 1,75 km dan jarak maksimum 6,38 km dari titik permintaan ke SPKLU terdekat yang dilayaninya.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5300"/>
        <w:gridCol w:w="2400"/>
      </w:tblGrid>
      <w:tr>
        <w:trPr>
          <w:tblHeader/>
        </w:trPr>
        <w:tc>
          <w:tcPr>
            <w:tcW w:type="dxa" w:w="700"/>
            <w:shd w:fill="185FA5"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No</w:t>
            </w:r>
          </w:p>
        </w:tc>
        <w:tc>
          <w:tcPr>
            <w:tcW w:type="dxa" w:w="1500"/>
            <w:shd w:fill="185FA5"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ID Kandidat</w:t>
            </w:r>
          </w:p>
        </w:tc>
        <w:tc>
          <w:tcPr>
            <w:tcW w:type="dxa" w:w="5300"/>
            <w:shd w:fill="185FA5"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Nama Lokasi</w:t>
            </w:r>
          </w:p>
        </w:tc>
        <w:tc>
          <w:tcPr>
            <w:tcW w:type="dxa" w:w="2400"/>
            <w:shd w:fill="185FA5"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Klaster</w:t>
            </w:r>
          </w:p>
        </w:tc>
      </w:tr>
      <w:tr>
        <w:tc>
          <w:tcPr>
            <w:tcW w:type="dxa" w:w="7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w:t>
            </w:r>
          </w:p>
        </w:tc>
        <w:tc>
          <w:tcPr>
            <w:tcW w:type="dxa" w:w="15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2</w:t>
            </w:r>
          </w:p>
        </w:tc>
        <w:tc>
          <w:tcPr>
            <w:tcW w:type="dxa" w:w="5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Pos Bandung Sumbersari Indah</w:t>
            </w:r>
          </w:p>
        </w:tc>
        <w:tc>
          <w:tcPr>
            <w:tcW w:type="dxa" w:w="24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C_Kantor</w:t>
            </w:r>
          </w:p>
        </w:tc>
      </w:tr>
      <w:tr>
        <w:tc>
          <w:tcPr>
            <w:tcW w:type="dxa" w:w="7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2</w:t>
            </w:r>
          </w:p>
        </w:tc>
        <w:tc>
          <w:tcPr>
            <w:tcW w:type="dxa" w:w="15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4</w:t>
            </w:r>
          </w:p>
        </w:tc>
        <w:tc>
          <w:tcPr>
            <w:tcW w:type="dxa" w:w="5300"/>
            <w:shd w:fill="F7F7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PT Pertamina Bandung</w:t>
            </w:r>
          </w:p>
        </w:tc>
        <w:tc>
          <w:tcPr>
            <w:tcW w:type="dxa" w:w="24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C_Kantor</w:t>
            </w:r>
          </w:p>
        </w:tc>
      </w:tr>
      <w:tr>
        <w:tc>
          <w:tcPr>
            <w:tcW w:type="dxa" w:w="7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3</w:t>
            </w:r>
          </w:p>
        </w:tc>
        <w:tc>
          <w:tcPr>
            <w:tcW w:type="dxa" w:w="15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28</w:t>
            </w:r>
          </w:p>
        </w:tc>
        <w:tc>
          <w:tcPr>
            <w:tcW w:type="dxa" w:w="5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Kantor Kelurahan Karasak</w:t>
            </w:r>
          </w:p>
        </w:tc>
        <w:tc>
          <w:tcPr>
            <w:tcW w:type="dxa" w:w="24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C_Kantor</w:t>
            </w:r>
          </w:p>
        </w:tc>
      </w:tr>
      <w:tr>
        <w:tc>
          <w:tcPr>
            <w:tcW w:type="dxa" w:w="7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4</w:t>
            </w:r>
          </w:p>
        </w:tc>
        <w:tc>
          <w:tcPr>
            <w:tcW w:type="dxa" w:w="15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67</w:t>
            </w:r>
          </w:p>
        </w:tc>
        <w:tc>
          <w:tcPr>
            <w:tcW w:type="dxa" w:w="5300"/>
            <w:shd w:fill="F7F7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Pertamina (SPBU)</w:t>
            </w:r>
          </w:p>
        </w:tc>
        <w:tc>
          <w:tcPr>
            <w:tcW w:type="dxa" w:w="24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A_SPBU</w:t>
            </w:r>
          </w:p>
        </w:tc>
      </w:tr>
      <w:tr>
        <w:tc>
          <w:tcPr>
            <w:tcW w:type="dxa" w:w="7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5</w:t>
            </w:r>
          </w:p>
        </w:tc>
        <w:tc>
          <w:tcPr>
            <w:tcW w:type="dxa" w:w="15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74</w:t>
            </w:r>
          </w:p>
        </w:tc>
        <w:tc>
          <w:tcPr>
            <w:tcW w:type="dxa" w:w="5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Kantor Kecamatan Rancasari</w:t>
            </w:r>
          </w:p>
        </w:tc>
        <w:tc>
          <w:tcPr>
            <w:tcW w:type="dxa" w:w="24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C_Kantor</w:t>
            </w:r>
          </w:p>
        </w:tc>
      </w:tr>
      <w:tr>
        <w:tc>
          <w:tcPr>
            <w:tcW w:type="dxa" w:w="7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6</w:t>
            </w:r>
          </w:p>
        </w:tc>
        <w:tc>
          <w:tcPr>
            <w:tcW w:type="dxa" w:w="15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78</w:t>
            </w:r>
          </w:p>
        </w:tc>
        <w:tc>
          <w:tcPr>
            <w:tcW w:type="dxa" w:w="5300"/>
            <w:shd w:fill="F7F7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Pertamina (SPBU)</w:t>
            </w:r>
          </w:p>
        </w:tc>
        <w:tc>
          <w:tcPr>
            <w:tcW w:type="dxa" w:w="24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A_SPBU</w:t>
            </w:r>
          </w:p>
        </w:tc>
      </w:tr>
      <w:tr>
        <w:tc>
          <w:tcPr>
            <w:tcW w:type="dxa" w:w="7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7</w:t>
            </w:r>
          </w:p>
        </w:tc>
        <w:tc>
          <w:tcPr>
            <w:tcW w:type="dxa" w:w="15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113</w:t>
            </w:r>
          </w:p>
        </w:tc>
        <w:tc>
          <w:tcPr>
            <w:tcW w:type="dxa" w:w="5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Sheraton Bandung Hotel &amp; Towers</w:t>
            </w:r>
          </w:p>
        </w:tc>
        <w:tc>
          <w:tcPr>
            <w:tcW w:type="dxa" w:w="24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D_Hotel</w:t>
            </w:r>
          </w:p>
        </w:tc>
      </w:tr>
      <w:tr>
        <w:tc>
          <w:tcPr>
            <w:tcW w:type="dxa" w:w="7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8</w:t>
            </w:r>
          </w:p>
        </w:tc>
        <w:tc>
          <w:tcPr>
            <w:tcW w:type="dxa" w:w="15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128</w:t>
            </w:r>
          </w:p>
        </w:tc>
        <w:tc>
          <w:tcPr>
            <w:tcW w:type="dxa" w:w="5300"/>
            <w:shd w:fill="F7F7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Kantor Kecamatan Lengkong</w:t>
            </w:r>
          </w:p>
        </w:tc>
        <w:tc>
          <w:tcPr>
            <w:tcW w:type="dxa" w:w="24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C_Kantor</w:t>
            </w:r>
          </w:p>
        </w:tc>
      </w:tr>
      <w:tr>
        <w:tc>
          <w:tcPr>
            <w:tcW w:type="dxa" w:w="7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9</w:t>
            </w:r>
          </w:p>
        </w:tc>
        <w:tc>
          <w:tcPr>
            <w:tcW w:type="dxa" w:w="15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132</w:t>
            </w:r>
          </w:p>
        </w:tc>
        <w:tc>
          <w:tcPr>
            <w:tcW w:type="dxa" w:w="5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Pertamina (SPBU)</w:t>
            </w:r>
          </w:p>
        </w:tc>
        <w:tc>
          <w:tcPr>
            <w:tcW w:type="dxa" w:w="24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A_SPBU</w:t>
            </w:r>
          </w:p>
        </w:tc>
      </w:tr>
      <w:tr>
        <w:tc>
          <w:tcPr>
            <w:tcW w:type="dxa" w:w="7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10</w:t>
            </w:r>
          </w:p>
        </w:tc>
        <w:tc>
          <w:tcPr>
            <w:tcW w:type="dxa" w:w="15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138</w:t>
            </w:r>
          </w:p>
        </w:tc>
        <w:tc>
          <w:tcPr>
            <w:tcW w:type="dxa" w:w="5300"/>
            <w:shd w:fill="F7F7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Pertamina (SPBU)</w:t>
            </w:r>
          </w:p>
        </w:tc>
        <w:tc>
          <w:tcPr>
            <w:tcW w:type="dxa" w:w="24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A_SPBU</w:t>
            </w:r>
          </w:p>
        </w:tc>
      </w:tr>
      <w:tr>
        <w:tc>
          <w:tcPr>
            <w:tcW w:type="dxa" w:w="7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11</w:t>
            </w:r>
          </w:p>
        </w:tc>
        <w:tc>
          <w:tcPr>
            <w:tcW w:type="dxa" w:w="15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139</w:t>
            </w:r>
          </w:p>
        </w:tc>
        <w:tc>
          <w:tcPr>
            <w:tcW w:type="dxa" w:w="5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Living Plaza</w:t>
            </w:r>
          </w:p>
        </w:tc>
        <w:tc>
          <w:tcPr>
            <w:tcW w:type="dxa" w:w="24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B_Mall</w:t>
            </w:r>
          </w:p>
        </w:tc>
      </w:tr>
      <w:tr>
        <w:tc>
          <w:tcPr>
            <w:tcW w:type="dxa" w:w="7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12</w:t>
            </w:r>
          </w:p>
        </w:tc>
        <w:tc>
          <w:tcPr>
            <w:tcW w:type="dxa" w:w="15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142</w:t>
            </w:r>
          </w:p>
        </w:tc>
        <w:tc>
          <w:tcPr>
            <w:tcW w:type="dxa" w:w="5300"/>
            <w:shd w:fill="F7F7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RSAU Dr Salamun</w:t>
            </w:r>
          </w:p>
        </w:tc>
        <w:tc>
          <w:tcPr>
            <w:tcW w:type="dxa" w:w="24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E_RumahSakit</w:t>
            </w:r>
          </w:p>
        </w:tc>
      </w:tr>
      <w:tr>
        <w:tc>
          <w:tcPr>
            <w:tcW w:type="dxa" w:w="7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13</w:t>
            </w:r>
          </w:p>
        </w:tc>
        <w:tc>
          <w:tcPr>
            <w:tcW w:type="dxa" w:w="15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180</w:t>
            </w:r>
          </w:p>
        </w:tc>
        <w:tc>
          <w:tcPr>
            <w:tcW w:type="dxa" w:w="5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RS Rajawali</w:t>
            </w:r>
          </w:p>
        </w:tc>
        <w:tc>
          <w:tcPr>
            <w:tcW w:type="dxa" w:w="24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E_RumahSakit</w:t>
            </w:r>
          </w:p>
        </w:tc>
      </w:tr>
      <w:tr>
        <w:tc>
          <w:tcPr>
            <w:tcW w:type="dxa" w:w="7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14</w:t>
            </w:r>
          </w:p>
        </w:tc>
        <w:tc>
          <w:tcPr>
            <w:tcW w:type="dxa" w:w="15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184</w:t>
            </w:r>
          </w:p>
        </w:tc>
        <w:tc>
          <w:tcPr>
            <w:tcW w:type="dxa" w:w="5300"/>
            <w:shd w:fill="F7F7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Kelurahan Pasanggrahan</w:t>
            </w:r>
          </w:p>
        </w:tc>
        <w:tc>
          <w:tcPr>
            <w:tcW w:type="dxa" w:w="24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C_Kantor</w:t>
            </w:r>
          </w:p>
        </w:tc>
      </w:tr>
      <w:tr>
        <w:tc>
          <w:tcPr>
            <w:tcW w:type="dxa" w:w="7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15</w:t>
            </w:r>
          </w:p>
        </w:tc>
        <w:tc>
          <w:tcPr>
            <w:tcW w:type="dxa" w:w="15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205</w:t>
            </w:r>
          </w:p>
        </w:tc>
        <w:tc>
          <w:tcPr>
            <w:tcW w:type="dxa" w:w="5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PT Permodalan Nasional Madani</w:t>
            </w:r>
          </w:p>
        </w:tc>
        <w:tc>
          <w:tcPr>
            <w:tcW w:type="dxa" w:w="24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C_Kantor</w:t>
            </w:r>
          </w:p>
        </w:tc>
      </w:tr>
      <w:tr>
        <w:tc>
          <w:tcPr>
            <w:tcW w:type="dxa" w:w="7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16</w:t>
            </w:r>
          </w:p>
        </w:tc>
        <w:tc>
          <w:tcPr>
            <w:tcW w:type="dxa" w:w="15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223</w:t>
            </w:r>
          </w:p>
        </w:tc>
        <w:tc>
          <w:tcPr>
            <w:tcW w:type="dxa" w:w="5300"/>
            <w:shd w:fill="F7F7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RSUD Bandung Kiwari</w:t>
            </w:r>
          </w:p>
        </w:tc>
        <w:tc>
          <w:tcPr>
            <w:tcW w:type="dxa" w:w="24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E_RumahSakit</w:t>
            </w:r>
          </w:p>
        </w:tc>
      </w:tr>
      <w:tr>
        <w:tc>
          <w:tcPr>
            <w:tcW w:type="dxa" w:w="7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17</w:t>
            </w:r>
          </w:p>
        </w:tc>
        <w:tc>
          <w:tcPr>
            <w:tcW w:type="dxa" w:w="15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238</w:t>
            </w:r>
          </w:p>
        </w:tc>
        <w:tc>
          <w:tcPr>
            <w:tcW w:type="dxa" w:w="5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Grand Mercure Bandung Setiabudi</w:t>
            </w:r>
          </w:p>
        </w:tc>
        <w:tc>
          <w:tcPr>
            <w:tcW w:type="dxa" w:w="24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D_Hotel</w:t>
            </w:r>
          </w:p>
        </w:tc>
      </w:tr>
      <w:tr>
        <w:tc>
          <w:tcPr>
            <w:tcW w:type="dxa" w:w="7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18</w:t>
            </w:r>
          </w:p>
        </w:tc>
        <w:tc>
          <w:tcPr>
            <w:tcW w:type="dxa" w:w="15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241</w:t>
            </w:r>
          </w:p>
        </w:tc>
        <w:tc>
          <w:tcPr>
            <w:tcW w:type="dxa" w:w="5300"/>
            <w:shd w:fill="F7F7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Gedung Sekretariat</w:t>
            </w:r>
          </w:p>
        </w:tc>
        <w:tc>
          <w:tcPr>
            <w:tcW w:type="dxa" w:w="24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C_Kantor</w:t>
            </w:r>
          </w:p>
        </w:tc>
      </w:tr>
      <w:tr>
        <w:tc>
          <w:tcPr>
            <w:tcW w:type="dxa" w:w="7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19</w:t>
            </w:r>
          </w:p>
        </w:tc>
        <w:tc>
          <w:tcPr>
            <w:tcW w:type="dxa" w:w="15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251</w:t>
            </w:r>
          </w:p>
        </w:tc>
        <w:tc>
          <w:tcPr>
            <w:tcW w:type="dxa" w:w="5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Mall Festival Citylink</w:t>
            </w:r>
          </w:p>
        </w:tc>
        <w:tc>
          <w:tcPr>
            <w:tcW w:type="dxa" w:w="24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B_Mall</w:t>
            </w:r>
          </w:p>
        </w:tc>
      </w:tr>
      <w:tr>
        <w:tc>
          <w:tcPr>
            <w:tcW w:type="dxa" w:w="7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20</w:t>
            </w:r>
          </w:p>
        </w:tc>
        <w:tc>
          <w:tcPr>
            <w:tcW w:type="dxa" w:w="15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254</w:t>
            </w:r>
          </w:p>
        </w:tc>
        <w:tc>
          <w:tcPr>
            <w:tcW w:type="dxa" w:w="5300"/>
            <w:shd w:fill="F7F7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Setrasari Mall</w:t>
            </w:r>
          </w:p>
        </w:tc>
        <w:tc>
          <w:tcPr>
            <w:tcW w:type="dxa" w:w="240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B_Mall</w:t>
            </w:r>
          </w:p>
        </w:tc>
      </w:tr>
    </w:tbl>
    <w:p>
      <w:pPr>
        <w:spacing w:after="240"/>
      </w:pPr>
    </w:p>
    <w:p>
      <w:pPr>
        <w:pStyle w:val="Heading2"/>
        <w:spacing w:after="120" w:before="240"/>
      </w:pPr>
      <w:r>
        <w:t xml:space="preserve">4.1 Distribusi Klaster Lokasi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000"/>
        <w:gridCol w:w="2450"/>
        <w:gridCol w:w="2450"/>
      </w:tblGrid>
      <w:tr>
        <w:trPr>
          <w:tblHeader/>
        </w:trPr>
        <w:tc>
          <w:tcPr>
            <w:tcW w:type="dxa" w:w="5000"/>
            <w:shd w:fill="185FA5"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Klaster</w:t>
            </w:r>
          </w:p>
        </w:tc>
        <w:tc>
          <w:tcPr>
            <w:tcW w:type="dxa" w:w="2450"/>
            <w:shd w:fill="185FA5"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Jumlah</w:t>
            </w:r>
          </w:p>
        </w:tc>
        <w:tc>
          <w:tcPr>
            <w:tcW w:type="dxa" w:w="2450"/>
            <w:shd w:fill="185FA5"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Persentase</w:t>
            </w:r>
          </w:p>
        </w:tc>
      </w:tr>
      <w:tr>
        <w:tc>
          <w:tcPr>
            <w:tcW w:type="dxa" w:w="5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C_Kantor (kantor pemerintahan/BUMN)</w:t>
            </w:r>
          </w:p>
        </w:tc>
        <w:tc>
          <w:tcPr>
            <w:tcW w:type="dxa" w:w="245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8</w:t>
            </w:r>
          </w:p>
        </w:tc>
        <w:tc>
          <w:tcPr>
            <w:tcW w:type="dxa" w:w="245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40%</w:t>
            </w:r>
          </w:p>
        </w:tc>
      </w:tr>
      <w:tr>
        <w:tc>
          <w:tcPr>
            <w:tcW w:type="dxa" w:w="5000"/>
            <w:shd w:fill="F7F7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A_SPBU</w:t>
            </w:r>
          </w:p>
        </w:tc>
        <w:tc>
          <w:tcPr>
            <w:tcW w:type="dxa" w:w="245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4</w:t>
            </w:r>
          </w:p>
        </w:tc>
        <w:tc>
          <w:tcPr>
            <w:tcW w:type="dxa" w:w="245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20%</w:t>
            </w:r>
          </w:p>
        </w:tc>
      </w:tr>
      <w:tr>
        <w:tc>
          <w:tcPr>
            <w:tcW w:type="dxa" w:w="5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B_Mall</w:t>
            </w:r>
          </w:p>
        </w:tc>
        <w:tc>
          <w:tcPr>
            <w:tcW w:type="dxa" w:w="245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3</w:t>
            </w:r>
          </w:p>
        </w:tc>
        <w:tc>
          <w:tcPr>
            <w:tcW w:type="dxa" w:w="245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15%</w:t>
            </w:r>
          </w:p>
        </w:tc>
      </w:tr>
      <w:tr>
        <w:tc>
          <w:tcPr>
            <w:tcW w:type="dxa" w:w="5000"/>
            <w:shd w:fill="F7F7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E_RumahSakit</w:t>
            </w:r>
          </w:p>
        </w:tc>
        <w:tc>
          <w:tcPr>
            <w:tcW w:type="dxa" w:w="245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3</w:t>
            </w:r>
          </w:p>
        </w:tc>
        <w:tc>
          <w:tcPr>
            <w:tcW w:type="dxa" w:w="2450"/>
            <w:shd w:fill="F7F7F5" w:val="clear"/>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15%</w:t>
            </w:r>
          </w:p>
        </w:tc>
      </w:tr>
      <w:tr>
        <w:tc>
          <w:tcPr>
            <w:tcW w:type="dxa" w:w="5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D_Hotel</w:t>
            </w:r>
          </w:p>
        </w:tc>
        <w:tc>
          <w:tcPr>
            <w:tcW w:type="dxa" w:w="245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2</w:t>
            </w:r>
          </w:p>
        </w:tc>
        <w:tc>
          <w:tcPr>
            <w:tcW w:type="dxa" w:w="245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10%</w:t>
            </w:r>
          </w:p>
        </w:tc>
      </w:tr>
    </w:tbl>
    <w:p>
      <w:pPr>
        <w:spacing w:after="240"/>
      </w:pPr>
    </w:p>
    <w:p>
      <w:pPr>
        <w:spacing w:after="160" w:line="300"/>
      </w:pPr>
      <w:r>
        <w:rPr>
          <w:rFonts w:ascii="Calibri" w:cs="Calibri" w:eastAsia="Calibri" w:hAnsi="Calibri"/>
          <w:sz w:val="22"/>
          <w:szCs w:val="22"/>
        </w:rPr>
        <w:t xml:space="preserve">Kantor pemerintahan/BUMN mendominasi pemilihan (40%), kemungkinan karena sebarannya merata secara geografis di seluruh kecamatan dan kemudahan akses lahan. SPBU (20%) logis dipilih karena sudah memiliki infrastruktur kelistrikan dan lahan parkir yang memadai. Distribusi ini tidak menunjukkan konsentrasi berlebihan pada satu jenis lokasi saja.</w:t>
      </w:r>
    </w:p>
    <w:p>
      <w:pPr>
        <w:pStyle w:val="Heading1"/>
        <w:spacing w:after="160" w:before="320"/>
      </w:pPr>
      <w:r>
        <w:t xml:space="preserve">5. Validasi Teknis Pipeline</w:t>
      </w:r>
    </w:p>
    <w:p>
      <w:pPr>
        <w:spacing w:after="160" w:line="300"/>
      </w:pPr>
      <w:r>
        <w:rPr>
          <w:rFonts w:ascii="Calibri" w:cs="Calibri" w:eastAsia="Calibri" w:hAnsi="Calibri"/>
          <w:sz w:val="22"/>
          <w:szCs w:val="22"/>
        </w:rPr>
        <w:t xml:space="preserve">Seluruh tahapan pipeline data hingga optimasi telah melalui pemeriksaan integritas berikut, dan seluruhnya lolos: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500"/>
        <w:gridCol w:w="4400"/>
      </w:tblGrid>
      <w:tr>
        <w:trPr>
          <w:tblHeader/>
        </w:trPr>
        <w:tc>
          <w:tcPr>
            <w:tcW w:type="dxa" w:w="5500"/>
            <w:shd w:fill="185FA5"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Pemeriksaan</w:t>
            </w:r>
          </w:p>
        </w:tc>
        <w:tc>
          <w:tcPr>
            <w:tcW w:type="dxa" w:w="4400"/>
            <w:shd w:fill="185FA5"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Hasil</w:t>
            </w:r>
          </w:p>
        </w:tc>
      </w:tr>
      <w:tr>
        <w:tc>
          <w:tcPr>
            <w:tcW w:type="dxa" w:w="5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Jumlah demand Himpunan I</w:t>
            </w:r>
          </w:p>
        </w:tc>
        <w:tc>
          <w:tcPr>
            <w:tcW w:type="dxa" w:w="4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151 kelurahan (lengkap)</w:t>
            </w:r>
          </w:p>
        </w:tc>
      </w:tr>
      <w:tr>
        <w:tc>
          <w:tcPr>
            <w:tcW w:type="dxa" w:w="5500"/>
            <w:shd w:fill="F7F7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Total estimasi penduduk usia 25-60</w:t>
            </w:r>
          </w:p>
        </w:tc>
        <w:tc>
          <w:tcPr>
            <w:tcW w:type="dxa" w:w="4400"/>
            <w:shd w:fill="F7F7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1.316.144,2 jiwa</w:t>
            </w:r>
          </w:p>
        </w:tc>
      </w:tr>
      <w:tr>
        <w:tc>
          <w:tcPr>
            <w:tcW w:type="dxa" w:w="5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Total bobot EV Himpunan I</w:t>
            </w:r>
          </w:p>
        </w:tc>
        <w:tc>
          <w:tcPr>
            <w:tcW w:type="dxa" w:w="4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7.136,000 EV (sama persis dgn data SAMSAT)</w:t>
            </w:r>
          </w:p>
        </w:tc>
      </w:tr>
      <w:tr>
        <w:tc>
          <w:tcPr>
            <w:tcW w:type="dxa" w:w="5500"/>
            <w:shd w:fill="F7F7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Jumlah kandidat Himpunan J unik</w:t>
            </w:r>
          </w:p>
        </w:tc>
        <w:tc>
          <w:tcPr>
            <w:tcW w:type="dxa" w:w="4400"/>
            <w:shd w:fill="F7F7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272 (dari 282 awal, 10 dihapus krn snap ke node sama)</w:t>
            </w:r>
          </w:p>
        </w:tc>
      </w:tr>
      <w:tr>
        <w:tc>
          <w:tcPr>
            <w:tcW w:type="dxa" w:w="5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Pasangan jarak tidak berhingga (inf)</w:t>
            </w:r>
          </w:p>
        </w:tc>
        <w:tc>
          <w:tcPr>
            <w:tcW w:type="dxa" w:w="4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0</w:t>
            </w:r>
          </w:p>
        </w:tc>
      </w:tr>
      <w:tr>
        <w:tc>
          <w:tcPr>
            <w:tcW w:type="dxa" w:w="5500"/>
            <w:shd w:fill="F7F7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Status solver seluruh skenario (p=5,10,15,20,25)</w:t>
            </w:r>
          </w:p>
        </w:tc>
        <w:tc>
          <w:tcPr>
            <w:tcW w:type="dxa" w:w="4400"/>
            <w:shd w:fill="F7F7F5" w:val="clear"/>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Optimal (bukan timeout/infeasible)</w:t>
            </w:r>
          </w:p>
        </w:tc>
      </w:tr>
      <w:tr>
        <w:tc>
          <w:tcPr>
            <w:tcW w:type="dxa" w:w="5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Jumlah lokasi terpilih p=20</w:t>
            </w:r>
          </w:p>
        </w:tc>
        <w:tc>
          <w:tcPr>
            <w:tcW w:type="dxa" w:w="4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Tepat 20 (sesuai target)</w:t>
            </w:r>
          </w:p>
        </w:tc>
      </w:tr>
    </w:tbl>
    <w:p>
      <w:pPr>
        <w:spacing w:after="240"/>
      </w:pPr>
    </w:p>
    <w:p>
      <w:pPr>
        <w:pStyle w:val="Heading1"/>
        <w:spacing w:after="160" w:before="320"/>
      </w:pPr>
      <w:r>
        <w:t xml:space="preserve">6. Kesimpulan dan Rekomendasi Tindak Lanjut</w:t>
      </w:r>
    </w:p>
    <w:p>
      <w:pPr>
        <w:spacing w:after="160" w:line="300"/>
      </w:pPr>
      <w:r>
        <w:rPr>
          <w:rFonts w:ascii="Calibri" w:cs="Calibri" w:eastAsia="Calibri" w:hAnsi="Calibri"/>
          <w:sz w:val="22"/>
          <w:szCs w:val="22"/>
        </w:rPr>
        <w:t xml:space="preserve">Model P-Median dengan p=20 memberikan rekomendasi lokasi SPKLU yang optimal secara matematis berdasarkan estimasi demand kendaraan listrik roda empat di Kota Bandung. Namun demikian, sebelum implementasi, beberapa langkah tindak lanjut direkomendasikan:</w:t>
      </w:r>
    </w:p>
    <w:p>
      <w:pPr>
        <w:pStyle w:val="ListParagraph"/>
        <w:numPr>
          <w:ilvl w:val="0"/>
          <w:numId w:val="1"/>
        </w:numPr>
        <w:spacing w:after="80"/>
      </w:pPr>
      <w:r>
        <w:rPr>
          <w:rFonts w:ascii="Calibri" w:cs="Calibri" w:eastAsia="Calibri" w:hAnsi="Calibri"/>
          <w:sz w:val="22"/>
          <w:szCs w:val="22"/>
        </w:rPr>
        <w:t xml:space="preserve">Konfirmasi jumlah p=20 kepada pihak instansi terkait (Dishub/PLN), mengingat batasan anggaran atau target jumlah SPKLU riil dapat berbeda dari hasil optimasi matematis.</w:t>
      </w:r>
    </w:p>
    <w:p>
      <w:pPr>
        <w:pStyle w:val="ListParagraph"/>
        <w:numPr>
          <w:ilvl w:val="0"/>
          <w:numId w:val="1"/>
        </w:numPr>
        <w:spacing w:after="80"/>
      </w:pPr>
      <w:r>
        <w:rPr>
          <w:rFonts w:ascii="Calibri" w:cs="Calibri" w:eastAsia="Calibri" w:hAnsi="Calibri"/>
          <w:sz w:val="22"/>
          <w:szCs w:val="22"/>
        </w:rPr>
        <w:t xml:space="preserve">Verifikasi lapangan terhadap 20 lokasi terpilih: ketersediaan lahan parkir, kapasitas daya listrik, dan perizinan pemilik lahan.</w:t>
      </w:r>
    </w:p>
    <w:p>
      <w:pPr>
        <w:pStyle w:val="ListParagraph"/>
        <w:numPr>
          <w:ilvl w:val="0"/>
          <w:numId w:val="1"/>
        </w:numPr>
        <w:spacing w:after="80"/>
      </w:pPr>
      <w:r>
        <w:rPr>
          <w:rFonts w:ascii="Calibri" w:cs="Calibri" w:eastAsia="Calibri" w:hAnsi="Calibri"/>
          <w:sz w:val="22"/>
          <w:szCs w:val="22"/>
        </w:rPr>
        <w:t xml:space="preserve">Pertimbangan tambahan di luar model: potensi pertumbuhan populasi EV di masa depan, serta prioritas pembangunan berdasarkan kebijakan pemerintah kota.</w:t>
      </w:r>
    </w:p>
    <w:p>
      <w:pPr>
        <w:spacing w:before="400"/>
      </w:pPr>
    </w:p>
    <w:p>
      <w:pPr>
        <w:spacing w:after="160" w:line="300"/>
      </w:pPr>
      <w:r>
        <w:rPr>
          <w:rFonts w:ascii="Calibri" w:cs="Calibri" w:eastAsia="Calibri" w:hAnsi="Calibri"/>
          <w:i/>
          <w:iCs/>
          <w:color w:val="5F5E5A"/>
          <w:sz w:val="18"/>
          <w:szCs w:val="18"/>
        </w:rPr>
        <w:t xml:space="preserve">Dokumen ini disusun berdasarkan notebook 04_pmedian_spklu_lengkap_usia_25_60.ipynb.</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5E5A"/>
        <w:sz w:val="16"/>
        <w:szCs w:val="16"/>
      </w:rPr>
      <w:t xml:space="preserve">Halaman </w:t>
    </w:r>
    <w:r>
      <w:rPr>
        <w:rFonts w:ascii="Calibri" w:cs="Calibri" w:eastAsia="Calibri" w:hAnsi="Calibri"/>
        <w:color w:val="5F5E5A"/>
        <w:sz w:val="16"/>
        <w:szCs w:val="16"/>
      </w:rPr>
      <w:fldChar w:fldCharType="begin"/>
      <w:instrText xml:space="preserve">PAGE</w:instrText>
      <w:fldChar w:fldCharType="separate"/>
      <w:fldChar w:fldCharType="end"/>
    </w:r>
    <w:r>
      <w:rPr>
        <w:rFonts w:ascii="Calibri" w:cs="Calibri" w:eastAsia="Calibri" w:hAnsi="Calibri"/>
        <w:color w:val="5F5E5A"/>
        <w:sz w:val="16"/>
        <w:szCs w:val="16"/>
      </w:rPr>
      <w:t xml:space="preserve"> dari </w:t>
    </w:r>
    <w:r>
      <w:rPr>
        <w:rFonts w:ascii="Calibri" w:cs="Calibri" w:eastAsia="Calibri" w:hAnsi="Calibri"/>
        <w:color w:val="5F5E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F5E5A"/>
        <w:sz w:val="16"/>
        <w:szCs w:val="16"/>
      </w:rPr>
      <w:t xml:space="preserve">Optimasi Lokasi SPKLU Kota Bandung — P-Median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2026-08-15T13:47:55.140Z</dcterms:created>
  <dcterms:modified xsi:type="dcterms:W3CDTF">2026-08-15T13:47:55.140Z</dcterms:modified>
</cp:coreProperties>
</file>

<file path=docProps/custom.xml><?xml version="1.0" encoding="utf-8"?>
<Properties xmlns="http://schemas.openxmlformats.org/officeDocument/2006/custom-properties" xmlns:vt="http://schemas.openxmlformats.org/officeDocument/2006/docPropsVTypes"/>
</file>