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Emergence</w:t>
      </w:r>
      <w:r>
        <w:t xml:space="preserve"> </w:t>
      </w:r>
      <w:r>
        <w:t xml:space="preserve">of</w:t>
      </w:r>
      <w:r>
        <w:t xml:space="preserve"> </w:t>
      </w:r>
      <w:r>
        <w:t xml:space="preserve">Culturally</w:t>
      </w:r>
      <w:r>
        <w:t xml:space="preserve"> </w:t>
      </w:r>
      <w:r>
        <w:t xml:space="preserve">Constructed</w:t>
      </w:r>
      <w:r>
        <w:t xml:space="preserve"> </w:t>
      </w:r>
      <w:r>
        <w:t xml:space="preserve">Landscapes</w:t>
      </w:r>
    </w:p>
    <w:p>
      <w:pPr>
        <w:pStyle w:val="Abstract"/>
      </w:pPr>
      <w:r>
        <w:t xml:space="preserve">Primates</w:t>
      </w:r>
      <w:r>
        <w:t xml:space="preserve"> </w:t>
      </w:r>
      <w:r>
        <w:t xml:space="preserve">and</w:t>
      </w:r>
      <w:r>
        <w:t xml:space="preserve"> </w:t>
      </w:r>
      <w:r>
        <w:t xml:space="preserve">humans</w:t>
      </w:r>
      <w:r>
        <w:t xml:space="preserve"> </w:t>
      </w:r>
      <w:r>
        <w:t xml:space="preserve">represent</w:t>
      </w:r>
      <w:r>
        <w:t xml:space="preserve"> </w:t>
      </w:r>
      <w:r>
        <w:t xml:space="preserve">two</w:t>
      </w:r>
      <w:r>
        <w:t xml:space="preserve"> </w:t>
      </w:r>
      <w:r>
        <w:t xml:space="preserve">end</w:t>
      </w:r>
      <w:r>
        <w:t xml:space="preserve"> </w:t>
      </w:r>
      <w:r>
        <w:t xml:space="preserve">members</w:t>
      </w:r>
      <w:r>
        <w:t xml:space="preserve"> </w:t>
      </w:r>
      <w:r>
        <w:t xml:space="preserve">on</w:t>
      </w:r>
      <w:r>
        <w:t xml:space="preserve"> </w:t>
      </w:r>
      <w:r>
        <w:t xml:space="preserve">the</w:t>
      </w:r>
      <w:r>
        <w:t xml:space="preserve"> </w:t>
      </w:r>
      <w:r>
        <w:t xml:space="preserve">spectrum</w:t>
      </w:r>
      <w:r>
        <w:t xml:space="preserve"> </w:t>
      </w:r>
      <w:r>
        <w:t xml:space="preserve">of</w:t>
      </w:r>
      <w:r>
        <w:t xml:space="preserve"> </w:t>
      </w:r>
      <w:r>
        <w:t xml:space="preserve">tool</w:t>
      </w:r>
      <w:r>
        <w:t xml:space="preserve"> </w:t>
      </w:r>
      <w:r>
        <w:t xml:space="preserve">using</w:t>
      </w:r>
      <w:r>
        <w:t xml:space="preserve"> </w:t>
      </w:r>
      <w:r>
        <w:t xml:space="preserve">behaviors.</w:t>
      </w:r>
      <w:r>
        <w:t xml:space="preserve"> </w:t>
      </w:r>
      <w:r>
        <w:t xml:space="preserve">On</w:t>
      </w:r>
      <w:r>
        <w:t xml:space="preserve"> </w:t>
      </w:r>
      <w:r>
        <w:t xml:space="preserve">the</w:t>
      </w:r>
      <w:r>
        <w:t xml:space="preserve"> </w:t>
      </w:r>
      <w:r>
        <w:t xml:space="preserve">primate</w:t>
      </w:r>
      <w:r>
        <w:t xml:space="preserve"> </w:t>
      </w:r>
      <w:r>
        <w:t xml:space="preserve">side,</w:t>
      </w:r>
      <w:r>
        <w:t xml:space="preserve"> </w:t>
      </w:r>
      <w:r>
        <w:t xml:space="preserve">while</w:t>
      </w:r>
      <w:r>
        <w:t xml:space="preserve"> </w:t>
      </w:r>
      <w:r>
        <w:t xml:space="preserve">tool</w:t>
      </w:r>
      <w:r>
        <w:t xml:space="preserve"> </w:t>
      </w:r>
      <w:r>
        <w:t xml:space="preserve">use</w:t>
      </w:r>
      <w:r>
        <w:t xml:space="preserve"> </w:t>
      </w:r>
      <w:r>
        <w:t xml:space="preserve">provides</w:t>
      </w:r>
      <w:r>
        <w:t xml:space="preserve"> </w:t>
      </w:r>
      <w:r>
        <w:t xml:space="preserve">access</w:t>
      </w:r>
      <w:r>
        <w:t xml:space="preserve"> </w:t>
      </w:r>
      <w:r>
        <w:t xml:space="preserve">to</w:t>
      </w:r>
      <w:r>
        <w:t xml:space="preserve"> </w:t>
      </w:r>
      <w:r>
        <w:t xml:space="preserve">otherwise</w:t>
      </w:r>
      <w:r>
        <w:t xml:space="preserve"> </w:t>
      </w:r>
      <w:r>
        <w:t xml:space="preserve">inaccessible</w:t>
      </w:r>
      <w:r>
        <w:t xml:space="preserve"> </w:t>
      </w:r>
      <w:r>
        <w:t xml:space="preserve">resources,</w:t>
      </w:r>
      <w:r>
        <w:t xml:space="preserve"> </w:t>
      </w:r>
      <w:r>
        <w:t xml:space="preserve">opportunities</w:t>
      </w:r>
      <w:r>
        <w:t xml:space="preserve"> </w:t>
      </w:r>
      <w:r>
        <w:t xml:space="preserve">for</w:t>
      </w:r>
      <w:r>
        <w:t xml:space="preserve"> </w:t>
      </w:r>
      <w:r>
        <w:t xml:space="preserve">it</w:t>
      </w:r>
      <w:r>
        <w:t xml:space="preserve"> </w:t>
      </w:r>
      <w:r>
        <w:t xml:space="preserve">are</w:t>
      </w:r>
      <w:r>
        <w:t xml:space="preserve"> </w:t>
      </w:r>
      <w:r>
        <w:t xml:space="preserve">largely</w:t>
      </w:r>
      <w:r>
        <w:t xml:space="preserve"> </w:t>
      </w:r>
      <w:r>
        <w:t xml:space="preserve">constrained</w:t>
      </w:r>
      <w:r>
        <w:t xml:space="preserve"> </w:t>
      </w:r>
      <w:r>
        <w:t xml:space="preserve">by</w:t>
      </w:r>
      <w:r>
        <w:t xml:space="preserve"> </w:t>
      </w:r>
      <w:r>
        <w:t xml:space="preserve">the</w:t>
      </w:r>
      <w:r>
        <w:t xml:space="preserve"> </w:t>
      </w:r>
      <w:r>
        <w:t xml:space="preserve">distribution</w:t>
      </w:r>
      <w:r>
        <w:t xml:space="preserve"> </w:t>
      </w:r>
      <w:r>
        <w:t xml:space="preserve">of</w:t>
      </w:r>
      <w:r>
        <w:t xml:space="preserve"> </w:t>
      </w:r>
      <w:r>
        <w:t xml:space="preserve">resources</w:t>
      </w:r>
      <w:r>
        <w:t xml:space="preserve"> </w:t>
      </w:r>
      <w:r>
        <w:t xml:space="preserve">and</w:t>
      </w:r>
      <w:r>
        <w:t xml:space="preserve"> </w:t>
      </w:r>
      <w:r>
        <w:t xml:space="preserve">tool</w:t>
      </w:r>
      <w:r>
        <w:t xml:space="preserve"> </w:t>
      </w:r>
      <w:r>
        <w:t xml:space="preserve">materials.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tool</w:t>
      </w:r>
      <w:r>
        <w:t xml:space="preserve"> </w:t>
      </w:r>
      <w:r>
        <w:t xml:space="preserve">use</w:t>
      </w:r>
      <w:r>
        <w:t xml:space="preserve"> </w:t>
      </w:r>
      <w:r>
        <w:t xml:space="preserve">among</w:t>
      </w:r>
      <w:r>
        <w:t xml:space="preserve"> </w:t>
      </w:r>
      <w:r>
        <w:t xml:space="preserve">humans</w:t>
      </w:r>
      <w:r>
        <w:t xml:space="preserve"> </w:t>
      </w:r>
      <w:r>
        <w:t xml:space="preserve">represents</w:t>
      </w:r>
      <w:r>
        <w:t xml:space="preserve"> </w:t>
      </w:r>
      <w:r>
        <w:t xml:space="preserve">the</w:t>
      </w:r>
      <w:r>
        <w:t xml:space="preserve"> </w:t>
      </w:r>
      <w:r>
        <w:t xml:space="preserve">access</w:t>
      </w:r>
      <w:r>
        <w:t xml:space="preserve"> </w:t>
      </w:r>
      <w:r>
        <w:t xml:space="preserve">to</w:t>
      </w:r>
      <w:r>
        <w:t xml:space="preserve"> </w:t>
      </w:r>
      <w:r>
        <w:t xml:space="preserve">novel</w:t>
      </w:r>
      <w:r>
        <w:t xml:space="preserve"> </w:t>
      </w:r>
      <w:r>
        <w:t xml:space="preserve">resources</w:t>
      </w:r>
      <w:r>
        <w:t xml:space="preserve"> </w:t>
      </w:r>
      <w:r>
        <w:t xml:space="preserve">but</w:t>
      </w:r>
      <w:r>
        <w:t xml:space="preserve"> </w:t>
      </w:r>
      <w:r>
        <w:t xml:space="preserve">a</w:t>
      </w:r>
      <w:r>
        <w:t xml:space="preserve"> </w:t>
      </w:r>
      <w:r>
        <w:t xml:space="preserve">capacity</w:t>
      </w:r>
      <w:r>
        <w:t xml:space="preserve"> </w:t>
      </w:r>
      <w:r>
        <w:t xml:space="preserve">to</w:t>
      </w:r>
      <w:r>
        <w:t xml:space="preserve"> </w:t>
      </w:r>
      <w:r>
        <w:t xml:space="preserve">advantageously</w:t>
      </w:r>
      <w:r>
        <w:t xml:space="preserve"> </w:t>
      </w:r>
      <w:r>
        <w:t xml:space="preserve">modify</w:t>
      </w:r>
      <w:r>
        <w:t xml:space="preserve"> </w:t>
      </w:r>
      <w:r>
        <w:t xml:space="preserve">the</w:t>
      </w:r>
      <w:r>
        <w:t xml:space="preserve"> </w:t>
      </w:r>
      <w:r>
        <w:t xml:space="preserve">surrounding</w:t>
      </w:r>
      <w:r>
        <w:t xml:space="preserve"> </w:t>
      </w:r>
      <w:r>
        <w:t xml:space="preserve">environment</w:t>
      </w:r>
      <w:r>
        <w:t xml:space="preserve"> </w:t>
      </w:r>
      <w:r>
        <w:t xml:space="preserve">on</w:t>
      </w:r>
      <w:r>
        <w:t xml:space="preserve"> </w:t>
      </w:r>
      <w:r>
        <w:t xml:space="preserve">an</w:t>
      </w:r>
      <w:r>
        <w:t xml:space="preserve"> </w:t>
      </w:r>
      <w:r>
        <w:t xml:space="preserve">unprecedented</w:t>
      </w:r>
      <w:r>
        <w:t xml:space="preserve"> </w:t>
      </w:r>
      <w:r>
        <w:t xml:space="preserve">scale.</w:t>
      </w:r>
      <w:r>
        <w:t xml:space="preserve"> </w:t>
      </w:r>
      <w:r>
        <w:t xml:space="preserve">Despite</w:t>
      </w:r>
      <w:r>
        <w:t xml:space="preserve"> </w:t>
      </w:r>
      <w:r>
        <w:t xml:space="preserve">the</w:t>
      </w:r>
      <w:r>
        <w:t xml:space="preserve"> </w:t>
      </w:r>
      <w:r>
        <w:t xml:space="preserve">assumed</w:t>
      </w:r>
      <w:r>
        <w:t xml:space="preserve"> </w:t>
      </w:r>
      <w:r>
        <w:t xml:space="preserve">role</w:t>
      </w:r>
      <w:r>
        <w:t xml:space="preserve"> </w:t>
      </w:r>
      <w:r>
        <w:t xml:space="preserve">of</w:t>
      </w:r>
      <w:r>
        <w:t xml:space="preserve"> </w:t>
      </w:r>
      <w:r>
        <w:t xml:space="preserve">tools</w:t>
      </w:r>
      <w:r>
        <w:t xml:space="preserve"> </w:t>
      </w:r>
      <w:r>
        <w:t xml:space="preserve">in</w:t>
      </w:r>
      <w:r>
        <w:t xml:space="preserve"> </w:t>
      </w:r>
      <w:r>
        <w:t xml:space="preserve">shaping</w:t>
      </w:r>
      <w:r>
        <w:t xml:space="preserve"> </w:t>
      </w:r>
      <w:r>
        <w:t xml:space="preserve">the</w:t>
      </w:r>
      <w:r>
        <w:t xml:space="preserve"> </w:t>
      </w:r>
      <w:r>
        <w:t xml:space="preserve">evolutionary</w:t>
      </w:r>
      <w:r>
        <w:t xml:space="preserve"> </w:t>
      </w:r>
      <w:r>
        <w:t xml:space="preserve">trajectory</w:t>
      </w:r>
      <w:r>
        <w:t xml:space="preserve"> </w:t>
      </w:r>
      <w:r>
        <w:t xml:space="preserve">of</w:t>
      </w:r>
      <w:r>
        <w:t xml:space="preserve"> </w:t>
      </w:r>
      <w:r>
        <w:t xml:space="preserve">the</w:t>
      </w:r>
      <w:r>
        <w:t xml:space="preserve"> </w:t>
      </w:r>
      <w:r>
        <w:t xml:space="preserve">hominin</w:t>
      </w:r>
      <w:r>
        <w:t xml:space="preserve"> </w:t>
      </w:r>
      <w:r>
        <w:t xml:space="preserve">clade,</w:t>
      </w:r>
      <w:r>
        <w:t xml:space="preserve"> </w:t>
      </w:r>
      <w:r>
        <w:t xml:space="preserve">how</w:t>
      </w:r>
      <w:r>
        <w:t xml:space="preserve"> </w:t>
      </w:r>
      <w:r>
        <w:t xml:space="preserve">the</w:t>
      </w:r>
      <w:r>
        <w:t xml:space="preserve"> </w:t>
      </w:r>
      <w:r>
        <w:t xml:space="preserve">comparatively</w:t>
      </w:r>
      <w:r>
        <w:t xml:space="preserve"> </w:t>
      </w:r>
      <w:r>
        <w:t xml:space="preserve">simple</w:t>
      </w:r>
      <w:r>
        <w:t xml:space="preserve"> </w:t>
      </w:r>
      <w:r>
        <w:t xml:space="preserve">tool</w:t>
      </w:r>
      <w:r>
        <w:t xml:space="preserve"> </w:t>
      </w:r>
      <w:r>
        <w:t xml:space="preserve">using</w:t>
      </w:r>
      <w:r>
        <w:t xml:space="preserve"> </w:t>
      </w:r>
      <w:r>
        <w:t xml:space="preserve">behaviors</w:t>
      </w:r>
      <w:r>
        <w:t xml:space="preserve"> </w:t>
      </w:r>
      <w:r>
        <w:t xml:space="preserve">observed</w:t>
      </w:r>
      <w:r>
        <w:t xml:space="preserve"> </w:t>
      </w:r>
      <w:r>
        <w:t xml:space="preserve">in</w:t>
      </w:r>
      <w:r>
        <w:t xml:space="preserve"> </w:t>
      </w:r>
      <w:r>
        <w:t xml:space="preserve">non-human</w:t>
      </w:r>
      <w:r>
        <w:t xml:space="preserve"> </w:t>
      </w:r>
      <w:r>
        <w:t xml:space="preserve">primates</w:t>
      </w:r>
      <w:r>
        <w:t xml:space="preserve"> </w:t>
      </w:r>
      <w:r>
        <w:t xml:space="preserve">became</w:t>
      </w:r>
      <w:r>
        <w:t xml:space="preserve"> </w:t>
      </w:r>
      <w:r>
        <w:t xml:space="preserve">such</w:t>
      </w:r>
      <w:r>
        <w:t xml:space="preserve"> </w:t>
      </w:r>
      <w:r>
        <w:t xml:space="preserve">a</w:t>
      </w:r>
      <w:r>
        <w:t xml:space="preserve"> </w:t>
      </w:r>
      <w:r>
        <w:t xml:space="preserve">transformative</w:t>
      </w:r>
      <w:r>
        <w:t xml:space="preserve"> </w:t>
      </w:r>
      <w:r>
        <w:t xml:space="preserve">trait</w:t>
      </w:r>
      <w:r>
        <w:t xml:space="preserve"> </w:t>
      </w:r>
      <w:r>
        <w:t xml:space="preserve">in</w:t>
      </w:r>
      <w:r>
        <w:t xml:space="preserve"> </w:t>
      </w:r>
      <w:r>
        <w:t xml:space="preserve">humans</w:t>
      </w:r>
      <w:r>
        <w:t xml:space="preserve"> </w:t>
      </w:r>
      <w:r>
        <w:t xml:space="preserve">remains</w:t>
      </w:r>
      <w:r>
        <w:t xml:space="preserve"> </w:t>
      </w:r>
      <w:r>
        <w:t xml:space="preserve">unclear.</w:t>
      </w:r>
      <w:r>
        <w:t xml:space="preserve"> </w:t>
      </w:r>
      <w:r>
        <w:t xml:space="preserve">While</w:t>
      </w:r>
      <w:r>
        <w:t xml:space="preserve"> </w:t>
      </w:r>
      <w:r>
        <w:t xml:space="preserve">behavioral</w:t>
      </w:r>
      <w:r>
        <w:t xml:space="preserve"> </w:t>
      </w:r>
      <w:r>
        <w:t xml:space="preserve">ecological</w:t>
      </w:r>
      <w:r>
        <w:t xml:space="preserve"> </w:t>
      </w:r>
      <w:r>
        <w:t xml:space="preserve">studies</w:t>
      </w:r>
      <w:r>
        <w:t xml:space="preserve"> </w:t>
      </w:r>
      <w:r>
        <w:t xml:space="preserve">of</w:t>
      </w:r>
      <w:r>
        <w:t xml:space="preserve"> </w:t>
      </w:r>
      <w:r>
        <w:t xml:space="preserve">chimpanzee</w:t>
      </w:r>
      <w:r>
        <w:t xml:space="preserve"> </w:t>
      </w:r>
      <w:r>
        <w:t xml:space="preserve">tool</w:t>
      </w:r>
      <w:r>
        <w:t xml:space="preserve"> </w:t>
      </w:r>
      <w:r>
        <w:t xml:space="preserve">use</w:t>
      </w:r>
      <w:r>
        <w:t xml:space="preserve"> </w:t>
      </w:r>
      <w:r>
        <w:t xml:space="preserve">provide</w:t>
      </w:r>
      <w:r>
        <w:t xml:space="preserve"> </w:t>
      </w:r>
      <w:r>
        <w:t xml:space="preserve">a</w:t>
      </w:r>
      <w:r>
        <w:t xml:space="preserve"> </w:t>
      </w:r>
      <w:r>
        <w:t xml:space="preserve">window</w:t>
      </w:r>
      <w:r>
        <w:t xml:space="preserve"> </w:t>
      </w:r>
      <w:r>
        <w:t xml:space="preserve">of</w:t>
      </w:r>
      <w:r>
        <w:t xml:space="preserve"> </w:t>
      </w:r>
      <w:r>
        <w:t xml:space="preserve">insight</w:t>
      </w:r>
      <w:r>
        <w:t xml:space="preserve"> </w:t>
      </w:r>
      <w:r>
        <w:t xml:space="preserve">into</w:t>
      </w:r>
      <w:r>
        <w:t xml:space="preserve"> </w:t>
      </w:r>
      <w:r>
        <w:t xml:space="preserve">the</w:t>
      </w:r>
      <w:r>
        <w:t xml:space="preserve"> </w:t>
      </w:r>
      <w:r>
        <w:t xml:space="preserve">root</w:t>
      </w:r>
      <w:r>
        <w:t xml:space="preserve"> </w:t>
      </w:r>
      <w:r>
        <w:t xml:space="preserve">of</w:t>
      </w:r>
      <w:r>
        <w:t xml:space="preserve"> </w:t>
      </w:r>
      <w:r>
        <w:t xml:space="preserve">tool</w:t>
      </w:r>
      <w:r>
        <w:t xml:space="preserve"> </w:t>
      </w:r>
      <w:r>
        <w:t xml:space="preserve">use</w:t>
      </w:r>
      <w:r>
        <w:t xml:space="preserve"> </w:t>
      </w:r>
      <w:r>
        <w:t xml:space="preserve">in</w:t>
      </w:r>
      <w:r>
        <w:t xml:space="preserve"> </w:t>
      </w:r>
      <w:r>
        <w:t xml:space="preserve">the</w:t>
      </w:r>
      <w:r>
        <w:t xml:space="preserve"> </w:t>
      </w:r>
      <w:r>
        <w:t xml:space="preserve">hominin</w:t>
      </w:r>
      <w:r>
        <w:t xml:space="preserve"> </w:t>
      </w:r>
      <w:r>
        <w:t xml:space="preserve">lineage,</w:t>
      </w:r>
      <w:r>
        <w:t xml:space="preserve"> </w:t>
      </w:r>
      <w:r>
        <w:t xml:space="preserve">placing</w:t>
      </w:r>
      <w:r>
        <w:t xml:space="preserve"> </w:t>
      </w:r>
      <w:r>
        <w:t xml:space="preserve">these</w:t>
      </w:r>
      <w:r>
        <w:t xml:space="preserve"> </w:t>
      </w:r>
      <w:r>
        <w:t xml:space="preserve">behaviors</w:t>
      </w:r>
      <w:r>
        <w:t xml:space="preserve"> </w:t>
      </w:r>
      <w:r>
        <w:t xml:space="preserve">within</w:t>
      </w:r>
      <w:r>
        <w:t xml:space="preserve"> </w:t>
      </w:r>
      <w:r>
        <w:t xml:space="preserve">a</w:t>
      </w:r>
      <w:r>
        <w:t xml:space="preserve"> </w:t>
      </w:r>
      <w:r>
        <w:t xml:space="preserve">broader</w:t>
      </w:r>
      <w:r>
        <w:t xml:space="preserve"> </w:t>
      </w:r>
      <w:r>
        <w:t xml:space="preserve">evolutionary</w:t>
      </w:r>
      <w:r>
        <w:t xml:space="preserve"> </w:t>
      </w:r>
      <w:r>
        <w:t xml:space="preserve">context</w:t>
      </w:r>
      <w:r>
        <w:t xml:space="preserve"> </w:t>
      </w:r>
      <w:r>
        <w:t xml:space="preserve">requires</w:t>
      </w:r>
      <w:r>
        <w:t xml:space="preserve"> </w:t>
      </w:r>
      <w:r>
        <w:t xml:space="preserve">both</w:t>
      </w:r>
      <w:r>
        <w:t xml:space="preserve"> </w:t>
      </w:r>
      <w:r>
        <w:t xml:space="preserve">linking</w:t>
      </w:r>
      <w:r>
        <w:t xml:space="preserve"> </w:t>
      </w:r>
      <w:r>
        <w:t xml:space="preserve">these</w:t>
      </w:r>
      <w:r>
        <w:t xml:space="preserve"> </w:t>
      </w:r>
      <w:r>
        <w:t xml:space="preserve">small</w:t>
      </w:r>
      <w:r>
        <w:t xml:space="preserve"> </w:t>
      </w:r>
      <w:r>
        <w:t xml:space="preserve">scale</w:t>
      </w:r>
      <w:r>
        <w:t xml:space="preserve"> </w:t>
      </w:r>
      <w:r>
        <w:t xml:space="preserve">behaviors</w:t>
      </w:r>
      <w:r>
        <w:t xml:space="preserve"> </w:t>
      </w:r>
      <w:r>
        <w:t xml:space="preserve">are</w:t>
      </w:r>
      <w:r>
        <w:t xml:space="preserve"> </w:t>
      </w:r>
      <w:r>
        <w:t xml:space="preserve">related</w:t>
      </w:r>
      <w:r>
        <w:t xml:space="preserve"> </w:t>
      </w:r>
      <w:r>
        <w:t xml:space="preserve">to</w:t>
      </w:r>
      <w:r>
        <w:t xml:space="preserve"> </w:t>
      </w:r>
      <w:r>
        <w:t xml:space="preserve">processes</w:t>
      </w:r>
      <w:r>
        <w:t xml:space="preserve"> </w:t>
      </w:r>
      <w:r>
        <w:t xml:space="preserve">that</w:t>
      </w:r>
      <w:r>
        <w:t xml:space="preserve"> </w:t>
      </w:r>
      <w:r>
        <w:t xml:space="preserve">operate</w:t>
      </w:r>
      <w:r>
        <w:t xml:space="preserve"> </w:t>
      </w:r>
      <w:r>
        <w:t xml:space="preserve">on</w:t>
      </w:r>
      <w:r>
        <w:t xml:space="preserve"> </w:t>
      </w:r>
      <w:r>
        <w:t xml:space="preserve">broader</w:t>
      </w:r>
      <w:r>
        <w:t xml:space="preserve"> </w:t>
      </w:r>
      <w:r>
        <w:t xml:space="preserve">spatio-temporal</w:t>
      </w:r>
      <w:r>
        <w:t xml:space="preserve"> </w:t>
      </w:r>
      <w:r>
        <w:t xml:space="preserve">scales</w:t>
      </w:r>
      <w:r>
        <w:t xml:space="preserve"> </w:t>
      </w:r>
      <w:r>
        <w:t xml:space="preserve">as</w:t>
      </w:r>
      <w:r>
        <w:t xml:space="preserve"> </w:t>
      </w:r>
      <w:r>
        <w:t xml:space="preserve">well</w:t>
      </w:r>
      <w:r>
        <w:t xml:space="preserve"> </w:t>
      </w:r>
      <w:r>
        <w:t xml:space="preserve">as</w:t>
      </w:r>
      <w:r>
        <w:t xml:space="preserve"> </w:t>
      </w:r>
      <w:r>
        <w:t xml:space="preserve">to</w:t>
      </w:r>
      <w:r>
        <w:t xml:space="preserve"> </w:t>
      </w:r>
      <w:r>
        <w:t xml:space="preserve">a</w:t>
      </w:r>
      <w:r>
        <w:t xml:space="preserve"> </w:t>
      </w:r>
      <w:r>
        <w:t xml:space="preserve">static</w:t>
      </w:r>
      <w:r>
        <w:t xml:space="preserve"> </w:t>
      </w:r>
      <w:r>
        <w:t xml:space="preserve">archaeological</w:t>
      </w:r>
      <w:r>
        <w:t xml:space="preserve"> </w:t>
      </w:r>
      <w:r>
        <w:t xml:space="preserve">record.</w:t>
      </w:r>
      <w:r>
        <w:t xml:space="preserve"> </w:t>
      </w:r>
      <w:r>
        <w:t xml:space="preserve">Here</w:t>
      </w:r>
      <w:r>
        <w:t xml:space="preserve"> </w:t>
      </w:r>
      <w:r>
        <w:t xml:space="preserve">we</w:t>
      </w:r>
      <w:r>
        <w:t xml:space="preserve"> </w:t>
      </w:r>
      <w:r>
        <w:t xml:space="preserve">present</w:t>
      </w:r>
      <w:r>
        <w:t xml:space="preserve"> </w:t>
      </w:r>
      <w:r>
        <w:t xml:space="preserve">an</w:t>
      </w:r>
      <w:r>
        <w:t xml:space="preserve"> </w:t>
      </w:r>
      <w:r>
        <w:t xml:space="preserve">agent-based</w:t>
      </w:r>
      <w:r>
        <w:t xml:space="preserve"> </w:t>
      </w:r>
      <w:r>
        <w:t xml:space="preserve">model</w:t>
      </w:r>
      <w:r>
        <w:t xml:space="preserve"> </w:t>
      </w:r>
      <w:r>
        <w:t xml:space="preserve">that</w:t>
      </w:r>
      <w:r>
        <w:t xml:space="preserve"> </w:t>
      </w:r>
      <w:r>
        <w:t xml:space="preserve">elucidates</w:t>
      </w:r>
      <w:r>
        <w:t xml:space="preserve"> </w:t>
      </w:r>
      <w:r>
        <w:t xml:space="preserve">the</w:t>
      </w:r>
      <w:r>
        <w:t xml:space="preserve"> </w:t>
      </w:r>
      <w:r>
        <w:t xml:space="preserve">long</w:t>
      </w:r>
      <w:r>
        <w:t xml:space="preserve"> </w:t>
      </w:r>
      <w:r>
        <w:t xml:space="preserve">term</w:t>
      </w:r>
      <w:r>
        <w:t xml:space="preserve"> </w:t>
      </w:r>
      <w:r>
        <w:t xml:space="preserve">dynamics</w:t>
      </w:r>
      <w:r>
        <w:t xml:space="preserve"> </w:t>
      </w:r>
      <w:r>
        <w:t xml:space="preserve">between</w:t>
      </w:r>
      <w:r>
        <w:t xml:space="preserve"> </w:t>
      </w:r>
      <w:r>
        <w:t xml:space="preserve">small-scale</w:t>
      </w:r>
      <w:r>
        <w:t xml:space="preserve"> </w:t>
      </w:r>
      <w:r>
        <w:t xml:space="preserve">tool</w:t>
      </w:r>
      <w:r>
        <w:t xml:space="preserve"> </w:t>
      </w:r>
      <w:r>
        <w:t xml:space="preserve">use,</w:t>
      </w:r>
      <w:r>
        <w:t xml:space="preserve"> </w:t>
      </w:r>
      <w:r>
        <w:t xml:space="preserve">the</w:t>
      </w:r>
      <w:r>
        <w:t xml:space="preserve"> </w:t>
      </w:r>
      <w:r>
        <w:t xml:space="preserve">environment,</w:t>
      </w:r>
      <w:r>
        <w:t xml:space="preserve"> </w:t>
      </w:r>
      <w:r>
        <w:t xml:space="preserve">and</w:t>
      </w:r>
      <w:r>
        <w:t xml:space="preserve"> </w:t>
      </w:r>
      <w:r>
        <w:t xml:space="preserve">the</w:t>
      </w:r>
      <w:r>
        <w:t xml:space="preserve"> </w:t>
      </w:r>
      <w:r>
        <w:t xml:space="preserve">formation</w:t>
      </w:r>
      <w:r>
        <w:t xml:space="preserve"> </w:t>
      </w:r>
      <w:r>
        <w:t xml:space="preserve">of</w:t>
      </w:r>
      <w:r>
        <w:t xml:space="preserve"> </w:t>
      </w:r>
      <w:r>
        <w:t xml:space="preserve">the</w:t>
      </w:r>
      <w:r>
        <w:t xml:space="preserve"> </w:t>
      </w:r>
      <w:r>
        <w:t xml:space="preserve">archaeological</w:t>
      </w:r>
      <w:r>
        <w:t xml:space="preserve"> </w:t>
      </w:r>
      <w:r>
        <w:t xml:space="preserve">record.</w:t>
      </w:r>
      <w:r>
        <w:t xml:space="preserve"> </w:t>
      </w:r>
      <w:r>
        <w:t xml:space="preserve">In</w:t>
      </w:r>
      <w:r>
        <w:t xml:space="preserve"> </w:t>
      </w:r>
      <w:r>
        <w:t xml:space="preserve">doing</w:t>
      </w:r>
      <w:r>
        <w:t xml:space="preserve"> </w:t>
      </w:r>
      <w:r>
        <w:t xml:space="preserve">so,</w:t>
      </w:r>
      <w:r>
        <w:t xml:space="preserve"> </w:t>
      </w:r>
      <w:r>
        <w:t xml:space="preserve">we</w:t>
      </w:r>
      <w:r>
        <w:t xml:space="preserve"> </w:t>
      </w:r>
      <w:r>
        <w:t xml:space="preserve">are</w:t>
      </w:r>
      <w:r>
        <w:t xml:space="preserve"> </w:t>
      </w:r>
      <w:r>
        <w:t xml:space="preserve">able</w:t>
      </w:r>
      <w:r>
        <w:t xml:space="preserve"> </w:t>
      </w:r>
      <w:r>
        <w:t xml:space="preserve">to</w:t>
      </w:r>
      <w:r>
        <w:t xml:space="preserve"> </w:t>
      </w:r>
      <w:r>
        <w:t xml:space="preserve">show</w:t>
      </w:r>
      <w:r>
        <w:t xml:space="preserve"> </w:t>
      </w:r>
      <w:r>
        <w:t xml:space="preserve">that</w:t>
      </w:r>
      <w:r>
        <w:t xml:space="preserve"> </w:t>
      </w:r>
      <w:r>
        <w:t xml:space="preserve">while</w:t>
      </w:r>
      <w:r>
        <w:t xml:space="preserve"> </w:t>
      </w:r>
      <w:r>
        <w:t xml:space="preserve">primate</w:t>
      </w:r>
      <w:r>
        <w:t xml:space="preserve"> </w:t>
      </w:r>
      <w:r>
        <w:t xml:space="preserve">tool</w:t>
      </w:r>
      <w:r>
        <w:t xml:space="preserve"> </w:t>
      </w:r>
      <w:r>
        <w:t xml:space="preserve">use</w:t>
      </w:r>
      <w:r>
        <w:t xml:space="preserve"> </w:t>
      </w:r>
      <w:r>
        <w:t xml:space="preserve">is</w:t>
      </w:r>
      <w:r>
        <w:t xml:space="preserve"> </w:t>
      </w:r>
      <w:r>
        <w:t xml:space="preserve">largely</w:t>
      </w:r>
      <w:r>
        <w:t xml:space="preserve"> </w:t>
      </w:r>
      <w:r>
        <w:t xml:space="preserve">constrained</w:t>
      </w:r>
      <w:r>
        <w:t xml:space="preserve"> </w:t>
      </w:r>
      <w:r>
        <w:t xml:space="preserve">by</w:t>
      </w:r>
      <w:r>
        <w:t xml:space="preserve"> </w:t>
      </w:r>
      <w:r>
        <w:t xml:space="preserve">environmental</w:t>
      </w:r>
      <w:r>
        <w:t xml:space="preserve"> </w:t>
      </w:r>
      <w:r>
        <w:t xml:space="preserve">parameters,</w:t>
      </w:r>
      <w:r>
        <w:t xml:space="preserve"> </w:t>
      </w:r>
      <w:r>
        <w:t xml:space="preserve">there</w:t>
      </w:r>
      <w:r>
        <w:t xml:space="preserve"> </w:t>
      </w:r>
      <w:r>
        <w:t xml:space="preserve">are</w:t>
      </w:r>
      <w:r>
        <w:t xml:space="preserve"> </w:t>
      </w:r>
      <w:r>
        <w:t xml:space="preserve">circumstances</w:t>
      </w:r>
      <w:r>
        <w:t xml:space="preserve"> </w:t>
      </w:r>
      <w:r>
        <w:t xml:space="preserve">in</w:t>
      </w:r>
      <w:r>
        <w:t xml:space="preserve"> </w:t>
      </w:r>
      <w:r>
        <w:t xml:space="preserve">which</w:t>
      </w:r>
      <w:r>
        <w:t xml:space="preserve"> </w:t>
      </w:r>
      <w:r>
        <w:t xml:space="preserve">such</w:t>
      </w:r>
      <w:r>
        <w:t xml:space="preserve"> </w:t>
      </w:r>
      <w:r>
        <w:t xml:space="preserve">behaviors</w:t>
      </w:r>
      <w:r>
        <w:t xml:space="preserve"> </w:t>
      </w:r>
      <w:r>
        <w:t xml:space="preserve">can</w:t>
      </w:r>
      <w:r>
        <w:t xml:space="preserve"> </w:t>
      </w:r>
      <w:r>
        <w:t xml:space="preserve">positively</w:t>
      </w:r>
      <w:r>
        <w:t xml:space="preserve"> </w:t>
      </w:r>
      <w:r>
        <w:t xml:space="preserve">modify</w:t>
      </w:r>
      <w:r>
        <w:t xml:space="preserve"> </w:t>
      </w:r>
      <w:r>
        <w:t xml:space="preserve">their</w:t>
      </w:r>
      <w:r>
        <w:t xml:space="preserve"> </w:t>
      </w:r>
      <w:r>
        <w:t xml:space="preserve">environments</w:t>
      </w:r>
      <w:r>
        <w:t xml:space="preserve"> </w:t>
      </w:r>
      <w:r>
        <w:t xml:space="preserve">over</w:t>
      </w:r>
      <w:r>
        <w:t xml:space="preserve"> </w:t>
      </w:r>
      <w:r>
        <w:t xml:space="preserve">the</w:t>
      </w:r>
      <w:r>
        <w:t xml:space="preserve"> </w:t>
      </w:r>
      <w:r>
        <w:t xml:space="preserve">long</w:t>
      </w:r>
      <w:r>
        <w:t xml:space="preserve"> </w:t>
      </w:r>
      <w:r>
        <w:t xml:space="preserve">term.</w:t>
      </w:r>
      <w:r>
        <w:t xml:space="preserve"> </w:t>
      </w:r>
      <w:r>
        <w:t xml:space="preserve">While</w:t>
      </w:r>
      <w:r>
        <w:t xml:space="preserve"> </w:t>
      </w:r>
      <w:r>
        <w:t xml:space="preserve">our</w:t>
      </w:r>
      <w:r>
        <w:t xml:space="preserve"> </w:t>
      </w:r>
      <w:r>
        <w:t xml:space="preserve">results</w:t>
      </w:r>
      <w:r>
        <w:t xml:space="preserve"> </w:t>
      </w:r>
      <w:r>
        <w:t xml:space="preserve">also</w:t>
      </w:r>
      <w:r>
        <w:t xml:space="preserve"> </w:t>
      </w:r>
      <w:r>
        <w:t xml:space="preserve">suggest</w:t>
      </w:r>
      <w:r>
        <w:t xml:space="preserve"> </w:t>
      </w:r>
      <w:r>
        <w:t xml:space="preserve">that</w:t>
      </w:r>
      <w:r>
        <w:t xml:space="preserve"> </w:t>
      </w:r>
      <w:r>
        <w:t xml:space="preserve">these</w:t>
      </w:r>
      <w:r>
        <w:t xml:space="preserve"> </w:t>
      </w:r>
      <w:r>
        <w:t xml:space="preserve">processes</w:t>
      </w:r>
      <w:r>
        <w:t xml:space="preserve"> </w:t>
      </w:r>
      <w:r>
        <w:t xml:space="preserve">leave</w:t>
      </w:r>
      <w:r>
        <w:t xml:space="preserve"> </w:t>
      </w:r>
      <w:r>
        <w:t xml:space="preserve">tangible</w:t>
      </w:r>
      <w:r>
        <w:t xml:space="preserve"> </w:t>
      </w:r>
      <w:r>
        <w:t xml:space="preserve">corollaries</w:t>
      </w:r>
      <w:r>
        <w:t xml:space="preserve"> </w:t>
      </w:r>
      <w:r>
        <w:t xml:space="preserve">in</w:t>
      </w:r>
      <w:r>
        <w:t xml:space="preserve"> </w:t>
      </w:r>
      <w:r>
        <w:t xml:space="preserve">the</w:t>
      </w:r>
      <w:r>
        <w:t xml:space="preserve"> </w:t>
      </w:r>
      <w:r>
        <w:t xml:space="preserve">archaeological</w:t>
      </w:r>
      <w:r>
        <w:t xml:space="preserve"> </w:t>
      </w:r>
      <w:r>
        <w:t xml:space="preserve">record,</w:t>
      </w:r>
      <w:r>
        <w:t xml:space="preserve"> </w:t>
      </w:r>
      <w:r>
        <w:t xml:space="preserve">they</w:t>
      </w:r>
      <w:r>
        <w:t xml:space="preserve"> </w:t>
      </w:r>
      <w:r>
        <w:t xml:space="preserve">are</w:t>
      </w:r>
      <w:r>
        <w:t xml:space="preserve"> </w:t>
      </w:r>
      <w:r>
        <w:t xml:space="preserve">variable</w:t>
      </w:r>
      <w:r>
        <w:t xml:space="preserve"> </w:t>
      </w:r>
      <w:r>
        <w:t xml:space="preserve">and</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link</w:t>
      </w:r>
      <w:r>
        <w:t xml:space="preserve"> </w:t>
      </w:r>
      <w:r>
        <w:t xml:space="preserve">back</w:t>
      </w:r>
      <w:r>
        <w:t xml:space="preserve"> </w:t>
      </w:r>
      <w:r>
        <w:t xml:space="preserve">to</w:t>
      </w:r>
      <w:r>
        <w:t xml:space="preserve"> </w:t>
      </w:r>
      <w:r>
        <w:t xml:space="preserve">the</w:t>
      </w:r>
      <w:r>
        <w:t xml:space="preserve"> </w:t>
      </w:r>
      <w:r>
        <w:t xml:space="preserve">behaviors</w:t>
      </w:r>
      <w:r>
        <w:t xml:space="preserve"> </w:t>
      </w:r>
      <w:r>
        <w:t xml:space="preserve">that</w:t>
      </w:r>
      <w:r>
        <w:t xml:space="preserve"> </w:t>
      </w:r>
      <w:r>
        <w:t xml:space="preserve">produced</w:t>
      </w:r>
      <w:r>
        <w:t xml:space="preserve"> </w:t>
      </w:r>
      <w:r>
        <w:t xml:space="preserve">them.</w:t>
      </w:r>
    </w:p>
    <w:p>
      <w:pPr>
        <w:pStyle w:val="FirstParagraph"/>
      </w:pPr>
      <w:r>
        <w:t xml:space="preserve">The adaptive success of humans is largely based on our ability to use tools to mitigate or modify whatever environmental circumstances that confront us. Over human evolutionary history, this trait has facilitated the expansion of humans and their ancestors across every environment in the terrestrial world</w:t>
      </w:r>
      <w:r>
        <w:t xml:space="preserve"> </w:t>
      </w:r>
      <w:r>
        <w:t xml:space="preserve">(1)</w:t>
      </w:r>
      <w:r>
        <w:t xml:space="preserve">. While it is now understood that the emergence of this trait is the result of feedback between genetic, ecological, and cultural processes over time</w:t>
      </w:r>
      <w:r>
        <w:t xml:space="preserve"> </w:t>
      </w:r>
      <w:r>
        <w:t xml:space="preserve">(2–9)</w:t>
      </w:r>
      <w:r>
        <w:t xml:space="preserve">, the mechanisms that transformed this behavior from the simple forms of tool use that are observed across multiple taxa to an obligate reliance on material culture remains unclear. Primate behavioral ecology provides a potential window of insight into the origin of this trait as primate tool use is argued to approximate the types of tool using behaviors present at the root of the hominid lineage</w:t>
      </w:r>
      <w:r>
        <w:t xml:space="preserve"> </w:t>
      </w:r>
      <w:r>
        <w:t xml:space="preserve">(10–13)</w:t>
      </w:r>
      <w:r>
        <w:t xml:space="preserve">. Thus, examining the dynamic ecological settings in which tool-use occurs allows researchers to generate hypotheses of how complex tool use emerged and was maintained in the hominin lineage</w:t>
      </w:r>
      <w:r>
        <w:t xml:space="preserve"> </w:t>
      </w:r>
      <w:r>
        <w:t xml:space="preserve">(14)</w:t>
      </w:r>
      <w:r>
        <w:t xml:space="preserve">. However, placing primate tool use within a broader evolutionary context requires (1) understanding its relationship within broader long term environmental dynamics and (2) establishing corollaries linking these dynamics to the variation in a recoverable material record</w:t>
      </w:r>
      <w:r>
        <w:t xml:space="preserve"> </w:t>
      </w:r>
      <w:r>
        <w:t xml:space="preserve">(15, 16)</w:t>
      </w:r>
      <w:r>
        <w:t xml:space="preserve">.</w:t>
      </w:r>
    </w:p>
    <w:p>
      <w:pPr>
        <w:pStyle w:val="BodyText"/>
      </w:pPr>
      <w:r>
        <w:t xml:space="preserve">For example, nut-cracking among chimpanzees is largely constrained by the environment. Nevertheless, some groups are argued to move stone tools potentially kilometers from where they are naturally found</w:t>
      </w:r>
      <w:r>
        <w:t xml:space="preserve"> </w:t>
      </w:r>
      <w:r>
        <w:t xml:space="preserve">(17, 18)</w:t>
      </w:r>
      <w:r>
        <w:t xml:space="preserve">. This slow redistribution of stone may influence the number of opportunities for tool use across a given landscape 10s of years. In addition, the location of nut-trees, which control the availability of nuts, change due to the death of old trees and growth of new ones over centuries. Therefore, understanding the relationship between small scale tool transport behaviors, the broader environment, and its effect on tool-use opportunities over time requires linking behavioral observations with processes that cannot be directly observed due to their temporal depth. Doing so, would not only provide unique insights into stone tool using behaviors among chimpanzees but also help to understand the relationship between tool-use, resource availability and environmental in the hominin record. This, in turn could be used as an framework for interpreting the hominin archaeological record.</w:t>
      </w:r>
    </w:p>
    <w:p>
      <w:pPr>
        <w:pStyle w:val="BodyText"/>
      </w:pPr>
      <w:r>
        <w:t xml:space="preserve">However, drawing connections between the archaeological record and ethological observations is not a simple task</w:t>
      </w:r>
      <w:r>
        <w:t xml:space="preserve"> </w:t>
      </w:r>
      <w:r>
        <w:t xml:space="preserve">(19, 20)</w:t>
      </w:r>
      <w:r>
        <w:t xml:space="preserve">. Modern observations of primate stone tool use often reflect a handful of individual behavioral events, whereas the archaeological record reflects an aggregation of behavioral events over hundreds,potentially thousands of years</w:t>
      </w:r>
      <w:r>
        <w:t xml:space="preserve"> </w:t>
      </w:r>
      <w:r>
        <w:t xml:space="preserve">(21–25)</w:t>
      </w:r>
      <w:r>
        <w:t xml:space="preserve">. The aggregate pattern left in the material record may not directly reflect the individual behaviors that produced it</w:t>
      </w:r>
      <w:r>
        <w:t xml:space="preserve"> </w:t>
      </w:r>
      <w:r>
        <w:t xml:space="preserve">(18, 26, 27)</w:t>
      </w:r>
      <w:r>
        <w:t xml:space="preserve">. Behavioral processes such as transport, re-use, and use-life are known to have a substantial influence on the patterning of the archaeological record</w:t>
      </w:r>
      <w:r>
        <w:t xml:space="preserve"> </w:t>
      </w:r>
      <w:r>
        <w:t xml:space="preserve">(28–33)</w:t>
      </w:r>
      <w:r>
        <w:t xml:space="preserve">. The dynamic reuse and movement of nut-cracking hammers over time is argued to lead to the over representation of small fragments and general absence of complete percussive tools at chimpanzee archaeological sites</w:t>
      </w:r>
      <w:r>
        <w:t xml:space="preserve"> </w:t>
      </w:r>
      <w:r>
        <w:t xml:space="preserve">(34)</w:t>
      </w:r>
      <w:r>
        <w:t xml:space="preserve">.</w:t>
      </w:r>
    </w:p>
    <w:p>
      <w:pPr>
        <w:pStyle w:val="BodyText"/>
      </w:pPr>
      <w:r>
        <w:t xml:space="preserve">Here we present an Agent-based model (ABM) that is designed bridge the gaps between the various temporal and formational disconnects and individual behaviors, environmental process, and the formation of the archaeological record. To this end, we model small scale tool transport and use, akin to chimpanzee nut-cracking, within its broader environmental context to investigate the potential relationships between small scale tool using behavior, the environment, and the assemblage formation over time. In doing so, this work allows us to combine primate behavior with the environmental parameters that facilitate the generation and visibility of the archaeological record.</w:t>
      </w:r>
    </w:p>
    <w:bookmarkStart w:id="20" w:name="materials-and-methods"/>
    <w:p>
      <w:pPr>
        <w:pStyle w:val="Heading1"/>
      </w:pPr>
      <w:r>
        <w:t xml:space="preserve">Materials and Methods</w:t>
      </w:r>
    </w:p>
    <w:p>
      <w:pPr>
        <w:pStyle w:val="FirstParagraph"/>
      </w:pPr>
      <w:r>
        <w:t xml:space="preserve">The model was designed and implemented using Python 3 and the ABM library Mesa</w:t>
      </w:r>
      <w:r>
        <w:t xml:space="preserve"> </w:t>
      </w:r>
      <w:r>
        <w:t xml:space="preserve">(35, 36)</w:t>
      </w:r>
      <w:r>
        <w:t xml:space="preserve">. The model presented here can be thought of as a forest in which agents move across the landscape, transporting stone over small distances as they encounter resources that require tool use to access. As such, the model consists of a 250 x 250 grid-cell space that is populated with four types of agents;</w:t>
      </w:r>
      <w:r>
        <w:t xml:space="preserve"> </w:t>
      </w:r>
      <w:r>
        <w:rPr>
          <w:iCs/>
          <w:i/>
        </w:rPr>
        <w:t xml:space="preserve">Primates</w:t>
      </w:r>
      <w:r>
        <w:t xml:space="preserve">,</w:t>
      </w:r>
      <w:r>
        <w:t xml:space="preserve"> </w:t>
      </w:r>
      <w:r>
        <w:rPr>
          <w:iCs/>
          <w:i/>
        </w:rPr>
        <w:t xml:space="preserve">Sources</w:t>
      </w:r>
      <w:r>
        <w:t xml:space="preserve">,</w:t>
      </w:r>
      <w:r>
        <w:t xml:space="preserve"> </w:t>
      </w:r>
      <w:r>
        <w:rPr>
          <w:iCs/>
          <w:i/>
        </w:rPr>
        <w:t xml:space="preserve">Trees</w:t>
      </w:r>
      <w:r>
        <w:t xml:space="preserve">, and</w:t>
      </w:r>
      <w:r>
        <w:t xml:space="preserve"> </w:t>
      </w:r>
      <w:r>
        <w:rPr>
          <w:iCs/>
          <w:i/>
        </w:rPr>
        <w:t xml:space="preserve">Pounding Tools</w:t>
      </w:r>
      <w:r>
        <w:t xml:space="preserve">.</w:t>
      </w:r>
      <w:r>
        <w:t xml:space="preserve"> </w:t>
      </w:r>
      <w:r>
        <w:rPr>
          <w:iCs/>
          <w:i/>
        </w:rPr>
        <w:t xml:space="preserve">Primates</w:t>
      </w:r>
      <w:r>
        <w:t xml:space="preserve"> </w:t>
      </w:r>
      <w:r>
        <w:t xml:space="preserve">are agents that can be thought of as chimpanzees who move around the landscape cracking nuts at any opportunity.</w:t>
      </w:r>
      <w:r>
        <w:t xml:space="preserve"> </w:t>
      </w:r>
      <w:r>
        <w:rPr>
          <w:iCs/>
          <w:i/>
        </w:rPr>
        <w:t xml:space="preserve">Sources</w:t>
      </w:r>
      <w:r>
        <w:t xml:space="preserve"> </w:t>
      </w:r>
      <w:r>
        <w:t xml:space="preserve">are stationary agents whose locations reflect places where</w:t>
      </w:r>
      <w:r>
        <w:t xml:space="preserve"> </w:t>
      </w:r>
      <w:r>
        <w:rPr>
          <w:iCs/>
          <w:i/>
        </w:rPr>
        <w:t xml:space="preserve">Pounding Tools</w:t>
      </w:r>
      <w:r>
        <w:t xml:space="preserve"> </w:t>
      </w:r>
      <w:r>
        <w:t xml:space="preserve">can be acquired (e.g. inselburgs and cobble beds).</w:t>
      </w:r>
      <w:r>
        <w:t xml:space="preserve"> </w:t>
      </w:r>
      <w:r>
        <w:rPr>
          <w:iCs/>
          <w:i/>
        </w:rPr>
        <w:t xml:space="preserve">Pounding Tool</w:t>
      </w:r>
      <w:r>
        <w:t xml:space="preserve"> </w:t>
      </w:r>
      <w:r>
        <w:t xml:space="preserve">agents are analogous to the hammers used to crack nuts.</w:t>
      </w:r>
      <w:r>
        <w:t xml:space="preserve"> </w:t>
      </w:r>
      <w:r>
        <w:rPr>
          <w:iCs/>
          <w:i/>
        </w:rPr>
        <w:t xml:space="preserve">Pounding Tools</w:t>
      </w:r>
      <w:r>
        <w:t xml:space="preserve"> </w:t>
      </w:r>
      <w:r>
        <w:t xml:space="preserve">vary in their size and</w:t>
      </w:r>
      <w:r>
        <w:t xml:space="preserve"> </w:t>
      </w:r>
      <w:r>
        <w:t xml:space="preserve">“</w:t>
      </w:r>
      <w:r>
        <w:t xml:space="preserve">quality.</w:t>
      </w:r>
      <w:r>
        <w:t xml:space="preserve">”</w:t>
      </w:r>
      <w:r>
        <w:t xml:space="preserve"> </w:t>
      </w:r>
      <w:r>
        <w:t xml:space="preserve">The size of the</w:t>
      </w:r>
      <w:r>
        <w:t xml:space="preserve"> </w:t>
      </w:r>
      <w:r>
        <w:rPr>
          <w:iCs/>
          <w:i/>
        </w:rPr>
        <w:t xml:space="preserve">Pounding Tool</w:t>
      </w:r>
      <w:r>
        <w:t xml:space="preserve"> </w:t>
      </w:r>
      <w:r>
        <w:t xml:space="preserve">is determined by randomly drawing from a normal distribution with mean and standard distribution equivalent to the mass of the stone hammers recovered in the Tai Forest</w:t>
      </w:r>
      <w:r>
        <w:t xml:space="preserve"> </w:t>
      </w:r>
      <w:r>
        <w:t xml:space="preserve">(18)</w:t>
      </w:r>
      <w:r>
        <w:t xml:space="preserve">. The quality attribute determines how likely a</w:t>
      </w:r>
      <w:r>
        <w:t xml:space="preserve"> </w:t>
      </w:r>
      <w:r>
        <w:rPr>
          <w:iCs/>
          <w:i/>
        </w:rPr>
        <w:t xml:space="preserve">Pounding Tool</w:t>
      </w:r>
      <w:r>
        <w:t xml:space="preserve"> </w:t>
      </w:r>
      <w:r>
        <w:t xml:space="preserve">is to break during use.</w:t>
      </w:r>
      <w:r>
        <w:t xml:space="preserve"> </w:t>
      </w:r>
      <w:r>
        <w:rPr>
          <w:iCs/>
          <w:i/>
        </w:rPr>
        <w:t xml:space="preserve">Pounding Tool</w:t>
      </w:r>
      <w:r>
        <w:t xml:space="preserve"> </w:t>
      </w:r>
      <w:r>
        <w:t xml:space="preserve">quality is determined by the</w:t>
      </w:r>
      <w:r>
        <w:t xml:space="preserve"> </w:t>
      </w:r>
      <w:r>
        <w:t xml:space="preserve">“</w:t>
      </w:r>
      <w:r>
        <w:t xml:space="preserve">quality</w:t>
      </w:r>
      <w:r>
        <w:t xml:space="preserve">”</w:t>
      </w:r>
      <w:r>
        <w:t xml:space="preserve"> </w:t>
      </w:r>
      <w:r>
        <w:t xml:space="preserve">of the</w:t>
      </w:r>
      <w:r>
        <w:t xml:space="preserve"> </w:t>
      </w:r>
      <w:r>
        <w:rPr>
          <w:iCs/>
          <w:i/>
        </w:rPr>
        <w:t xml:space="preserve">Source</w:t>
      </w:r>
      <w:r>
        <w:t xml:space="preserve"> </w:t>
      </w:r>
      <w:r>
        <w:t xml:space="preserve">it is acquired from.</w:t>
      </w:r>
      <w:r>
        <w:t xml:space="preserve"> </w:t>
      </w:r>
      <w:r>
        <w:rPr>
          <w:iCs/>
          <w:i/>
        </w:rPr>
        <w:t xml:space="preserve">Pounding Tools</w:t>
      </w:r>
      <w:r>
        <w:t xml:space="preserve"> </w:t>
      </w:r>
      <w:r>
        <w:t xml:space="preserve">can also become exhausted depending on how often they are used (see below).</w:t>
      </w:r>
    </w:p>
    <w:p>
      <w:pPr>
        <w:pStyle w:val="BodyText"/>
      </w:pPr>
      <w:r>
        <w:rPr>
          <w:iCs/>
          <w:i/>
        </w:rPr>
        <w:t xml:space="preserve">Trees</w:t>
      </w:r>
      <w:r>
        <w:t xml:space="preserve"> </w:t>
      </w:r>
      <w:r>
        <w:t xml:space="preserve">are agents that represent locations where tool use can occur. While</w:t>
      </w:r>
      <w:r>
        <w:t xml:space="preserve"> </w:t>
      </w:r>
      <w:r>
        <w:rPr>
          <w:iCs/>
          <w:i/>
        </w:rPr>
        <w:t xml:space="preserve">Trees</w:t>
      </w:r>
      <w:r>
        <w:t xml:space="preserve"> </w:t>
      </w:r>
      <w:r>
        <w:t xml:space="preserve">exist only at fixed locations, the death and regrowth of trees within a forest can restructure where the resources are accessible over time</w:t>
      </w:r>
      <w:r>
        <w:t xml:space="preserve"> </w:t>
      </w:r>
      <w:r>
        <w:t xml:space="preserve">(15)</w:t>
      </w:r>
      <w:r>
        <w:t xml:space="preserve">. To simulate this process,</w:t>
      </w:r>
      <w:r>
        <w:t xml:space="preserve"> </w:t>
      </w:r>
      <w:r>
        <w:rPr>
          <w:iCs/>
          <w:i/>
        </w:rPr>
        <w:t xml:space="preserve">Trees</w:t>
      </w:r>
      <w:r>
        <w:t xml:space="preserve"> </w:t>
      </w:r>
      <w:r>
        <w:t xml:space="preserve">increase in age by a unit of 1 after each time-step and will die when their age is equal to 10,000 time steps. When a</w:t>
      </w:r>
      <w:r>
        <w:t xml:space="preserve"> </w:t>
      </w:r>
      <w:r>
        <w:rPr>
          <w:iCs/>
          <w:i/>
        </w:rPr>
        <w:t xml:space="preserve">Tree’s</w:t>
      </w:r>
      <w:r>
        <w:t xml:space="preserve"> </w:t>
      </w:r>
      <w:r>
        <w:t xml:space="preserve">age reaches 10,000 time-steps nut-cracking can no longer take place at its location and a new location within a 10 grid-cell radius is randomly chosen as a place for a new</w:t>
      </w:r>
      <w:r>
        <w:t xml:space="preserve"> </w:t>
      </w:r>
      <w:r>
        <w:rPr>
          <w:iCs/>
          <w:i/>
        </w:rPr>
        <w:t xml:space="preserve">Tree</w:t>
      </w:r>
      <w:r>
        <w:t xml:space="preserve"> </w:t>
      </w:r>
      <w:r>
        <w:t xml:space="preserve">to</w:t>
      </w:r>
      <w:r>
        <w:t xml:space="preserve"> </w:t>
      </w:r>
      <w:r>
        <w:t xml:space="preserve">“</w:t>
      </w:r>
      <w:r>
        <w:t xml:space="preserve">grow.</w:t>
      </w:r>
      <w:r>
        <w:t xml:space="preserve">”</w:t>
      </w:r>
      <w:r>
        <w:t xml:space="preserve"> </w:t>
      </w:r>
      <w:r>
        <w:t xml:space="preserve">Though the death and growth of</w:t>
      </w:r>
      <w:r>
        <w:t xml:space="preserve"> </w:t>
      </w:r>
      <w:r>
        <w:rPr>
          <w:iCs/>
          <w:i/>
        </w:rPr>
        <w:t xml:space="preserve">Trees</w:t>
      </w:r>
      <w:r>
        <w:t xml:space="preserve"> </w:t>
      </w:r>
      <w:r>
        <w:t xml:space="preserve">are not linked in this way in the natural world, this ensures that the number of</w:t>
      </w:r>
      <w:r>
        <w:t xml:space="preserve"> </w:t>
      </w:r>
      <w:r>
        <w:rPr>
          <w:iCs/>
          <w:i/>
        </w:rPr>
        <w:t xml:space="preserve">Trees</w:t>
      </w:r>
      <w:r>
        <w:t xml:space="preserve"> </w:t>
      </w:r>
      <w:r>
        <w:t xml:space="preserve">remains constant during the simulation.</w:t>
      </w:r>
    </w:p>
    <w:p>
      <w:pPr>
        <w:pStyle w:val="BodyText"/>
      </w:pPr>
      <w:r>
        <w:t xml:space="preserve">When the model is initialized,</w:t>
      </w:r>
      <w:r>
        <w:t xml:space="preserve"> </w:t>
      </w:r>
      <w:r>
        <w:rPr>
          <w:iCs/>
          <w:i/>
        </w:rPr>
        <w:t xml:space="preserve">Trees</w:t>
      </w:r>
      <w:r>
        <w:t xml:space="preserve">,</w:t>
      </w:r>
      <w:r>
        <w:t xml:space="preserve"> </w:t>
      </w:r>
      <w:r>
        <w:rPr>
          <w:iCs/>
          <w:i/>
        </w:rPr>
        <w:t xml:space="preserve">Sources</w:t>
      </w:r>
      <w:r>
        <w:t xml:space="preserve">, and</w:t>
      </w:r>
      <w:r>
        <w:t xml:space="preserve"> </w:t>
      </w:r>
      <w:r>
        <w:rPr>
          <w:iCs/>
          <w:i/>
        </w:rPr>
        <w:t xml:space="preserve">Primates</w:t>
      </w:r>
      <w:r>
        <w:t xml:space="preserve"> </w:t>
      </w:r>
      <w:r>
        <w:t xml:space="preserve">are randomly placed within the grid-cell space. Each</w:t>
      </w:r>
      <w:r>
        <w:t xml:space="preserve"> </w:t>
      </w:r>
      <w:r>
        <w:rPr>
          <w:iCs/>
          <w:i/>
        </w:rPr>
        <w:t xml:space="preserve">Source</w:t>
      </w:r>
      <w:r>
        <w:t xml:space="preserve"> </w:t>
      </w:r>
      <w:r>
        <w:t xml:space="preserve">is randomly assigned an integer of 0, 25, 50, or 75 representing the likelihood to that acquired</w:t>
      </w:r>
      <w:r>
        <w:t xml:space="preserve"> </w:t>
      </w:r>
      <w:r>
        <w:rPr>
          <w:iCs/>
          <w:i/>
        </w:rPr>
        <w:t xml:space="preserve">Pounding Tools</w:t>
      </w:r>
      <w:r>
        <w:t xml:space="preserve"> </w:t>
      </w:r>
      <w:r>
        <w:t xml:space="preserve">will break (quality). To prevent every</w:t>
      </w:r>
      <w:r>
        <w:t xml:space="preserve"> </w:t>
      </w:r>
      <w:r>
        <w:rPr>
          <w:iCs/>
          <w:i/>
        </w:rPr>
        <w:t xml:space="preserve">Tree</w:t>
      </w:r>
      <w:r>
        <w:t xml:space="preserve"> </w:t>
      </w:r>
      <w:r>
        <w:t xml:space="preserve">from dying at the same time-step, each</w:t>
      </w:r>
      <w:r>
        <w:t xml:space="preserve"> </w:t>
      </w:r>
      <w:r>
        <w:rPr>
          <w:iCs/>
          <w:i/>
        </w:rPr>
        <w:t xml:space="preserve">Tree</w:t>
      </w:r>
      <w:r>
        <w:t xml:space="preserve"> </w:t>
      </w:r>
      <w:r>
        <w:t xml:space="preserve">is randomly assigned an age between 1 and 10000.</w:t>
      </w:r>
      <w:r>
        <w:t xml:space="preserve"> </w:t>
      </w:r>
      <w:r>
        <w:rPr>
          <w:iCs/>
          <w:i/>
        </w:rPr>
        <w:t xml:space="preserve">Trees</w:t>
      </w:r>
      <w:r>
        <w:t xml:space="preserve"> </w:t>
      </w:r>
      <w:r>
        <w:t xml:space="preserve">that grow after model initialized begin with an age 0. The population of</w:t>
      </w:r>
      <w:r>
        <w:t xml:space="preserve"> </w:t>
      </w:r>
      <w:r>
        <w:rPr>
          <w:iCs/>
          <w:i/>
        </w:rPr>
        <w:t xml:space="preserve">Primates</w:t>
      </w:r>
      <w:r>
        <w:t xml:space="preserve"> </w:t>
      </w:r>
      <w:r>
        <w:t xml:space="preserve">was held constant at 100 for each run of the model. The number of</w:t>
      </w:r>
      <w:r>
        <w:t xml:space="preserve"> </w:t>
      </w:r>
      <w:r>
        <w:rPr>
          <w:iCs/>
          <w:i/>
        </w:rPr>
        <w:t xml:space="preserve">Sources</w:t>
      </w:r>
      <w:r>
        <w:t xml:space="preserve"> </w:t>
      </w:r>
      <w:r>
        <w:t xml:space="preserve">range between 10, 100, 500. The number of</w:t>
      </w:r>
      <w:r>
        <w:t xml:space="preserve"> </w:t>
      </w:r>
      <w:r>
        <w:rPr>
          <w:iCs/>
          <w:i/>
        </w:rPr>
        <w:t xml:space="preserve">Trees</w:t>
      </w:r>
      <w:r>
        <w:t xml:space="preserve"> </w:t>
      </w:r>
      <w:r>
        <w:t xml:space="preserve">varied between 100, 500, 1000, or 2000. We also varied whether</w:t>
      </w:r>
      <w:r>
        <w:t xml:space="preserve"> </w:t>
      </w:r>
      <w:r>
        <w:rPr>
          <w:iCs/>
          <w:i/>
        </w:rPr>
        <w:t xml:space="preserve">Trees</w:t>
      </w:r>
      <w:r>
        <w:t xml:space="preserve"> </w:t>
      </w:r>
      <w:r>
        <w:t xml:space="preserve">could die and grow to examine the effect of a changing landscape over time. The effect of time on the availability of nut-cracking</w:t>
      </w:r>
      <w:r>
        <w:t xml:space="preserve"> </w:t>
      </w:r>
      <w:r>
        <w:rPr>
          <w:iCs/>
          <w:i/>
        </w:rPr>
        <w:t xml:space="preserve">Trees</w:t>
      </w:r>
      <w:r>
        <w:t xml:space="preserve"> </w:t>
      </w:r>
      <w:r>
        <w:t xml:space="preserve">and the subsequent archaeological pattern was also investigated by varying the number of time-steps (25,000, 50,000, 75,000).</w:t>
      </w:r>
    </w:p>
    <w:p>
      <w:pPr>
        <w:pStyle w:val="BodyText"/>
      </w:pPr>
      <w:r>
        <w:t xml:space="preserve">During each time-step,</w:t>
      </w:r>
      <w:r>
        <w:t xml:space="preserve"> </w:t>
      </w:r>
      <w:r>
        <w:rPr>
          <w:iCs/>
          <w:i/>
        </w:rPr>
        <w:t xml:space="preserve">Primates</w:t>
      </w:r>
      <w:r>
        <w:t xml:space="preserve"> </w:t>
      </w:r>
      <w:r>
        <w:t xml:space="preserve">move a length of 1 grid-cell in a random direction. If the</w:t>
      </w:r>
      <w:r>
        <w:t xml:space="preserve"> </w:t>
      </w:r>
      <w:r>
        <w:rPr>
          <w:iCs/>
          <w:i/>
        </w:rPr>
        <w:t xml:space="preserve">Primate</w:t>
      </w:r>
      <w:r>
        <w:t xml:space="preserve"> </w:t>
      </w:r>
      <w:r>
        <w:t xml:space="preserve">moves into a grid-cell that neighbors or is occupied by a</w:t>
      </w:r>
      <w:r>
        <w:t xml:space="preserve"> </w:t>
      </w:r>
      <w:r>
        <w:rPr>
          <w:iCs/>
          <w:i/>
        </w:rPr>
        <w:t xml:space="preserve">Tree</w:t>
      </w:r>
      <w:r>
        <w:t xml:space="preserve">, the</w:t>
      </w:r>
      <w:r>
        <w:t xml:space="preserve"> </w:t>
      </w:r>
      <w:r>
        <w:rPr>
          <w:iCs/>
          <w:i/>
        </w:rPr>
        <w:t xml:space="preserve">Primate</w:t>
      </w:r>
      <w:r>
        <w:t xml:space="preserve"> </w:t>
      </w:r>
      <w:r>
        <w:t xml:space="preserve">will check to see if a</w:t>
      </w:r>
      <w:r>
        <w:t xml:space="preserve"> </w:t>
      </w:r>
      <w:r>
        <w:rPr>
          <w:iCs/>
          <w:i/>
        </w:rPr>
        <w:t xml:space="preserve">Source</w:t>
      </w:r>
      <w:r>
        <w:t xml:space="preserve"> </w:t>
      </w:r>
      <w:r>
        <w:t xml:space="preserve">or</w:t>
      </w:r>
      <w:r>
        <w:t xml:space="preserve"> </w:t>
      </w:r>
      <w:r>
        <w:rPr>
          <w:iCs/>
          <w:i/>
        </w:rPr>
        <w:t xml:space="preserve">Pounding Tool</w:t>
      </w:r>
      <w:r>
        <w:t xml:space="preserve"> </w:t>
      </w:r>
      <w:r>
        <w:t xml:space="preserve">is within a radius 2 grid-cells around its location. If there is none, then the</w:t>
      </w:r>
      <w:r>
        <w:t xml:space="preserve"> </w:t>
      </w:r>
      <w:r>
        <w:rPr>
          <w:iCs/>
          <w:i/>
        </w:rPr>
        <w:t xml:space="preserve">Primate</w:t>
      </w:r>
      <w:r>
        <w:t xml:space="preserve"> </w:t>
      </w:r>
      <w:r>
        <w:t xml:space="preserve">continues to move. If a</w:t>
      </w:r>
      <w:r>
        <w:t xml:space="preserve"> </w:t>
      </w:r>
      <w:r>
        <w:rPr>
          <w:iCs/>
          <w:i/>
        </w:rPr>
        <w:t xml:space="preserve">Source</w:t>
      </w:r>
      <w:r>
        <w:t xml:space="preserve"> </w:t>
      </w:r>
      <w:r>
        <w:t xml:space="preserve">is within the search radius of the</w:t>
      </w:r>
      <w:r>
        <w:t xml:space="preserve"> </w:t>
      </w:r>
      <w:r>
        <w:rPr>
          <w:iCs/>
          <w:i/>
        </w:rPr>
        <w:t xml:space="preserve">Primate</w:t>
      </w:r>
      <w:r>
        <w:t xml:space="preserve">, then the</w:t>
      </w:r>
      <w:r>
        <w:t xml:space="preserve"> </w:t>
      </w:r>
      <w:r>
        <w:rPr>
          <w:iCs/>
          <w:i/>
        </w:rPr>
        <w:t xml:space="preserve">Primate</w:t>
      </w:r>
      <w:r>
        <w:t xml:space="preserve"> </w:t>
      </w:r>
      <w:r>
        <w:t xml:space="preserve">will acquire a</w:t>
      </w:r>
      <w:r>
        <w:t xml:space="preserve"> </w:t>
      </w:r>
      <w:r>
        <w:rPr>
          <w:iCs/>
          <w:i/>
        </w:rPr>
        <w:t xml:space="preserve">Pounding Tool</w:t>
      </w:r>
      <w:r>
        <w:t xml:space="preserve"> </w:t>
      </w:r>
      <w:r>
        <w:t xml:space="preserve">from this location. If a previously used</w:t>
      </w:r>
      <w:r>
        <w:t xml:space="preserve"> </w:t>
      </w:r>
      <w:r>
        <w:rPr>
          <w:iCs/>
          <w:i/>
        </w:rPr>
        <w:t xml:space="preserve">Pounding Tool</w:t>
      </w:r>
      <w:r>
        <w:t xml:space="preserve"> </w:t>
      </w:r>
      <w:r>
        <w:t xml:space="preserve">is found within the search area, then the</w:t>
      </w:r>
      <w:r>
        <w:t xml:space="preserve"> </w:t>
      </w:r>
      <w:r>
        <w:rPr>
          <w:iCs/>
          <w:i/>
        </w:rPr>
        <w:t xml:space="preserve">Primate</w:t>
      </w:r>
      <w:r>
        <w:t xml:space="preserve"> </w:t>
      </w:r>
      <w:r>
        <w:t xml:space="preserve">will re-use the</w:t>
      </w:r>
      <w:r>
        <w:t xml:space="preserve"> </w:t>
      </w:r>
      <w:r>
        <w:rPr>
          <w:iCs/>
          <w:i/>
        </w:rPr>
        <w:t xml:space="preserve">Pounding Tool</w:t>
      </w:r>
      <w:r>
        <w:t xml:space="preserve"> </w:t>
      </w:r>
      <w:r>
        <w:t xml:space="preserve">for nut-cracking. In the event that both</w:t>
      </w:r>
      <w:r>
        <w:t xml:space="preserve"> </w:t>
      </w:r>
      <w:r>
        <w:rPr>
          <w:iCs/>
          <w:i/>
        </w:rPr>
        <w:t xml:space="preserve">Sources</w:t>
      </w:r>
      <w:r>
        <w:t xml:space="preserve"> </w:t>
      </w:r>
      <w:r>
        <w:t xml:space="preserve">and</w:t>
      </w:r>
      <w:r>
        <w:t xml:space="preserve"> </w:t>
      </w:r>
      <w:r>
        <w:rPr>
          <w:iCs/>
          <w:i/>
        </w:rPr>
        <w:t xml:space="preserve">Pounding Tools</w:t>
      </w:r>
      <w:r>
        <w:t xml:space="preserve"> </w:t>
      </w:r>
      <w:r>
        <w:t xml:space="preserve">are found within the search radius then the</w:t>
      </w:r>
      <w:r>
        <w:t xml:space="preserve"> </w:t>
      </w:r>
      <w:r>
        <w:rPr>
          <w:iCs/>
          <w:i/>
        </w:rPr>
        <w:t xml:space="preserve">Primate</w:t>
      </w:r>
      <w:r>
        <w:t xml:space="preserve"> </w:t>
      </w:r>
      <w:r>
        <w:t xml:space="preserve">will choose the</w:t>
      </w:r>
      <w:r>
        <w:t xml:space="preserve"> </w:t>
      </w:r>
      <w:r>
        <w:rPr>
          <w:iCs/>
          <w:i/>
        </w:rPr>
        <w:t xml:space="preserve">Pounding Tool</w:t>
      </w:r>
      <w:r>
        <w:t xml:space="preserve"> </w:t>
      </w:r>
      <w:r>
        <w:t xml:space="preserve">or</w:t>
      </w:r>
      <w:r>
        <w:t xml:space="preserve"> </w:t>
      </w:r>
      <w:r>
        <w:rPr>
          <w:iCs/>
          <w:i/>
        </w:rPr>
        <w:t xml:space="preserve">Source</w:t>
      </w:r>
      <w:r>
        <w:t xml:space="preserve"> </w:t>
      </w:r>
      <w:r>
        <w:t xml:space="preserve">that is nearest to its location. If multiple</w:t>
      </w:r>
      <w:r>
        <w:t xml:space="preserve"> </w:t>
      </w:r>
      <w:r>
        <w:rPr>
          <w:iCs/>
          <w:i/>
        </w:rPr>
        <w:t xml:space="preserve">Pounding Tools</w:t>
      </w:r>
      <w:r>
        <w:t xml:space="preserve"> </w:t>
      </w:r>
      <w:r>
        <w:t xml:space="preserve">or</w:t>
      </w:r>
      <w:r>
        <w:t xml:space="preserve"> </w:t>
      </w:r>
      <w:r>
        <w:rPr>
          <w:iCs/>
          <w:i/>
        </w:rPr>
        <w:t xml:space="preserve">Sources</w:t>
      </w:r>
      <w:r>
        <w:t xml:space="preserve"> </w:t>
      </w:r>
      <w:r>
        <w:t xml:space="preserve">are equally near, then the choice is random.</w:t>
      </w:r>
    </w:p>
    <w:p>
      <w:pPr>
        <w:pStyle w:val="BodyText"/>
      </w:pPr>
      <w:r>
        <w:t xml:space="preserve">To simulate small scale tool transport and use, the</w:t>
      </w:r>
      <w:r>
        <w:t xml:space="preserve"> </w:t>
      </w:r>
      <w:r>
        <w:rPr>
          <w:iCs/>
          <w:i/>
        </w:rPr>
        <w:t xml:space="preserve">Primate</w:t>
      </w:r>
      <w:r>
        <w:t xml:space="preserve"> </w:t>
      </w:r>
      <w:r>
        <w:t xml:space="preserve">moves the acquired</w:t>
      </w:r>
      <w:r>
        <w:t xml:space="preserve"> </w:t>
      </w:r>
      <w:r>
        <w:rPr>
          <w:iCs/>
          <w:i/>
        </w:rPr>
        <w:t xml:space="preserve">Pounding Tool</w:t>
      </w:r>
      <w:r>
        <w:t xml:space="preserve"> </w:t>
      </w:r>
      <w:r>
        <w:t xml:space="preserve">to the location of the</w:t>
      </w:r>
      <w:r>
        <w:t xml:space="preserve"> </w:t>
      </w:r>
      <w:r>
        <w:rPr>
          <w:iCs/>
          <w:i/>
        </w:rPr>
        <w:t xml:space="preserve">Tree</w:t>
      </w:r>
      <w:r>
        <w:t xml:space="preserve"> </w:t>
      </w:r>
      <w:r>
        <w:t xml:space="preserve">or one of its neighboring grid-cells where it is used and discarded. Each time a</w:t>
      </w:r>
      <w:r>
        <w:t xml:space="preserve"> </w:t>
      </w:r>
      <w:r>
        <w:rPr>
          <w:iCs/>
          <w:i/>
        </w:rPr>
        <w:t xml:space="preserve">Pounding Tool</w:t>
      </w:r>
      <w:r>
        <w:t xml:space="preserve"> </w:t>
      </w:r>
      <w:r>
        <w:t xml:space="preserve">is used there is a likelihood that it will break. The likelihood that a</w:t>
      </w:r>
      <w:r>
        <w:t xml:space="preserve"> </w:t>
      </w:r>
      <w:r>
        <w:rPr>
          <w:iCs/>
          <w:i/>
        </w:rPr>
        <w:t xml:space="preserve">Pounding Tool</w:t>
      </w:r>
      <w:r>
        <w:t xml:space="preserve"> </w:t>
      </w:r>
      <w:r>
        <w:t xml:space="preserve">will break is determined by a baseline probability of 25% plus its raw material</w:t>
      </w:r>
      <w:r>
        <w:t xml:space="preserve"> </w:t>
      </w:r>
      <w:r>
        <w:t xml:space="preserve">“</w:t>
      </w:r>
      <w:r>
        <w:t xml:space="preserve">quality.</w:t>
      </w:r>
      <w:r>
        <w:t xml:space="preserve">”</w:t>
      </w:r>
      <w:r>
        <w:t xml:space="preserve"> </w:t>
      </w:r>
      <w:r>
        <w:t xml:space="preserve">For example, if the</w:t>
      </w:r>
      <w:r>
        <w:t xml:space="preserve"> </w:t>
      </w:r>
      <w:r>
        <w:t xml:space="preserve">“</w:t>
      </w:r>
      <w:r>
        <w:t xml:space="preserve">quality</w:t>
      </w:r>
      <w:r>
        <w:t xml:space="preserve">”</w:t>
      </w:r>
      <w:r>
        <w:t xml:space="preserve"> </w:t>
      </w:r>
      <w:r>
        <w:t xml:space="preserve">of the raw material is 25, this is added to the baseline making the break probability for this tool 50%. If a Pounding-Tool breaks then an additional</w:t>
      </w:r>
      <w:r>
        <w:t xml:space="preserve"> </w:t>
      </w:r>
      <w:r>
        <w:rPr>
          <w:iCs/>
          <w:i/>
        </w:rPr>
        <w:t xml:space="preserve">Pounding Tool</w:t>
      </w:r>
      <w:r>
        <w:t xml:space="preserve">, representing the fragment, is generated and discarded at the location. The size of the resulting</w:t>
      </w:r>
      <w:r>
        <w:t xml:space="preserve"> </w:t>
      </w:r>
      <w:r>
        <w:t xml:space="preserve">“</w:t>
      </w:r>
      <w:r>
        <w:t xml:space="preserve">fragment</w:t>
      </w:r>
      <w:r>
        <w:t xml:space="preserve">”</w:t>
      </w:r>
      <w:r>
        <w:t xml:space="preserve"> </w:t>
      </w:r>
      <w:r>
        <w:t xml:space="preserve">is modeled after the observed size distribution of fragments detached from pounding tools during modern and ancient chimpanzee nut-cracking events in which most breakages result in the production of small fragments but in rare cases fragments can also be large</w:t>
      </w:r>
      <w:r>
        <w:t xml:space="preserve"> </w:t>
      </w:r>
      <w:r>
        <w:t xml:space="preserve">(34)</w:t>
      </w:r>
      <w:r>
        <w:t xml:space="preserve">. This ensures that the production of small sized fragments is far more likely than the generation of a large sized fragment as is the case in chimpanzee nut-cracking activity</w:t>
      </w:r>
      <w:r>
        <w:t xml:space="preserve"> </w:t>
      </w:r>
      <w:r>
        <w:t xml:space="preserve">(34)</w:t>
      </w:r>
      <w:r>
        <w:t xml:space="preserve">. Discarded hammer stones and fragments can continue to be re-used in subsequent nut-cracking events so long as they remain above size threshold of 2000 grams which is equivalent to a small Panda nut cracking hammer in the Tai Forest</w:t>
      </w:r>
      <w:r>
        <w:t xml:space="preserve"> </w:t>
      </w:r>
      <w:r>
        <w:t xml:space="preserve">(18)</w:t>
      </w:r>
      <w:r>
        <w:t xml:space="preserve">.</w:t>
      </w:r>
    </w:p>
    <w:p>
      <w:pPr>
        <w:pStyle w:val="BodyText"/>
      </w:pPr>
      <w:r>
        <w:t xml:space="preserve">During the simulation, the model records data about the broader environment as well as each individual</w:t>
      </w:r>
      <w:r>
        <w:t xml:space="preserve"> </w:t>
      </w:r>
      <w:r>
        <w:rPr>
          <w:iCs/>
          <w:i/>
        </w:rPr>
        <w:t xml:space="preserve">Pounding Tool</w:t>
      </w:r>
      <w:r>
        <w:t xml:space="preserve">. At the global level, the model monitors proximity of live</w:t>
      </w:r>
      <w:r>
        <w:t xml:space="preserve"> </w:t>
      </w:r>
      <w:r>
        <w:rPr>
          <w:iCs/>
          <w:i/>
        </w:rPr>
        <w:t xml:space="preserve">Trees</w:t>
      </w:r>
      <w:r>
        <w:t xml:space="preserve"> </w:t>
      </w:r>
      <w:r>
        <w:t xml:space="preserve">to unexhausted Pounding-Tools and</w:t>
      </w:r>
      <w:r>
        <w:t xml:space="preserve"> </w:t>
      </w:r>
      <w:r>
        <w:rPr>
          <w:iCs/>
          <w:i/>
        </w:rPr>
        <w:t xml:space="preserve">Sources</w:t>
      </w:r>
      <w:r>
        <w:t xml:space="preserve">. In iterations where</w:t>
      </w:r>
      <w:r>
        <w:t xml:space="preserve"> </w:t>
      </w:r>
      <w:r>
        <w:rPr>
          <w:iCs/>
          <w:i/>
        </w:rPr>
        <w:t xml:space="preserve">Trees</w:t>
      </w:r>
      <w:r>
        <w:t xml:space="preserve"> </w:t>
      </w:r>
      <w:r>
        <w:t xml:space="preserve">can die and grow the model also keeps track of the location of the</w:t>
      </w:r>
      <w:r>
        <w:t xml:space="preserve"> </w:t>
      </w:r>
      <w:r>
        <w:rPr>
          <w:iCs/>
          <w:i/>
        </w:rPr>
        <w:t xml:space="preserve">Trees</w:t>
      </w:r>
      <w:r>
        <w:t xml:space="preserve"> </w:t>
      </w:r>
      <w:r>
        <w:t xml:space="preserve">as they change through time. In addition, each Pounding-Tool records the</w:t>
      </w:r>
      <w:r>
        <w:t xml:space="preserve"> </w:t>
      </w:r>
      <w:r>
        <w:rPr>
          <w:iCs/>
          <w:i/>
        </w:rPr>
        <w:t xml:space="preserve">Source</w:t>
      </w:r>
      <w:r>
        <w:t xml:space="preserve"> </w:t>
      </w:r>
      <w:r>
        <w:t xml:space="preserve">that it originated from, the number of times it was used for nut-cracking, its initial size and its size after use as well as its location at the end the simulation. At the end the simulation the model outputs the location of each Pounding-tool and any discarded fragments,</w:t>
      </w:r>
      <w:r>
        <w:t xml:space="preserve"> </w:t>
      </w:r>
      <w:r>
        <w:rPr>
          <w:iCs/>
          <w:i/>
        </w:rPr>
        <w:t xml:space="preserve">Sources</w:t>
      </w:r>
      <w:r>
        <w:t xml:space="preserve">, and</w:t>
      </w:r>
      <w:r>
        <w:t xml:space="preserve"> </w:t>
      </w:r>
      <w:r>
        <w:rPr>
          <w:iCs/>
          <w:i/>
        </w:rPr>
        <w:t xml:space="preserve">Trees</w:t>
      </w:r>
      <w:r>
        <w:t xml:space="preserve"> </w:t>
      </w:r>
      <w:r>
        <w:t xml:space="preserve">as well as their attributes. This provides a means to examine the relationship between where tool-use occurs and the location of</w:t>
      </w:r>
      <w:r>
        <w:t xml:space="preserve"> </w:t>
      </w:r>
      <w:r>
        <w:rPr>
          <w:iCs/>
          <w:i/>
        </w:rPr>
        <w:t xml:space="preserve">Sources</w:t>
      </w:r>
      <w:r>
        <w:t xml:space="preserve"> </w:t>
      </w:r>
      <w:r>
        <w:t xml:space="preserve">and</w:t>
      </w:r>
      <w:r>
        <w:t xml:space="preserve"> </w:t>
      </w:r>
      <w:r>
        <w:rPr>
          <w:iCs/>
          <w:i/>
        </w:rPr>
        <w:t xml:space="preserve">Trees</w:t>
      </w:r>
      <w:r>
        <w:t xml:space="preserve"> </w:t>
      </w:r>
      <w:r>
        <w:t xml:space="preserve">from both systemic and archaeological perspectives.</w:t>
      </w:r>
    </w:p>
    <w:bookmarkEnd w:id="20"/>
    <w:bookmarkStart w:id="25" w:name="results"/>
    <w:p>
      <w:pPr>
        <w:pStyle w:val="Heading1"/>
      </w:pPr>
      <w:r>
        <w:t xml:space="preserve">Results</w:t>
      </w:r>
    </w:p>
    <w:bookmarkStart w:id="23" w:name="environment-tool-use-dynamics"/>
    <w:p>
      <w:pPr>
        <w:pStyle w:val="Heading3"/>
      </w:pPr>
      <w:r>
        <w:t xml:space="preserve">Environment-Tool Use Dynamics</w:t>
      </w:r>
    </w:p>
    <w:p>
      <w:pPr>
        <w:pStyle w:val="CaptionedFigure"/>
      </w:pPr>
      <w:r>
        <w:drawing>
          <wp:inline>
            <wp:extent cx="3234088" cy="2310063"/>
            <wp:effectExtent b="0" l="0" r="0" t="0"/>
            <wp:docPr descr="Left: The effects of small scale tool use on the distance Pounding Tools move from their source. The box plots show that the number of sources has a marginal effect on how far tools move from their source. However, fig.width=3.5, message=FALSE, warning=FALSE, paged.print=FALSE, the number of of Trees has positive influence on how far tools can move. Right: The effect of small scale tool use on the number of Trees where tools use can occur. Both the number of Sources and Trees has a positive influence on the number of Trees where tool use can occur. Note that the Y axis for the right panel is in log scale " title="" id="1" name="Picture"/>
            <a:graphic>
              <a:graphicData uri="http://schemas.openxmlformats.org/drawingml/2006/picture">
                <pic:pic>
                  <pic:nvPicPr>
                    <pic:cNvPr descr="Reeves_et_al_2021_Panda_ABM_files/figure-docx/figure-1-1.png" id="0" name="Picture"/>
                    <pic:cNvPicPr>
                      <a:picLocks noChangeArrowheads="1" noChangeAspect="1"/>
                    </pic:cNvPicPr>
                  </pic:nvPicPr>
                  <pic:blipFill>
                    <a:blip r:embed="rId21"/>
                    <a:stretch>
                      <a:fillRect/>
                    </a:stretch>
                  </pic:blipFill>
                  <pic:spPr bwMode="auto">
                    <a:xfrm>
                      <a:off x="0" y="0"/>
                      <a:ext cx="3234088" cy="2310063"/>
                    </a:xfrm>
                    <a:prstGeom prst="rect">
                      <a:avLst/>
                    </a:prstGeom>
                    <a:noFill/>
                    <a:ln w="9525">
                      <a:noFill/>
                      <a:headEnd/>
                      <a:tailEnd/>
                    </a:ln>
                  </pic:spPr>
                </pic:pic>
              </a:graphicData>
            </a:graphic>
          </wp:inline>
        </w:drawing>
      </w:r>
    </w:p>
    <w:p>
      <w:pPr>
        <w:pStyle w:val="ImageCaption"/>
      </w:pPr>
      <w:r>
        <w:rPr>
          <w:bCs/>
          <w:b/>
        </w:rPr>
        <w:t xml:space="preserve">Left</w:t>
      </w:r>
      <w:r>
        <w:t xml:space="preserve">: The effects of small scale tool use on the distance</w:t>
      </w:r>
      <w:r>
        <w:t xml:space="preserve"> </w:t>
      </w:r>
      <w:r>
        <w:rPr>
          <w:iCs/>
          <w:i/>
        </w:rPr>
        <w:t xml:space="preserve">Pounding Tools</w:t>
      </w:r>
      <w:r>
        <w:t xml:space="preserve"> </w:t>
      </w:r>
      <w:r>
        <w:t xml:space="preserve">move from their source. The box plots show that the number of sources has a marginal effect on how far tools move from their source. However, fig.width=3.5, message=FALSE, warning=FALSE, paged.print=FALSE, the number of of Trees has positive influence on how far tools can move.</w:t>
      </w:r>
      <w:r>
        <w:t xml:space="preserve"> </w:t>
      </w:r>
      <w:r>
        <w:rPr>
          <w:bCs/>
          <w:b/>
        </w:rPr>
        <w:t xml:space="preserve">Right</w:t>
      </w:r>
      <w:r>
        <w:t xml:space="preserve">: The effect of small scale tool use on the number of</w:t>
      </w:r>
      <w:r>
        <w:t xml:space="preserve"> </w:t>
      </w:r>
      <w:r>
        <w:rPr>
          <w:iCs/>
          <w:i/>
        </w:rPr>
        <w:t xml:space="preserve">Trees</w:t>
      </w:r>
      <w:r>
        <w:t xml:space="preserve"> </w:t>
      </w:r>
      <w:r>
        <w:t xml:space="preserve">where tools use can occur. Both the number of</w:t>
      </w:r>
      <w:r>
        <w:t xml:space="preserve"> </w:t>
      </w:r>
      <w:r>
        <w:rPr>
          <w:iCs/>
          <w:i/>
        </w:rPr>
        <w:t xml:space="preserve">Sources</w:t>
      </w:r>
      <w:r>
        <w:t xml:space="preserve"> </w:t>
      </w:r>
      <w:r>
        <w:t xml:space="preserve">and</w:t>
      </w:r>
      <w:r>
        <w:t xml:space="preserve"> </w:t>
      </w:r>
      <w:r>
        <w:rPr>
          <w:iCs/>
          <w:i/>
        </w:rPr>
        <w:t xml:space="preserve">Trees</w:t>
      </w:r>
      <w:r>
        <w:t xml:space="preserve"> </w:t>
      </w:r>
      <w:r>
        <w:t xml:space="preserve">has a positive influence on the number of</w:t>
      </w:r>
      <w:r>
        <w:t xml:space="preserve"> </w:t>
      </w:r>
      <w:r>
        <w:rPr>
          <w:iCs/>
          <w:i/>
        </w:rPr>
        <w:t xml:space="preserve">Trees</w:t>
      </w:r>
      <w:r>
        <w:t xml:space="preserve"> </w:t>
      </w:r>
      <w:r>
        <w:t xml:space="preserve">where tool use can occur. Note that the Y axis for the right panel is in log scale</w:t>
      </w:r>
      <w:r>
        <w:t xml:space="preserve"> </w:t>
      </w:r>
    </w:p>
    <w:p>
      <w:pPr>
        <w:pStyle w:val="BodyText"/>
      </w:pPr>
      <w:r>
        <w:t xml:space="preserve">One of the simplest and expected outcomes of the model is that small scale tool use can occur when a</w:t>
      </w:r>
      <w:r>
        <w:t xml:space="preserve"> </w:t>
      </w:r>
      <w:r>
        <w:rPr>
          <w:iCs/>
          <w:i/>
        </w:rPr>
        <w:t xml:space="preserve">Tree</w:t>
      </w:r>
      <w:r>
        <w:t xml:space="preserve"> </w:t>
      </w:r>
      <w:r>
        <w:t xml:space="preserve">and a</w:t>
      </w:r>
      <w:r>
        <w:t xml:space="preserve"> </w:t>
      </w:r>
      <w:r>
        <w:rPr>
          <w:iCs/>
          <w:i/>
        </w:rPr>
        <w:t xml:space="preserve">Source</w:t>
      </w:r>
      <w:r>
        <w:t xml:space="preserve"> </w:t>
      </w:r>
      <w:r>
        <w:t xml:space="preserve">occur within a 3 grid cell radius of each other. Tool use did not occur in 5% of the runs due to the fact that</w:t>
      </w:r>
      <w:r>
        <w:t xml:space="preserve"> </w:t>
      </w:r>
      <w:r>
        <w:rPr>
          <w:iCs/>
          <w:i/>
        </w:rPr>
        <w:t xml:space="preserve">Trees</w:t>
      </w:r>
      <w:r>
        <w:t xml:space="preserve"> </w:t>
      </w:r>
      <w:r>
        <w:t xml:space="preserve">were never close enough to a</w:t>
      </w:r>
      <w:r>
        <w:t xml:space="preserve"> </w:t>
      </w:r>
      <w:r>
        <w:rPr>
          <w:iCs/>
          <w:i/>
        </w:rPr>
        <w:t xml:space="preserve">Source</w:t>
      </w:r>
      <w:r>
        <w:t xml:space="preserve">. This was predominantly the case in model iterations where both the number of</w:t>
      </w:r>
      <w:r>
        <w:t xml:space="preserve"> </w:t>
      </w:r>
      <w:r>
        <w:rPr>
          <w:iCs/>
          <w:i/>
        </w:rPr>
        <w:t xml:space="preserve">Sources</w:t>
      </w:r>
      <w:r>
        <w:t xml:space="preserve"> </w:t>
      </w:r>
      <w:r>
        <w:t xml:space="preserve">and</w:t>
      </w:r>
      <w:r>
        <w:t xml:space="preserve"> </w:t>
      </w:r>
      <w:r>
        <w:rPr>
          <w:iCs/>
          <w:i/>
        </w:rPr>
        <w:t xml:space="preserve">Trees</w:t>
      </w:r>
      <w:r>
        <w:t xml:space="preserve"> </w:t>
      </w:r>
      <w:r>
        <w:t xml:space="preserve">included in the model were low (SOM: Table 1). Therefore simply increasing both the number of</w:t>
      </w:r>
      <w:r>
        <w:t xml:space="preserve"> </w:t>
      </w:r>
      <w:r>
        <w:rPr>
          <w:iCs/>
          <w:i/>
        </w:rPr>
        <w:t xml:space="preserve">Sources</w:t>
      </w:r>
      <w:r>
        <w:t xml:space="preserve"> </w:t>
      </w:r>
      <w:r>
        <w:t xml:space="preserve">or</w:t>
      </w:r>
      <w:r>
        <w:t xml:space="preserve"> </w:t>
      </w:r>
      <w:r>
        <w:rPr>
          <w:iCs/>
          <w:i/>
        </w:rPr>
        <w:t xml:space="preserve">Trees</w:t>
      </w:r>
      <w:r>
        <w:t xml:space="preserve"> </w:t>
      </w:r>
      <w:r>
        <w:t xml:space="preserve">increases the number of places and ultimately the likelihood that tool use can occur (SOM Figure 1: left, ANOVA, F: 2435.41, P-value: 0).</w:t>
      </w:r>
    </w:p>
    <w:p>
      <w:pPr>
        <w:pStyle w:val="BodyText"/>
      </w:pPr>
      <w:r>
        <w:t xml:space="preserve">When tool use does occur, 99% of model iterations, led to movement of</w:t>
      </w:r>
      <w:r>
        <w:t xml:space="preserve"> </w:t>
      </w:r>
      <w:r>
        <w:rPr>
          <w:iCs/>
          <w:i/>
        </w:rPr>
        <w:t xml:space="preserve">Pounding Tools</w:t>
      </w:r>
      <w:r>
        <w:t xml:space="preserve"> </w:t>
      </w:r>
      <w:r>
        <w:t xml:space="preserve">across beyond the initial constraints of the landscape. When a Pounding Tool is moved from a</w:t>
      </w:r>
      <w:r>
        <w:t xml:space="preserve"> </w:t>
      </w:r>
      <w:r>
        <w:rPr>
          <w:iCs/>
          <w:i/>
        </w:rPr>
        <w:t xml:space="preserve">Source</w:t>
      </w:r>
      <w:r>
        <w:t xml:space="preserve"> </w:t>
      </w:r>
      <w:r>
        <w:t xml:space="preserve">to the location of a</w:t>
      </w:r>
      <w:r>
        <w:t xml:space="preserve"> </w:t>
      </w:r>
      <w:r>
        <w:rPr>
          <w:iCs/>
          <w:i/>
        </w:rPr>
        <w:t xml:space="preserve">Tree</w:t>
      </w:r>
      <w:r>
        <w:t xml:space="preserve">, it becomes a secondary source of raw material for other</w:t>
      </w:r>
      <w:r>
        <w:t xml:space="preserve"> </w:t>
      </w:r>
      <w:r>
        <w:rPr>
          <w:iCs/>
          <w:i/>
        </w:rPr>
        <w:t xml:space="preserve">Trees</w:t>
      </w:r>
      <w:r>
        <w:t xml:space="preserve"> </w:t>
      </w:r>
      <w:r>
        <w:t xml:space="preserve">in the vicinity. Over time, provided that Trees occur within a 3-grid cell radius of each other, the repeated transport of</w:t>
      </w:r>
      <w:r>
        <w:t xml:space="preserve"> </w:t>
      </w:r>
      <w:r>
        <w:rPr>
          <w:iCs/>
          <w:i/>
        </w:rPr>
        <w:t xml:space="preserve">Pounding Tools</w:t>
      </w:r>
      <w:r>
        <w:t xml:space="preserve"> </w:t>
      </w:r>
      <w:r>
        <w:t xml:space="preserve">incrementally moves Pounding Tools up to a maximum distance of 58 grid cells from its</w:t>
      </w:r>
      <w:r>
        <w:t xml:space="preserve"> </w:t>
      </w:r>
      <w:r>
        <w:rPr>
          <w:iCs/>
          <w:i/>
        </w:rPr>
        <w:t xml:space="preserve">Source</w:t>
      </w:r>
      <w:r>
        <w:t xml:space="preserve">. The maximum distance a</w:t>
      </w:r>
      <w:r>
        <w:t xml:space="preserve"> </w:t>
      </w:r>
      <w:r>
        <w:rPr>
          <w:iCs/>
          <w:i/>
        </w:rPr>
        <w:t xml:space="preserve">Pounding Tool</w:t>
      </w:r>
      <w:r>
        <w:t xml:space="preserve"> </w:t>
      </w:r>
      <w:r>
        <w:t xml:space="preserve">can be moved is attenuated by the number of</w:t>
      </w:r>
      <w:r>
        <w:t xml:space="preserve"> </w:t>
      </w:r>
      <w:r>
        <w:rPr>
          <w:iCs/>
          <w:i/>
        </w:rPr>
        <w:t xml:space="preserve">Trees</w:t>
      </w:r>
      <w:r>
        <w:t xml:space="preserve"> </w:t>
      </w:r>
      <w:r>
        <w:t xml:space="preserve">in the model run.</w:t>
      </w:r>
      <w:r>
        <w:t xml:space="preserve"> </w:t>
      </w:r>
      <w:r>
        <w:rPr>
          <w:iCs/>
          <w:i/>
        </w:rPr>
        <w:t xml:space="preserve">Pounding Tools</w:t>
      </w:r>
      <w:r>
        <w:t xml:space="preserve"> </w:t>
      </w:r>
      <w:r>
        <w:t xml:space="preserve">move greater distances the number of</w:t>
      </w:r>
      <w:r>
        <w:t xml:space="preserve"> </w:t>
      </w:r>
      <w:r>
        <w:rPr>
          <w:iCs/>
          <w:i/>
        </w:rPr>
        <w:t xml:space="preserve">Trees</w:t>
      </w:r>
      <w:r>
        <w:t xml:space="preserve"> </w:t>
      </w:r>
      <w:r>
        <w:t xml:space="preserve">is greater (Figure</w:t>
      </w:r>
      <w:r>
        <w:t xml:space="preserve"> </w:t>
      </w:r>
      <w:r>
        <w:t xml:space="preserve">, left). In addition, the small nature of breakage fragments relative to the size of the</w:t>
      </w:r>
      <w:r>
        <w:t xml:space="preserve"> </w:t>
      </w:r>
      <w:r>
        <w:rPr>
          <w:iCs/>
          <w:i/>
        </w:rPr>
        <w:t xml:space="preserve">Pounding Tool</w:t>
      </w:r>
      <w:r>
        <w:t xml:space="preserve"> </w:t>
      </w:r>
      <w:r>
        <w:t xml:space="preserve">allows</w:t>
      </w:r>
      <w:r>
        <w:t xml:space="preserve"> </w:t>
      </w:r>
      <w:r>
        <w:rPr>
          <w:iCs/>
          <w:i/>
        </w:rPr>
        <w:t xml:space="preserve">Pounding Tools</w:t>
      </w:r>
      <w:r>
        <w:t xml:space="preserve"> </w:t>
      </w:r>
      <w:r>
        <w:t xml:space="preserve">to be used and transported 10s to 100s of times prior to total exhaustion allowing tools of all qualities to be moved substantial distances from their</w:t>
      </w:r>
      <w:r>
        <w:t xml:space="preserve"> </w:t>
      </w:r>
      <w:r>
        <w:rPr>
          <w:iCs/>
          <w:i/>
        </w:rPr>
        <w:t xml:space="preserve">Sources</w:t>
      </w:r>
      <w:r>
        <w:t xml:space="preserve"> </w:t>
      </w:r>
      <w:r>
        <w:t xml:space="preserve">(SOM Table 2). Nevertheless,</w:t>
      </w:r>
      <w:r>
        <w:t xml:space="preserve"> </w:t>
      </w:r>
      <w:r>
        <w:rPr>
          <w:iCs/>
          <w:i/>
        </w:rPr>
        <w:t xml:space="preserve">Pounding Tools</w:t>
      </w:r>
      <w:r>
        <w:t xml:space="preserve"> </w:t>
      </w:r>
      <w:r>
        <w:t xml:space="preserve">of higher quality will move greater maximum distances from</w:t>
      </w:r>
      <w:r>
        <w:t xml:space="preserve"> </w:t>
      </w:r>
      <w:r>
        <w:rPr>
          <w:iCs/>
          <w:i/>
        </w:rPr>
        <w:t xml:space="preserve">Sources</w:t>
      </w:r>
      <w:r>
        <w:t xml:space="preserve"> </w:t>
      </w:r>
      <w:r>
        <w:t xml:space="preserve">prior to exhaustion. The size of the</w:t>
      </w:r>
      <w:r>
        <w:t xml:space="preserve"> </w:t>
      </w:r>
      <w:r>
        <w:rPr>
          <w:iCs/>
          <w:i/>
        </w:rPr>
        <w:t xml:space="preserve">Pounding Tool</w:t>
      </w:r>
      <w:r>
        <w:t xml:space="preserve"> </w:t>
      </w:r>
      <w:r>
        <w:t xml:space="preserve">also influences the maximum distance a pounding tool can be moved (SOM Figure 2). This is because both of these variables influence the number of times</w:t>
      </w:r>
      <w:r>
        <w:t xml:space="preserve"> </w:t>
      </w:r>
      <w:r>
        <w:rPr>
          <w:iCs/>
          <w:i/>
        </w:rPr>
        <w:t xml:space="preserve">Pounding Tools</w:t>
      </w:r>
      <w:r>
        <w:t xml:space="preserve"> </w:t>
      </w:r>
      <w:r>
        <w:t xml:space="preserve">can be used and subsequently transported (i.e. use-life). This incremental transport of</w:t>
      </w:r>
      <w:r>
        <w:t xml:space="preserve"> </w:t>
      </w:r>
      <w:r>
        <w:rPr>
          <w:iCs/>
          <w:i/>
        </w:rPr>
        <w:t xml:space="preserve">Pounding Tools</w:t>
      </w:r>
      <w:r>
        <w:t xml:space="preserve"> </w:t>
      </w:r>
      <w:r>
        <w:t xml:space="preserve">away from their sources consequently increases the number of locations where tool use can occur in 88% of the runs (Figure</w:t>
      </w:r>
      <w:r>
        <w:t xml:space="preserve"> </w:t>
      </w:r>
      <w:r>
        <w:t xml:space="preserve">, right). In other words, the repeated transport of tools across the landscape increases the number of opportunities for tool-use on a given landscape. The 12% of Model runs that did not lead to an increased access of Trees for nut-cracking are predominantly those where the number of</w:t>
      </w:r>
      <w:r>
        <w:t xml:space="preserve"> </w:t>
      </w:r>
      <w:r>
        <w:rPr>
          <w:iCs/>
          <w:i/>
        </w:rPr>
        <w:t xml:space="preserve">Trees</w:t>
      </w:r>
      <w:r>
        <w:t xml:space="preserve"> </w:t>
      </w:r>
      <w:r>
        <w:t xml:space="preserve">or</w:t>
      </w:r>
      <w:r>
        <w:t xml:space="preserve"> </w:t>
      </w:r>
      <w:r>
        <w:rPr>
          <w:iCs/>
          <w:i/>
        </w:rPr>
        <w:t xml:space="preserve">Sources</w:t>
      </w:r>
      <w:r>
        <w:t xml:space="preserve"> </w:t>
      </w:r>
      <w:r>
        <w:t xml:space="preserve">are initially low (SOM Table 3).</w:t>
      </w:r>
    </w:p>
    <w:p>
      <w:pPr>
        <w:pStyle w:val="BodyText"/>
      </w:pPr>
      <w:r>
        <w:t xml:space="preserve">Interestingly, the changing locations of</w:t>
      </w:r>
      <w:r>
        <w:t xml:space="preserve"> </w:t>
      </w:r>
      <w:r>
        <w:rPr>
          <w:iCs/>
          <w:i/>
        </w:rPr>
        <w:t xml:space="preserve">Trees</w:t>
      </w:r>
      <w:r>
        <w:t xml:space="preserve">, due to natural growth and death cycles also strongly influences the above described pattern. When holding the number of</w:t>
      </w:r>
      <w:r>
        <w:t xml:space="preserve"> </w:t>
      </w:r>
      <w:r>
        <w:rPr>
          <w:iCs/>
          <w:i/>
        </w:rPr>
        <w:t xml:space="preserve">Sources</w:t>
      </w:r>
      <w:r>
        <w:t xml:space="preserve">, and</w:t>
      </w:r>
      <w:r>
        <w:t xml:space="preserve"> </w:t>
      </w:r>
      <w:r>
        <w:rPr>
          <w:iCs/>
          <w:i/>
        </w:rPr>
        <w:t xml:space="preserve">Trees</w:t>
      </w:r>
      <w:r>
        <w:t xml:space="preserve"> </w:t>
      </w:r>
      <w:r>
        <w:t xml:space="preserve">constant, iterations where</w:t>
      </w:r>
      <w:r>
        <w:t xml:space="preserve"> </w:t>
      </w:r>
      <w:r>
        <w:rPr>
          <w:iCs/>
          <w:i/>
        </w:rPr>
        <w:t xml:space="preserve">Trees</w:t>
      </w:r>
      <w:r>
        <w:t xml:space="preserve"> </w:t>
      </w:r>
      <w:r>
        <w:t xml:space="preserve">grow and die further increases the number of trees that became available as loci for tool use (SOM Figures 3, 4). When</w:t>
      </w:r>
      <w:r>
        <w:t xml:space="preserve"> </w:t>
      </w:r>
      <w:r>
        <w:rPr>
          <w:iCs/>
          <w:i/>
        </w:rPr>
        <w:t xml:space="preserve">Tree</w:t>
      </w:r>
      <w:r>
        <w:t xml:space="preserve"> </w:t>
      </w:r>
      <w:r>
        <w:t xml:space="preserve">locations remains static (i.e. they do not die or grow), the number of</w:t>
      </w:r>
      <w:r>
        <w:t xml:space="preserve"> </w:t>
      </w:r>
      <w:r>
        <w:rPr>
          <w:iCs/>
          <w:i/>
        </w:rPr>
        <w:t xml:space="preserve">Trees</w:t>
      </w:r>
      <w:r>
        <w:t xml:space="preserve"> </w:t>
      </w:r>
      <w:r>
        <w:t xml:space="preserve">that are accessible for tool use events eventually plateaus thus limiting the area in which</w:t>
      </w:r>
      <w:r>
        <w:t xml:space="preserve"> </w:t>
      </w:r>
      <w:r>
        <w:rPr>
          <w:iCs/>
          <w:i/>
        </w:rPr>
        <w:t xml:space="preserve">Pounding Tools</w:t>
      </w:r>
      <w:r>
        <w:t xml:space="preserve"> </w:t>
      </w:r>
      <w:r>
        <w:t xml:space="preserve">can be redistributed (Figure</w:t>
      </w:r>
      <w:r>
        <w:t xml:space="preserve"> </w:t>
      </w:r>
      <w:r>
        <w:t xml:space="preserve">, left). In contrast. the accessibility of</w:t>
      </w:r>
      <w:r>
        <w:t xml:space="preserve"> </w:t>
      </w:r>
      <w:r>
        <w:rPr>
          <w:iCs/>
          <w:i/>
        </w:rPr>
        <w:t xml:space="preserve">Trees</w:t>
      </w:r>
      <w:r>
        <w:t xml:space="preserve"> </w:t>
      </w:r>
      <w:r>
        <w:t xml:space="preserve">for tool use does not diminish when Trees change locations over time instead, the number of</w:t>
      </w:r>
      <w:r>
        <w:t xml:space="preserve"> </w:t>
      </w:r>
      <w:r>
        <w:rPr>
          <w:iCs/>
          <w:i/>
        </w:rPr>
        <w:t xml:space="preserve">Trees</w:t>
      </w:r>
      <w:r>
        <w:t xml:space="preserve"> </w:t>
      </w:r>
      <w:r>
        <w:t xml:space="preserve">where tool use can occur continues to increase over time (Figure</w:t>
      </w:r>
      <w:r>
        <w:t xml:space="preserve"> </w:t>
      </w:r>
      <w:r>
        <w:t xml:space="preserve">, right) in spite of the fact that</w:t>
      </w:r>
      <w:r>
        <w:t xml:space="preserve"> </w:t>
      </w:r>
      <w:r>
        <w:rPr>
          <w:iCs/>
          <w:i/>
        </w:rPr>
        <w:t xml:space="preserve">Pounding Tool</w:t>
      </w:r>
      <w:r>
        <w:t xml:space="preserve"> </w:t>
      </w:r>
      <w:r>
        <w:t xml:space="preserve">use and</w:t>
      </w:r>
      <w:r>
        <w:t xml:space="preserve"> </w:t>
      </w:r>
      <w:r>
        <w:rPr>
          <w:iCs/>
          <w:i/>
        </w:rPr>
        <w:t xml:space="preserve">Tree</w:t>
      </w:r>
      <w:r>
        <w:t xml:space="preserve"> </w:t>
      </w:r>
      <w:r>
        <w:t xml:space="preserve">life cycle operate on different temporal scales, the results show that the interaction of these processes continuously increase the availability of the</w:t>
      </w:r>
      <w:r>
        <w:t xml:space="preserve"> </w:t>
      </w:r>
      <w:r>
        <w:rPr>
          <w:iCs/>
          <w:i/>
        </w:rPr>
        <w:t xml:space="preserve">Trees</w:t>
      </w:r>
      <w:r>
        <w:t xml:space="preserve"> </w:t>
      </w:r>
      <w:r>
        <w:t xml:space="preserve">across the landscape over time.</w:t>
      </w:r>
    </w:p>
    <w:p>
      <w:pPr>
        <w:pStyle w:val="CaptionedFigure"/>
      </w:pPr>
      <w:r>
        <w:drawing>
          <wp:inline>
            <wp:extent cx="3234088" cy="1848050"/>
            <wp:effectExtent b="0" l="0" r="0" t="0"/>
            <wp:docPr descr="The effect of tree death and growth and the number of trees that come available due to the small scale transport of Pounding Tools. When trees remain in a the same location (Left) the number of new trees that can be accessed due to the incremental transport of Pounding Tools raises and then eventually plateaus. However, when Trees die and grow (Right), these slow changes in the locations of the trees further promotes the incidental movement of Pounding Tools away from their Sources " title="" id="1" name="Picture"/>
            <a:graphic>
              <a:graphicData uri="http://schemas.openxmlformats.org/drawingml/2006/picture">
                <pic:pic>
                  <pic:nvPicPr>
                    <pic:cNvPr descr="Reeves_et_al_2021_Panda_ABM_files/figure-docx/figure-2-1.png" id="0" name="Picture"/>
                    <pic:cNvPicPr>
                      <a:picLocks noChangeArrowheads="1" noChangeAspect="1"/>
                    </pic:cNvPicPr>
                  </pic:nvPicPr>
                  <pic:blipFill>
                    <a:blip r:embed="rId22"/>
                    <a:stretch>
                      <a:fillRect/>
                    </a:stretch>
                  </pic:blipFill>
                  <pic:spPr bwMode="auto">
                    <a:xfrm>
                      <a:off x="0" y="0"/>
                      <a:ext cx="3234088" cy="1848050"/>
                    </a:xfrm>
                    <a:prstGeom prst="rect">
                      <a:avLst/>
                    </a:prstGeom>
                    <a:noFill/>
                    <a:ln w="9525">
                      <a:noFill/>
                      <a:headEnd/>
                      <a:tailEnd/>
                    </a:ln>
                  </pic:spPr>
                </pic:pic>
              </a:graphicData>
            </a:graphic>
          </wp:inline>
        </w:drawing>
      </w:r>
    </w:p>
    <w:p>
      <w:pPr>
        <w:pStyle w:val="ImageCaption"/>
      </w:pPr>
      <w:r>
        <w:t xml:space="preserve">The effect of tree death and growth and the number of trees that come available due to the small scale transport of</w:t>
      </w:r>
      <w:r>
        <w:t xml:space="preserve"> </w:t>
      </w:r>
      <w:r>
        <w:rPr>
          <w:iCs/>
          <w:i/>
        </w:rPr>
        <w:t xml:space="preserve">Pounding Tools</w:t>
      </w:r>
      <w:r>
        <w:t xml:space="preserve">. When</w:t>
      </w:r>
      <w:r>
        <w:t xml:space="preserve"> </w:t>
      </w:r>
      <w:r>
        <w:rPr>
          <w:iCs/>
          <w:i/>
        </w:rPr>
        <w:t xml:space="preserve">trees</w:t>
      </w:r>
      <w:r>
        <w:t xml:space="preserve"> </w:t>
      </w:r>
      <w:r>
        <w:t xml:space="preserve">remain in a the same location (</w:t>
      </w:r>
      <w:r>
        <w:rPr>
          <w:bCs/>
          <w:b/>
        </w:rPr>
        <w:t xml:space="preserve">Left</w:t>
      </w:r>
      <w:r>
        <w:t xml:space="preserve">) the number of new trees that can be accessed due to the incremental transport of</w:t>
      </w:r>
      <w:r>
        <w:t xml:space="preserve"> </w:t>
      </w:r>
      <w:r>
        <w:rPr>
          <w:iCs/>
          <w:i/>
        </w:rPr>
        <w:t xml:space="preserve">Pounding Tools</w:t>
      </w:r>
      <w:r>
        <w:t xml:space="preserve"> </w:t>
      </w:r>
      <w:r>
        <w:t xml:space="preserve">raises and then eventually plateaus. However, when</w:t>
      </w:r>
      <w:r>
        <w:t xml:space="preserve"> </w:t>
      </w:r>
      <w:r>
        <w:rPr>
          <w:iCs/>
          <w:i/>
        </w:rPr>
        <w:t xml:space="preserve">Trees</w:t>
      </w:r>
      <w:r>
        <w:t xml:space="preserve"> </w:t>
      </w:r>
      <w:r>
        <w:t xml:space="preserve">die and grow (</w:t>
      </w:r>
      <w:r>
        <w:rPr>
          <w:bCs/>
          <w:b/>
        </w:rPr>
        <w:t xml:space="preserve">Right</w:t>
      </w:r>
      <w:r>
        <w:t xml:space="preserve">), these slow changes in the locations of the trees further promotes the incidental movement of</w:t>
      </w:r>
      <w:r>
        <w:t xml:space="preserve"> </w:t>
      </w:r>
      <w:r>
        <w:rPr>
          <w:iCs/>
          <w:i/>
        </w:rPr>
        <w:t xml:space="preserve">Pounding Tools</w:t>
      </w:r>
      <w:r>
        <w:t xml:space="preserve"> </w:t>
      </w:r>
      <w:r>
        <w:t xml:space="preserve">away from their</w:t>
      </w:r>
      <w:r>
        <w:t xml:space="preserve"> </w:t>
      </w:r>
      <w:r>
        <w:rPr>
          <w:iCs/>
          <w:i/>
        </w:rPr>
        <w:t xml:space="preserve">Sources</w:t>
      </w:r>
      <w:r>
        <w:t xml:space="preserve"> </w:t>
      </w:r>
    </w:p>
    <w:bookmarkEnd w:id="23"/>
    <w:bookmarkStart w:id="24" w:name="material-signature"/>
    <w:p>
      <w:pPr>
        <w:pStyle w:val="Heading3"/>
      </w:pPr>
      <w:r>
        <w:t xml:space="preserve">Material Signature</w:t>
      </w:r>
    </w:p>
    <w:p>
      <w:pPr>
        <w:pStyle w:val="FirstParagraph"/>
      </w:pPr>
      <w:r>
        <w:t xml:space="preserve">The spatial distribution, density and composition of the resulting material record is dependent on the aspects of the landscape that facilitate the movement of</w:t>
      </w:r>
      <w:r>
        <w:t xml:space="preserve"> </w:t>
      </w:r>
      <w:r>
        <w:rPr>
          <w:iCs/>
          <w:i/>
        </w:rPr>
        <w:t xml:space="preserve">Pounding Tools</w:t>
      </w:r>
      <w:r>
        <w:t xml:space="preserve"> </w:t>
      </w:r>
      <w:r>
        <w:t xml:space="preserve">across space. When</w:t>
      </w:r>
      <w:r>
        <w:t xml:space="preserve"> </w:t>
      </w:r>
      <w:r>
        <w:rPr>
          <w:iCs/>
          <w:i/>
        </w:rPr>
        <w:t xml:space="preserve">Trees</w:t>
      </w:r>
      <w:r>
        <w:t xml:space="preserve"> </w:t>
      </w:r>
      <w:r>
        <w:t xml:space="preserve">are infrequent, the resulting assemblages form localized patches in the grid-cells nearest to</w:t>
      </w:r>
      <w:r>
        <w:t xml:space="preserve"> </w:t>
      </w:r>
      <w:r>
        <w:rPr>
          <w:iCs/>
          <w:i/>
        </w:rPr>
        <w:t xml:space="preserve">Sources</w:t>
      </w:r>
      <w:r>
        <w:t xml:space="preserve"> </w:t>
      </w:r>
      <w:r>
        <w:t xml:space="preserve">(Figure</w:t>
      </w:r>
      <w:r>
        <w:t xml:space="preserve"> </w:t>
      </w:r>
      <w:r>
        <w:t xml:space="preserve">, Top left). As small scale transport is able to move</w:t>
      </w:r>
      <w:r>
        <w:t xml:space="preserve"> </w:t>
      </w:r>
      <w:r>
        <w:rPr>
          <w:iCs/>
          <w:i/>
        </w:rPr>
        <w:t xml:space="preserve">Pounding Tools</w:t>
      </w:r>
      <w:r>
        <w:t xml:space="preserve"> </w:t>
      </w:r>
      <w:r>
        <w:t xml:space="preserve">move more freely as the number of Trees increases the subsequent archaeological record becomes more widely spread (Figure</w:t>
      </w:r>
      <w:r>
        <w:t xml:space="preserve"> </w:t>
      </w:r>
      <w:r>
        <w:t xml:space="preserve">, Top Right). As a result, the growth and death of</w:t>
      </w:r>
      <w:r>
        <w:t xml:space="preserve"> </w:t>
      </w:r>
      <w:r>
        <w:rPr>
          <w:iCs/>
          <w:i/>
        </w:rPr>
        <w:t xml:space="preserve">Trees</w:t>
      </w:r>
      <w:r>
        <w:t xml:space="preserve"> </w:t>
      </w:r>
      <w:r>
        <w:t xml:space="preserve">has a substantial effect on the size and dispersion of the archaeological record across space (Figure</w:t>
      </w:r>
      <w:r>
        <w:t xml:space="preserve"> </w:t>
      </w:r>
      <w:r>
        <w:t xml:space="preserve">). Holding the number of</w:t>
      </w:r>
      <w:r>
        <w:t xml:space="preserve"> </w:t>
      </w:r>
      <w:r>
        <w:rPr>
          <w:iCs/>
          <w:i/>
        </w:rPr>
        <w:t xml:space="preserve">Trees</w:t>
      </w:r>
      <w:r>
        <w:t xml:space="preserve"> </w:t>
      </w:r>
      <w:r>
        <w:t xml:space="preserve">and the number</w:t>
      </w:r>
      <w:r>
        <w:t xml:space="preserve"> </w:t>
      </w:r>
      <w:r>
        <w:rPr>
          <w:iCs/>
          <w:i/>
        </w:rPr>
        <w:t xml:space="preserve">Sources</w:t>
      </w:r>
      <w:r>
        <w:t xml:space="preserve"> </w:t>
      </w:r>
      <w:r>
        <w:t xml:space="preserve">constant, more grids cells accumulate archaeological assemblages in model iterations where</w:t>
      </w:r>
      <w:r>
        <w:t xml:space="preserve"> </w:t>
      </w:r>
      <w:r>
        <w:rPr>
          <w:iCs/>
          <w:i/>
        </w:rPr>
        <w:t xml:space="preserve">Trees</w:t>
      </w:r>
      <w:r>
        <w:t xml:space="preserve"> </w:t>
      </w:r>
      <w:r>
        <w:t xml:space="preserve">grow and die in comparison with those where</w:t>
      </w:r>
      <w:r>
        <w:t xml:space="preserve"> </w:t>
      </w:r>
      <w:r>
        <w:rPr>
          <w:iCs/>
          <w:i/>
        </w:rPr>
        <w:t xml:space="preserve">Trees</w:t>
      </w:r>
      <w:r>
        <w:t xml:space="preserve"> </w:t>
      </w:r>
      <w:r>
        <w:t xml:space="preserve">do not change location. These results show that the interaction between small scale tool transport and use with resource distribution and longer term environmental change can substantially influence the structure of the archaeological record.</w:t>
      </w:r>
    </w:p>
    <w:p>
      <w:pPr>
        <w:pStyle w:val="BodyText"/>
      </w:pPr>
      <w:r>
        <w:t xml:space="preserve">In addition, the density of discarded material, as well as the size of the</w:t>
      </w:r>
      <w:r>
        <w:t xml:space="preserve"> </w:t>
      </w:r>
      <w:r>
        <w:rPr>
          <w:iCs/>
          <w:i/>
        </w:rPr>
        <w:t xml:space="preserve">Pounding Tools</w:t>
      </w:r>
      <w:r>
        <w:t xml:space="preserve"> </w:t>
      </w:r>
      <w:r>
        <w:t xml:space="preserve">are also structured across space. The amount of discarded material per grid cell also forms a noisy distance-decay relationship as the distance to the nearest source increases (Figure 4, SOM Figure 5). The noise in the pattern is due to the fact that tool-use and the location of trees are spatially auto-correlated. If trees occur in such a way that allows</w:t>
      </w:r>
      <w:r>
        <w:t xml:space="preserve"> </w:t>
      </w:r>
      <w:r>
        <w:rPr>
          <w:iCs/>
          <w:i/>
        </w:rPr>
        <w:t xml:space="preserve">Pounding Tools</w:t>
      </w:r>
      <w:r>
        <w:t xml:space="preserve"> </w:t>
      </w:r>
      <w:r>
        <w:t xml:space="preserve">to move from tree to tree away from primary raw material sources, then a distance-decay pattern will form. If, however, a single</w:t>
      </w:r>
      <w:r>
        <w:t xml:space="preserve"> </w:t>
      </w:r>
      <w:r>
        <w:rPr>
          <w:iCs/>
          <w:i/>
        </w:rPr>
        <w:t xml:space="preserve">Tree</w:t>
      </w:r>
      <w:r>
        <w:t xml:space="preserve"> </w:t>
      </w:r>
      <w:r>
        <w:t xml:space="preserve">occurs in isolation in proximity to a primary raw material source, then hammer-stones will be used without being transported further than the location of the tree. As a result, in model runs where the number of</w:t>
      </w:r>
      <w:r>
        <w:t xml:space="preserve"> </w:t>
      </w:r>
      <w:r>
        <w:rPr>
          <w:iCs/>
          <w:i/>
        </w:rPr>
        <w:t xml:space="preserve">Trees</w:t>
      </w:r>
      <w:r>
        <w:t xml:space="preserve"> </w:t>
      </w:r>
      <w:r>
        <w:t xml:space="preserve">permit, the repeated movement and use of</w:t>
      </w:r>
      <w:r>
        <w:t xml:space="preserve"> </w:t>
      </w:r>
      <w:r>
        <w:rPr>
          <w:iCs/>
          <w:i/>
        </w:rPr>
        <w:t xml:space="preserve">Pounding Tools</w:t>
      </w:r>
      <w:r>
        <w:t xml:space="preserve"> </w:t>
      </w:r>
      <w:r>
        <w:t xml:space="preserve">results in a distance–decay relationship where the range and average</w:t>
      </w:r>
      <w:r>
        <w:t xml:space="preserve"> </w:t>
      </w:r>
      <w:r>
        <w:rPr>
          <w:iCs/>
          <w:i/>
        </w:rPr>
        <w:t xml:space="preserve">Pounding Tool</w:t>
      </w:r>
      <w:r>
        <w:t xml:space="preserve"> </w:t>
      </w:r>
      <w:r>
        <w:t xml:space="preserve">size decreases as distance from its primary raw material source increases (Figures 4, SOM Fig. 6, SOM Fig. 7).</w:t>
      </w:r>
    </w:p>
    <w:p>
      <w:pPr>
        <w:pStyle w:val="BodyText"/>
      </w:pPr>
      <w:r>
        <w:t xml:space="preserve">Although</w:t>
      </w:r>
      <w:r>
        <w:t xml:space="preserve"> </w:t>
      </w:r>
      <w:r>
        <w:rPr>
          <w:iCs/>
          <w:i/>
        </w:rPr>
        <w:t xml:space="preserve">Pounding Tools</w:t>
      </w:r>
      <w:r>
        <w:t xml:space="preserve"> </w:t>
      </w:r>
      <w:r>
        <w:t xml:space="preserve">are the only tool used within the model they not are homogeneously distributed across the simulated landscape. The number of</w:t>
      </w:r>
      <w:r>
        <w:t xml:space="preserve"> </w:t>
      </w:r>
      <w:r>
        <w:rPr>
          <w:iCs/>
          <w:i/>
        </w:rPr>
        <w:t xml:space="preserve">Pounding Tools</w:t>
      </w:r>
      <w:r>
        <w:t xml:space="preserve"> </w:t>
      </w:r>
      <w:r>
        <w:t xml:space="preserve">within a given grid-cell also follows a sharp distance-decay relationship with the nearest</w:t>
      </w:r>
      <w:r>
        <w:t xml:space="preserve"> </w:t>
      </w:r>
      <w:r>
        <w:rPr>
          <w:iCs/>
          <w:i/>
        </w:rPr>
        <w:t xml:space="preserve">Source</w:t>
      </w:r>
      <w:r>
        <w:t xml:space="preserve">. In other words,</w:t>
      </w:r>
      <w:r>
        <w:t xml:space="preserve"> </w:t>
      </w:r>
      <w:r>
        <w:rPr>
          <w:iCs/>
          <w:i/>
        </w:rPr>
        <w:t xml:space="preserve">Pounding tools</w:t>
      </w:r>
      <w:r>
        <w:t xml:space="preserve"> </w:t>
      </w:r>
      <w:r>
        <w:t xml:space="preserve">are found in there highest quantities in assemblages nearest to</w:t>
      </w:r>
      <w:r>
        <w:t xml:space="preserve"> </w:t>
      </w:r>
      <w:r>
        <w:rPr>
          <w:iCs/>
          <w:i/>
        </w:rPr>
        <w:t xml:space="preserve">Sources</w:t>
      </w:r>
      <w:r>
        <w:t xml:space="preserve"> </w:t>
      </w:r>
      <w:r>
        <w:t xml:space="preserve">and become increasing scarce as the distance to the nearest</w:t>
      </w:r>
      <w:r>
        <w:t xml:space="preserve"> </w:t>
      </w:r>
      <w:r>
        <w:rPr>
          <w:iCs/>
          <w:i/>
        </w:rPr>
        <w:t xml:space="preserve">Source</w:t>
      </w:r>
      <w:r>
        <w:t xml:space="preserve"> </w:t>
      </w:r>
      <w:r>
        <w:t xml:space="preserve">increases. In fact, 78% of the grid-cells that form material assemblages are comprised entirely of fragments or exhausted Pounding Tools. An additional 11% of the grid-cells contain a single exhausted</w:t>
      </w:r>
      <w:r>
        <w:t xml:space="preserve"> </w:t>
      </w:r>
      <w:r>
        <w:rPr>
          <w:iCs/>
          <w:i/>
        </w:rPr>
        <w:t xml:space="preserve">Pounding Tool</w:t>
      </w:r>
      <w:r>
        <w:t xml:space="preserve">.</w:t>
      </w:r>
    </w:p>
    <w:bookmarkEnd w:id="24"/>
    <w:bookmarkEnd w:id="25"/>
    <w:bookmarkStart w:id="30" w:name="discussion"/>
    <w:p>
      <w:pPr>
        <w:pStyle w:val="Heading1"/>
      </w:pPr>
      <w:r>
        <w:t xml:space="preserve">Discussion</w:t>
      </w:r>
    </w:p>
    <w:p>
      <w:pPr>
        <w:pStyle w:val="FirstParagraph"/>
      </w:pPr>
      <w:r>
        <w:t xml:space="preserve">The results of our model elucidate the relationship tool-use involving short term transport, between resource density (number of Sources and Pounding Tools), environmental change, and the formation of the archaeological record. While these results illustrate how the distribution of resources within an environment ultimately constrains the opportunities for tool-use, specific configurations of resources – particularly those with large numbers of</w:t>
      </w:r>
      <w:r>
        <w:t xml:space="preserve"> </w:t>
      </w:r>
      <w:r>
        <w:rPr>
          <w:iCs/>
          <w:i/>
        </w:rPr>
        <w:t xml:space="preserve">Trees</w:t>
      </w:r>
      <w:r>
        <w:t xml:space="preserve"> </w:t>
      </w:r>
      <w:r>
        <w:t xml:space="preserve">– can have a long lasting influence on the distribution of materials needed for tool use. The model also shows how short term instances of tool transportation can lead to the movement of</w:t>
      </w:r>
      <w:r>
        <w:t xml:space="preserve"> </w:t>
      </w:r>
      <w:r>
        <w:rPr>
          <w:iCs/>
          <w:i/>
        </w:rPr>
        <w:t xml:space="preserve">Pounding Tools</w:t>
      </w:r>
      <w:r>
        <w:t xml:space="preserve"> </w:t>
      </w:r>
      <w:r>
        <w:t xml:space="preserve">across long distances over time thus increasing the number of opportunities for tool use. This long term modification of the landscape is further encouraged by the widespread distribution of foraging opportunities to use tools (in our model</w:t>
      </w:r>
      <w:r>
        <w:t xml:space="preserve"> </w:t>
      </w:r>
      <w:r>
        <w:rPr>
          <w:iCs/>
          <w:i/>
        </w:rPr>
        <w:t xml:space="preserve">Trees</w:t>
      </w:r>
      <w:r>
        <w:t xml:space="preserve">). These dynamics not only influence the prevalence of locations where it is possible to forage where tools are necessary but also the structure of the resulting archaeological record.</w:t>
      </w:r>
    </w:p>
    <w:bookmarkStart w:id="26" w:name="environmental-facilitators-of-tool-use"/>
    <w:p>
      <w:pPr>
        <w:pStyle w:val="Heading3"/>
      </w:pPr>
      <w:r>
        <w:t xml:space="preserve">Environmental Facilitators of Tool Use</w:t>
      </w:r>
    </w:p>
    <w:p>
      <w:pPr>
        <w:pStyle w:val="FirstParagraph"/>
      </w:pPr>
      <w:r>
        <w:t xml:space="preserve">It has often been argued that patterns of tool assisted foraging are driven by encounter rates with resources requiring and raw material needed for tool use</w:t>
      </w:r>
      <w:r>
        <w:t xml:space="preserve"> </w:t>
      </w:r>
      <w:r>
        <w:t xml:space="preserve">(37, 38)</w:t>
      </w:r>
      <w:r>
        <w:t xml:space="preserve">. The results of our model provide further support for this hypothesis by showing that when tool-using behavior is expedient, the number of opportunities use tools is entirely regulated by the frequency and co-occurrence of resources and sources of material in space. Nevertheless, when there are certain configurations of resources, even short bouts of transport can have long term effects on the spatial distribution tool materials and the number of opportunities for tool use beyond what the structure of the landscape naturally allows. In these situations, opportunities for tool-use are not limited by the constraints of the environment and can even be increased by the tool using behavior itself. This work shows that even small scale tool using behaviors have the capacity to modify the availability of a resource through the redistribution tool material. In this light, the model illustrates the niche constructing capacity of such small scale tool using behaviors as increasing the availability of tool-facilitated resources also increases number of times an individual encounters tool using opportunities.</w:t>
      </w:r>
    </w:p>
    <w:p>
      <w:pPr>
        <w:pStyle w:val="BodyText"/>
      </w:pPr>
      <w:r>
        <w:t xml:space="preserve">In addition, the model demonstrates how these small scale tool using behaviors generate positive feedback with the changes in tool-use locations that further enhances the availability of resources and the number of tool using opportunities over the long term. Moreover, the fact that the model Though environmental dynamics are often argued to influence behavioral patterns across evolutionary time-scales but, such arguments lack mechanisms that causally link the two processes together</w:t>
      </w:r>
      <w:r>
        <w:t xml:space="preserve"> </w:t>
      </w:r>
      <w:r>
        <w:t xml:space="preserve">(16, 39, 40)</w:t>
      </w:r>
      <w:r>
        <w:t xml:space="preserve">. Our model contributes to this discussion by illustrating how processes that operate on different temporal scales produces feedback. While the model does not consider reproduction, these results may imply that new generations of a population where such feedback is in effect inherit a landscape in which resources associated with this type of tool using behavior are more accessible than they were in previous generations.</w:t>
      </w:r>
    </w:p>
    <w:bookmarkEnd w:id="26"/>
    <w:bookmarkStart w:id="27" w:name="X8f6c9c92433616e2497fde858b0607e1597c0d8"/>
    <w:p>
      <w:pPr>
        <w:pStyle w:val="Heading3"/>
      </w:pPr>
      <w:r>
        <w:t xml:space="preserve">Implications for Chimpanzee Stone Tool Use</w:t>
      </w:r>
    </w:p>
    <w:p>
      <w:pPr>
        <w:pStyle w:val="FirstParagraph"/>
      </w:pPr>
      <w:r>
        <w:t xml:space="preserve">Although stone tool use among</w:t>
      </w:r>
      <w:r>
        <w:t xml:space="preserve"> </w:t>
      </w:r>
      <w:r>
        <w:rPr>
          <w:iCs/>
          <w:i/>
        </w:rPr>
        <w:t xml:space="preserve">Pan</w:t>
      </w:r>
      <w:r>
        <w:t xml:space="preserve"> </w:t>
      </w:r>
      <w:r>
        <w:t xml:space="preserve">is considered to be highly constrained by the environment</w:t>
      </w:r>
      <w:r>
        <w:t xml:space="preserve"> </w:t>
      </w:r>
      <w:r>
        <w:t xml:space="preserve">(10)</w:t>
      </w:r>
      <w:r>
        <w:t xml:space="preserve">, the results of the model imply Chimpanzees have to capacity to modify their environments in a way that may have a lasting effect the landscape that is inherited by future generations of Chimpanzees. Nut-cracking hammerstones are recorded up to 2 kilometers from the nearest naturally occurring source of stone in the Tai Forest. Moreover, these hammers have been shown follow a distance-decay pattern where hammers are smaller are more utilized the farther they are found from the nearest source</w:t>
      </w:r>
      <w:r>
        <w:t xml:space="preserve"> </w:t>
      </w:r>
      <w:r>
        <w:t xml:space="preserve">(18)</w:t>
      </w:r>
      <w:r>
        <w:t xml:space="preserve">. This spatial patterning is consistent with the results of the model and may such suggest that the Chimpanzees of the Tai Forest may be modifying distribution of tool using materials. Although tool transport and use within the model is hard-coded into the agent’s behavior within our model, tool use, within chimpanzee populations, has previously been described as a socially learned behavior</w:t>
      </w:r>
      <w:r>
        <w:t xml:space="preserve"> </w:t>
      </w:r>
      <w:r>
        <w:t xml:space="preserve">(12, 41, 42)</w:t>
      </w:r>
      <w:r>
        <w:t xml:space="preserve">. As such, the results of our model within the context of chimpanzee behavior suggest that chimpanzees may unintentionally modify their accessibility to resources through a culturally learned behavior. Increasing the number of opportunities for tool use also increases the number of social opportunities for learning and the transmission of tool using skills</w:t>
      </w:r>
      <w:r>
        <w:t xml:space="preserve"> </w:t>
      </w:r>
      <w:r>
        <w:t xml:space="preserve">(38)</w:t>
      </w:r>
      <w:r>
        <w:t xml:space="preserve">. In this sense, the results of our model shows how short term bouts of transport also may reinforce the prevalence of tool use within chimpanzee populations by causing future generations to inherit a landscape in which the number of tool-use opportunities is greater than if was before.</w:t>
      </w:r>
    </w:p>
    <w:p>
      <w:pPr>
        <w:pStyle w:val="BodyText"/>
      </w:pPr>
      <w:r>
        <w:t xml:space="preserve">However, unlike the model percussive tools do not accumulate at tool-use sites nearest to sources but rather remain infrequent across the landscape. This maybe related to a combination of the minimum distance of nut-trees to a source of stone and transport costs or even an additional bias to re-use tools as opposed acquiring new material from a source. This difference between the model and nut-cracking in the Tai Forest, may highlight the delicate balance between the environment, availability of tool using resources, and behavior, that attenuates the spatial-temporal impact of small scale tool using behaviors on the landscape.</w:t>
      </w:r>
    </w:p>
    <w:bookmarkEnd w:id="27"/>
    <w:bookmarkStart w:id="28" w:name="implications-for-hominin-evolution"/>
    <w:p>
      <w:pPr>
        <w:pStyle w:val="Heading3"/>
      </w:pPr>
      <w:r>
        <w:t xml:space="preserve">Implications for hominin evolution</w:t>
      </w:r>
    </w:p>
    <w:p>
      <w:pPr>
        <w:pStyle w:val="FirstParagraph"/>
      </w:pPr>
      <w:r>
        <w:t xml:space="preserve">One of the hallmarks of hominin and human niche is the capacity to enable to increase their access to resources through the transport and reuse of tool material</w:t>
      </w:r>
      <w:r>
        <w:t xml:space="preserve"> </w:t>
      </w:r>
      <w:r>
        <w:t xml:space="preserve">(23, 43–45)</w:t>
      </w:r>
      <w:r>
        <w:t xml:space="preserve">. The relocation of such materials into material poor areas, effectively makes a lasting change to the environment which, in turn conditions, the mobility, foraging, or even settlement strategies of future generations</w:t>
      </w:r>
      <w:r>
        <w:t xml:space="preserve"> </w:t>
      </w:r>
      <w:r>
        <w:t xml:space="preserve">(6, 46–48)</w:t>
      </w:r>
      <w:r>
        <w:t xml:space="preserve">. Within this context, our model shows that even transport over short distances can modify landscapes in such a way that increases, both the opportunities for tool use and the accessibility of resources.</w:t>
      </w:r>
    </w:p>
    <w:p>
      <w:pPr>
        <w:pStyle w:val="BodyText"/>
      </w:pPr>
      <w:r>
        <w:t xml:space="preserve">It may be that such interactions between the distribution of resources and short term tool transport behavior had the capacity to generate feedback that may have influenced the role tool use in hominin evolution. For example, percussive tools may facilitated access to animal protein through the breakage bones prior to the emergence core and flake technology</w:t>
      </w:r>
      <w:r>
        <w:t xml:space="preserve"> </w:t>
      </w:r>
      <w:r>
        <w:t xml:space="preserve">(49)</w:t>
      </w:r>
      <w:r>
        <w:t xml:space="preserve">. Within the context of the model it is plausible, that the interaction between short distance transport of percussive tools and the changing locations of animal carcasses as the result of the emergence of new kills and the decomposition of old kills, would have created a dynamic that would systematically seed a lake margin environment with percussive tools. This would increase both the number of opportunities and encounter rates with scavengable carcasses and in turn increase the contribution of animal protein to the hominin diet. Such encounter rates would have been critical to recognizing animal carcasses as a food resource and its increased consumption over time</w:t>
      </w:r>
      <w:r>
        <w:t xml:space="preserve"> </w:t>
      </w:r>
      <w:r>
        <w:t xml:space="preserve">(49)</w:t>
      </w:r>
      <w:r>
        <w:t xml:space="preserve">. In may that simple interactions between local environmental dynamics and tool transport may have contributed to the increased consumption of protein which is argued to have played an important role in hominin brain evolution and even the emergence of</w:t>
      </w:r>
      <w:r>
        <w:t xml:space="preserve"> </w:t>
      </w:r>
      <w:r>
        <w:rPr>
          <w:iCs/>
          <w:i/>
        </w:rPr>
        <w:t xml:space="preserve">H. erectus</w:t>
      </w:r>
      <w:r>
        <w:t xml:space="preserve"> </w:t>
      </w:r>
      <w:r>
        <w:t xml:space="preserve">(6, 50, 51)</w:t>
      </w:r>
      <w:r>
        <w:t xml:space="preserve">.</w:t>
      </w:r>
    </w:p>
    <w:bookmarkEnd w:id="28"/>
    <w:bookmarkStart w:id="29" w:name="Xaabc715ad13e0965023548946a810ab68d6c7b3"/>
    <w:p>
      <w:pPr>
        <w:pStyle w:val="Heading3"/>
      </w:pPr>
      <w:r>
        <w:t xml:space="preserve">Implications for the archaeological record</w:t>
      </w:r>
    </w:p>
    <w:p>
      <w:pPr>
        <w:pStyle w:val="FirstParagraph"/>
      </w:pPr>
      <w:r>
        <w:t xml:space="preserve">In order to understand if the processes illustrated in the model had bearing on the past, evidence of such dynamics must gleaned from a static material record. As such, the results of the model provides novel insights into the transformation of these processes into an archaeological record. Percussive tools are the most characteristic artefact of the primate stone tool record and are well described in both human and nonhuman primates</w:t>
      </w:r>
      <w:r>
        <w:t xml:space="preserve"> </w:t>
      </w:r>
      <w:r>
        <w:t xml:space="preserve">(52, 53)</w:t>
      </w:r>
      <w:r>
        <w:t xml:space="preserve">. The results of the model illustrate how the tangible traces on left on percussive tools in terms of their degree of utilization and their distance from their source location are result of this interaction between external and behavioral processes. Both of these attributes can be inferred from archaeological contexts</w:t>
      </w:r>
      <w:r>
        <w:t xml:space="preserve"> </w:t>
      </w:r>
      <w:r>
        <w:t xml:space="preserve">(18, 54)</w:t>
      </w:r>
      <w:r>
        <w:t xml:space="preserve">.</w:t>
      </w:r>
    </w:p>
    <w:p>
      <w:pPr>
        <w:pStyle w:val="BodyText"/>
      </w:pPr>
      <w:r>
        <w:t xml:space="preserve">However, documenting this pattern in an archaeological context is far more complex. While the results of this study show that in some circumstances, primate percussive behavior can produce a wide spread material record the ubiquity of pounding tools across the landscape is not homogenous. The percussive tools only occur in large quantities in assemblages where stone is readily available (i.e. close to Sources) and are relatively scarce or even absent in areas more distant from sources. In these distant places suitable pounding tools less available and therefore more likely to be transported more often. If there is a need to continuously transport and utilize the same hammerstones, as is observed in the model, then there may be little opportunity for tools to enter the archaeological record whole. Such tools may only enter the archaeological record as fragments or as an exhausted tool, at which point, they become almost archaeologically invisible</w:t>
      </w:r>
      <w:r>
        <w:t xml:space="preserve"> </w:t>
      </w:r>
      <w:r>
        <w:t xml:space="preserve">(32)</w:t>
      </w:r>
      <w:r>
        <w:t xml:space="preserve">. This phenomenon is echoed in the Tai Forest, for example, stone tool use was continuously observed from 1979 to 1983 site of Panda 100, until the death of the tree in 1984</w:t>
      </w:r>
      <w:r>
        <w:t xml:space="preserve"> </w:t>
      </w:r>
      <w:r>
        <w:t xml:space="preserve">(55)</w:t>
      </w:r>
      <w:r>
        <w:t xml:space="preserve">. Yet, archaeological investigation of the site yielded little to no evidence of complete hammerstones, suggesting that the discarded hammer stones at the once live tree become a secondary source of material for other nut bearing trees</w:t>
      </w:r>
      <w:r>
        <w:t xml:space="preserve"> </w:t>
      </w:r>
      <w:r>
        <w:t xml:space="preserve">(34, 56)</w:t>
      </w:r>
      <w:r>
        <w:t xml:space="preserve">.</w:t>
      </w:r>
    </w:p>
    <w:p>
      <w:pPr>
        <w:pStyle w:val="BodyText"/>
      </w:pPr>
      <w:r>
        <w:t xml:space="preserve">Although there is currently no physical evidence, it has been postulated that a culture of percussive technology similar to that of modern-day chimpanzees may have existed prior to the earliest known archaeological evidence of early hominins</w:t>
      </w:r>
      <w:r>
        <w:t xml:space="preserve"> </w:t>
      </w:r>
      <w:r>
        <w:t xml:space="preserve">(10, 13, 57)</w:t>
      </w:r>
      <w:r>
        <w:t xml:space="preserve">. Few expectations have, however, been set forth regarding the composition of this archaeological record. Here we build upon the expectations of Panger et al.</w:t>
      </w:r>
      <w:r>
        <w:t xml:space="preserve"> </w:t>
      </w:r>
      <w:r>
        <w:t xml:space="preserve">(15)</w:t>
      </w:r>
      <w:r>
        <w:t xml:space="preserve"> </w:t>
      </w:r>
      <w:r>
        <w:t xml:space="preserve">by illustrating how the structure of the environment influences structure of the archaeological record. The results of this model suggest that the associated record may range from a few localized patches to a widespread distribution of archaeological sites throughout the landscape. If the earliest durable evidence of hominin tool-use is manifested as percussive tools then this record may be difficult to recover. While the model does show that this behavior can lead to the aggregation of large quantities of percussive tools, it also suggests that such localities are rare. In other environmental circumstances the archaeological record is far more wide spread, but most assemblages would be comprised of mostly fragments. Such a record, even if widespread, would be difficult to recognize as early forms of tool use let alone distinguish from non-anthropogenic processes.</w:t>
      </w:r>
    </w:p>
    <w:bookmarkEnd w:id="29"/>
    <w:bookmarkEnd w:id="30"/>
    <w:bookmarkStart w:id="98" w:name="conclusion"/>
    <w:p>
      <w:pPr>
        <w:pStyle w:val="Heading1"/>
      </w:pPr>
      <w:r>
        <w:t xml:space="preserve">Conclusion</w:t>
      </w:r>
    </w:p>
    <w:p>
      <w:pPr>
        <w:pStyle w:val="FirstParagraph"/>
      </w:pPr>
      <w:r>
        <w:t xml:space="preserve">Though small scale tool-use is ultimately constrained by its environment. This model shows that hammerstone transport over time can have a significant effect on the facilitation of tool behavior itself. The aggregate effect of short transportation events can improve the accessibility of resources within a landscape over time. This landscape pattern of unintentional tool provisioning not only potentially mitigates against local changes in the availability of resources but also increases the opportunity for nut cracking to be carried out. In this sense this tool-using behavior provides chimpanzees and potentially other tool-using non-human primates the capacity to positively modify their environments.. In the context of living Chimpanzee populations, the results of the model in combination with ethological data have the potential to incrementally modify their environments through a culturally learned behaviors.</w:t>
      </w:r>
    </w:p>
    <w:bookmarkStart w:id="97" w:name="refs"/>
    <w:bookmarkStart w:id="31" w:name="ref-hillEmergenceHumanUniqueness2009"/>
    <w:p>
      <w:pPr>
        <w:pStyle w:val="Bibliography"/>
      </w:pPr>
      <w:r>
        <w:t xml:space="preserve">1.</w:t>
      </w:r>
      <w:r>
        <w:t xml:space="preserve"> </w:t>
      </w:r>
      <w:r>
        <w:t xml:space="preserve">	</w:t>
      </w:r>
      <w:r>
        <w:t xml:space="preserve">Hill K, Barton M, Magdalena Hurtado A (2009) The emergence of human uniqueness:</w:t>
      </w:r>
      <w:r>
        <w:t xml:space="preserve"> </w:t>
      </w:r>
      <w:r>
        <w:t xml:space="preserve">Characters</w:t>
      </w:r>
      <w:r>
        <w:t xml:space="preserve"> </w:t>
      </w:r>
      <w:r>
        <w:t xml:space="preserve">underlying behavioral modernity.</w:t>
      </w:r>
      <w:r>
        <w:t xml:space="preserve"> </w:t>
      </w:r>
      <w:r>
        <w:rPr>
          <w:iCs/>
          <w:i/>
        </w:rPr>
        <w:t xml:space="preserve">Evolutionary Anthropology</w:t>
      </w:r>
      <w:r>
        <w:t xml:space="preserve"> </w:t>
      </w:r>
      <w:r>
        <w:t xml:space="preserve">18(5):187–200.</w:t>
      </w:r>
    </w:p>
    <w:bookmarkEnd w:id="31"/>
    <w:bookmarkStart w:id="32" w:name="ref-boydNotGenesAlone2005"/>
    <w:p>
      <w:pPr>
        <w:pStyle w:val="Bibliography"/>
      </w:pPr>
      <w:r>
        <w:t xml:space="preserve">2.</w:t>
      </w:r>
      <w:r>
        <w:t xml:space="preserve"> </w:t>
      </w:r>
      <w:r>
        <w:t xml:space="preserve">	</w:t>
      </w:r>
      <w:r>
        <w:t xml:space="preserve">Boyd R, Richardson PJ (2005)</w:t>
      </w:r>
      <w:r>
        <w:t xml:space="preserve"> </w:t>
      </w:r>
      <w:r>
        <w:rPr>
          <w:iCs/>
          <w:i/>
        </w:rPr>
        <w:t xml:space="preserve">Not by</w:t>
      </w:r>
      <w:r>
        <w:rPr>
          <w:iCs/>
          <w:i/>
        </w:rPr>
        <w:t xml:space="preserve"> </w:t>
      </w:r>
      <w:r>
        <w:rPr>
          <w:iCs/>
          <w:i/>
        </w:rPr>
        <w:t xml:space="preserve">Genes Alone</w:t>
      </w:r>
      <w:r>
        <w:rPr>
          <w:iCs/>
          <w:i/>
        </w:rPr>
        <w:t xml:space="preserve">:</w:t>
      </w:r>
      <w:r>
        <w:rPr>
          <w:iCs/>
          <w:i/>
        </w:rPr>
        <w:t xml:space="preserve"> </w:t>
      </w:r>
      <w:r>
        <w:rPr>
          <w:iCs/>
          <w:i/>
        </w:rPr>
        <w:t xml:space="preserve">How Culture Transformed Human Evolution</w:t>
      </w:r>
      <w:r>
        <w:t xml:space="preserve"> </w:t>
      </w:r>
      <w:r>
        <w:t xml:space="preserve">(</w:t>
      </w:r>
      <w:r>
        <w:t xml:space="preserve">University of Chicago Press</w:t>
      </w:r>
      <w:r>
        <w:t xml:space="preserve">,</w:t>
      </w:r>
      <w:r>
        <w:t xml:space="preserve"> </w:t>
      </w:r>
      <w:r>
        <w:t xml:space="preserve">Chicago</w:t>
      </w:r>
      <w:r>
        <w:t xml:space="preserve">).</w:t>
      </w:r>
    </w:p>
    <w:bookmarkEnd w:id="32"/>
    <w:bookmarkStart w:id="33" w:name="ref-danchinDNAIntegratingInclusive2011"/>
    <w:p>
      <w:pPr>
        <w:pStyle w:val="Bibliography"/>
      </w:pPr>
      <w:r>
        <w:t xml:space="preserve">3.</w:t>
      </w:r>
      <w:r>
        <w:t xml:space="preserve"> </w:t>
      </w:r>
      <w:r>
        <w:t xml:space="preserve">	</w:t>
      </w:r>
      <w:r>
        <w:t xml:space="preserve">Danchin Ã, et al. (2011) Beyond</w:t>
      </w:r>
      <w:r>
        <w:t xml:space="preserve"> </w:t>
      </w:r>
      <w:r>
        <w:t xml:space="preserve">DNA</w:t>
      </w:r>
      <w:r>
        <w:t xml:space="preserve">: Integrating inclusive inheritance into an extended theory of evolution.</w:t>
      </w:r>
      <w:r>
        <w:t xml:space="preserve"> </w:t>
      </w:r>
      <w:r>
        <w:rPr>
          <w:iCs/>
          <w:i/>
        </w:rPr>
        <w:t xml:space="preserve">Nat Rev Genet</w:t>
      </w:r>
      <w:r>
        <w:t xml:space="preserve"> </w:t>
      </w:r>
      <w:r>
        <w:t xml:space="preserve">12(7):475–486.</w:t>
      </w:r>
    </w:p>
    <w:bookmarkEnd w:id="33"/>
    <w:bookmarkStart w:id="34" w:name="ref-fogartyNicheConstructionCultural2017"/>
    <w:p>
      <w:pPr>
        <w:pStyle w:val="Bibliography"/>
      </w:pPr>
      <w:r>
        <w:t xml:space="preserve">4.</w:t>
      </w:r>
      <w:r>
        <w:t xml:space="preserve"> </w:t>
      </w:r>
      <w:r>
        <w:t xml:space="preserve">	</w:t>
      </w:r>
      <w:r>
        <w:t xml:space="preserve">Fogarty L, Creanza N (2017) The niche construction of cultural complexity: Interactions between innovations, population size and the environment.</w:t>
      </w:r>
      <w:r>
        <w:t xml:space="preserve"> </w:t>
      </w:r>
      <w:r>
        <w:rPr>
          <w:iCs/>
          <w:i/>
        </w:rPr>
        <w:t xml:space="preserve">Philosophical Transactions of the Royal Society B: Biological Sciences</w:t>
      </w:r>
      <w:r>
        <w:t xml:space="preserve"> </w:t>
      </w:r>
      <w:r>
        <w:t xml:space="preserve">372(1735):20160428.</w:t>
      </w:r>
    </w:p>
    <w:bookmarkEnd w:id="34"/>
    <w:bookmarkStart w:id="35" w:name="ref-lalandCulturalNicheConstruction2011"/>
    <w:p>
      <w:pPr>
        <w:pStyle w:val="Bibliography"/>
      </w:pPr>
      <w:r>
        <w:t xml:space="preserve">5.</w:t>
      </w:r>
      <w:r>
        <w:t xml:space="preserve"> </w:t>
      </w:r>
      <w:r>
        <w:t xml:space="preserve">	</w:t>
      </w:r>
      <w:r>
        <w:t xml:space="preserve">Laland KN, OÃâNANANAâNABri MJ (2011) Cultural</w:t>
      </w:r>
      <w:r>
        <w:t xml:space="preserve"> </w:t>
      </w:r>
      <w:r>
        <w:t xml:space="preserve">Niche Construction</w:t>
      </w:r>
      <w:r>
        <w:t xml:space="preserve">:</w:t>
      </w:r>
      <w:r>
        <w:t xml:space="preserve"> </w:t>
      </w:r>
      <w:r>
        <w:t xml:space="preserve">An Introduction</w:t>
      </w:r>
      <w:r>
        <w:t xml:space="preserve">.</w:t>
      </w:r>
      <w:r>
        <w:t xml:space="preserve"> </w:t>
      </w:r>
      <w:r>
        <w:rPr>
          <w:iCs/>
          <w:i/>
        </w:rPr>
        <w:t xml:space="preserve">Biol Theory</w:t>
      </w:r>
      <w:r>
        <w:t xml:space="preserve"> </w:t>
      </w:r>
      <w:r>
        <w:t xml:space="preserve">6(3):191–202.</w:t>
      </w:r>
    </w:p>
    <w:bookmarkEnd w:id="35"/>
    <w:bookmarkStart w:id="36" w:name="Xef9d06ca9e225e7a8ee07a6115c3637bf9493d9"/>
    <w:p>
      <w:pPr>
        <w:pStyle w:val="Bibliography"/>
      </w:pPr>
      <w:r>
        <w:t xml:space="preserve">6.</w:t>
      </w:r>
      <w:r>
        <w:t xml:space="preserve"> </w:t>
      </w:r>
      <w:r>
        <w:t xml:space="preserve">	</w:t>
      </w:r>
      <w:r>
        <w:t xml:space="preserve">Laland KN, Odling-Smee J, Feldman MW (2000) Niche construction, biological evolution, and cultural change.</w:t>
      </w:r>
      <w:r>
        <w:t xml:space="preserve"> </w:t>
      </w:r>
      <w:r>
        <w:rPr>
          <w:iCs/>
          <w:i/>
        </w:rPr>
        <w:t xml:space="preserve">Behavioral and Brain Sciences</w:t>
      </w:r>
      <w:r>
        <w:t xml:space="preserve"> </w:t>
      </w:r>
      <w:r>
        <w:t xml:space="preserve">23(1):131–146.</w:t>
      </w:r>
    </w:p>
    <w:bookmarkEnd w:id="36"/>
    <w:bookmarkStart w:id="37" w:name="ref-obrienDualInheritanceCultural2017"/>
    <w:p>
      <w:pPr>
        <w:pStyle w:val="Bibliography"/>
      </w:pPr>
      <w:r>
        <w:t xml:space="preserve">7.</w:t>
      </w:r>
      <w:r>
        <w:t xml:space="preserve"> </w:t>
      </w:r>
      <w:r>
        <w:t xml:space="preserve">	</w:t>
      </w:r>
      <w:r>
        <w:t xml:space="preserve">O’Brien MJ, Bentley RA (2017) Dual</w:t>
      </w:r>
      <w:r>
        <w:t xml:space="preserve"> </w:t>
      </w:r>
      <w:r>
        <w:t xml:space="preserve">Inheritance</w:t>
      </w:r>
      <w:r>
        <w:t xml:space="preserve">,</w:t>
      </w:r>
      <w:r>
        <w:t xml:space="preserve"> </w:t>
      </w:r>
      <w:r>
        <w:t xml:space="preserve">Cultural Transmission</w:t>
      </w:r>
      <w:r>
        <w:t xml:space="preserve">, and</w:t>
      </w:r>
      <w:r>
        <w:t xml:space="preserve"> </w:t>
      </w:r>
      <w:r>
        <w:t xml:space="preserve">Niche Construction</w:t>
      </w:r>
      <w:r>
        <w:t xml:space="preserve">.</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Culture</w:t>
      </w:r>
      <w:r>
        <w:rPr>
          <w:iCs/>
          <w:i/>
        </w:rPr>
        <w:t xml:space="preserve"> </w:t>
      </w:r>
      <w:r>
        <w:rPr>
          <w:iCs/>
          <w:i/>
        </w:rPr>
        <w:t xml:space="preserve">and</w:t>
      </w:r>
      <w:r>
        <w:rPr>
          <w:iCs/>
          <w:i/>
        </w:rPr>
        <w:t xml:space="preserve"> </w:t>
      </w:r>
      <w:r>
        <w:rPr>
          <w:iCs/>
          <w:i/>
        </w:rPr>
        <w:t xml:space="preserve">Biology</w:t>
      </w:r>
      <w:r>
        <w:t xml:space="preserve">, eds Causadias JM, Telzer EH, Gonzales NA (</w:t>
      </w:r>
      <w:r>
        <w:t xml:space="preserve">John Wiley &amp; Sons, Inc.</w:t>
      </w:r>
      <w:r>
        <w:t xml:space="preserve">,</w:t>
      </w:r>
      <w:r>
        <w:t xml:space="preserve"> </w:t>
      </w:r>
      <w:r>
        <w:t xml:space="preserve">Hoboken, NJ, USA</w:t>
      </w:r>
      <w:r>
        <w:t xml:space="preserve">), pp 179–201.</w:t>
      </w:r>
    </w:p>
    <w:bookmarkEnd w:id="37"/>
    <w:bookmarkStart w:id="38" w:name="Xdd1c2a380fb1a723a0ddf78e64eca8143bfb1b9"/>
    <w:p>
      <w:pPr>
        <w:pStyle w:val="Bibliography"/>
      </w:pPr>
      <w:r>
        <w:t xml:space="preserve">8.</w:t>
      </w:r>
      <w:r>
        <w:t xml:space="preserve"> </w:t>
      </w:r>
      <w:r>
        <w:t xml:space="preserve">	</w:t>
      </w:r>
      <w:r>
        <w:t xml:space="preserve">Odling-Smee J, Erwin DH, Palkovacs EP, Feldman MW, Laland KN (2013) Niche</w:t>
      </w:r>
      <w:r>
        <w:t xml:space="preserve"> </w:t>
      </w:r>
      <w:r>
        <w:t xml:space="preserve">Construction Theory</w:t>
      </w:r>
      <w:r>
        <w:t xml:space="preserve">:</w:t>
      </w:r>
      <w:r>
        <w:t xml:space="preserve"> </w:t>
      </w:r>
      <w:r>
        <w:t xml:space="preserve">A Practical Guide</w:t>
      </w:r>
      <w:r>
        <w:t xml:space="preserve"> </w:t>
      </w:r>
      <w:r>
        <w:t xml:space="preserve">for</w:t>
      </w:r>
      <w:r>
        <w:t xml:space="preserve"> </w:t>
      </w:r>
      <w:r>
        <w:t xml:space="preserve">Ecologists</w:t>
      </w:r>
      <w:r>
        <w:t xml:space="preserve">.</w:t>
      </w:r>
      <w:r>
        <w:t xml:space="preserve"> </w:t>
      </w:r>
      <w:r>
        <w:rPr>
          <w:iCs/>
          <w:i/>
        </w:rPr>
        <w:t xml:space="preserve">The Quarterly Review of Biology</w:t>
      </w:r>
      <w:r>
        <w:t xml:space="preserve"> </w:t>
      </w:r>
      <w:r>
        <w:t xml:space="preserve">88(1):3–28.</w:t>
      </w:r>
    </w:p>
    <w:bookmarkEnd w:id="38"/>
    <w:bookmarkStart w:id="39" w:name="ref-rendellRunawayCulturalNiche2011"/>
    <w:p>
      <w:pPr>
        <w:pStyle w:val="Bibliography"/>
      </w:pPr>
      <w:r>
        <w:t xml:space="preserve">9.</w:t>
      </w:r>
      <w:r>
        <w:t xml:space="preserve"> </w:t>
      </w:r>
      <w:r>
        <w:t xml:space="preserve">	</w:t>
      </w:r>
      <w:r>
        <w:t xml:space="preserve">Rendell L, Fogarty L, Laland KN (2011) Runaway cultural niche construction.</w:t>
      </w:r>
      <w:r>
        <w:t xml:space="preserve"> </w:t>
      </w:r>
      <w:r>
        <w:rPr>
          <w:iCs/>
          <w:i/>
        </w:rPr>
        <w:t xml:space="preserve">Philosophical Transactions of the Royal Society B: Biological Sciences</w:t>
      </w:r>
      <w:r>
        <w:t xml:space="preserve"> </w:t>
      </w:r>
      <w:r>
        <w:t xml:space="preserve">366(1566):823–835.</w:t>
      </w:r>
    </w:p>
    <w:bookmarkEnd w:id="39"/>
    <w:bookmarkStart w:id="40" w:name="ref-carvalhoToolcompositeReuseWild2009"/>
    <w:p>
      <w:pPr>
        <w:pStyle w:val="Bibliography"/>
      </w:pPr>
      <w:r>
        <w:t xml:space="preserve">10.</w:t>
      </w:r>
      <w:r>
        <w:t xml:space="preserve"> </w:t>
      </w:r>
      <w:r>
        <w:t xml:space="preserve">	</w:t>
      </w:r>
      <w:r>
        <w:t xml:space="preserve">Carvalho S, Biro D, McGrew WC, Matsuzawa T (2009) Tool-composite reuse in wild chimpanzees (</w:t>
      </w:r>
      <w:r>
        <w:t xml:space="preserve">Pan</w:t>
      </w:r>
      <w:r>
        <w:t xml:space="preserve"> </w:t>
      </w:r>
      <w:r>
        <w:t xml:space="preserve">troglodytes): Archaeologically invisible steps in the technological evolution of early hominins?</w:t>
      </w:r>
      <w:r>
        <w:t xml:space="preserve"> </w:t>
      </w:r>
      <w:r>
        <w:rPr>
          <w:iCs/>
          <w:i/>
        </w:rPr>
        <w:t xml:space="preserve">Anim Cogn</w:t>
      </w:r>
      <w:r>
        <w:t xml:space="preserve"> </w:t>
      </w:r>
      <w:r>
        <w:t xml:space="preserve">12(1):103–114.</w:t>
      </w:r>
    </w:p>
    <w:bookmarkEnd w:id="40"/>
    <w:bookmarkStart w:id="41" w:name="ref-lalandAnimalCultures2008"/>
    <w:p>
      <w:pPr>
        <w:pStyle w:val="Bibliography"/>
      </w:pPr>
      <w:r>
        <w:t xml:space="preserve">11.</w:t>
      </w:r>
      <w:r>
        <w:t xml:space="preserve"> </w:t>
      </w:r>
      <w:r>
        <w:t xml:space="preserve">	</w:t>
      </w:r>
      <w:r>
        <w:t xml:space="preserve">Laland K (2008) Animal</w:t>
      </w:r>
      <w:r>
        <w:t xml:space="preserve"> </w:t>
      </w:r>
      <w:r>
        <w:t xml:space="preserve">Cultures</w:t>
      </w:r>
      <w:r>
        <w:t xml:space="preserve">.</w:t>
      </w:r>
      <w:r>
        <w:t xml:space="preserve"> </w:t>
      </w:r>
      <w:r>
        <w:rPr>
          <w:iCs/>
          <w:i/>
        </w:rPr>
        <w:t xml:space="preserve">Current biology</w:t>
      </w:r>
      <w:r>
        <w:t xml:space="preserve"> </w:t>
      </w:r>
      <w:r>
        <w:t xml:space="preserve">18(9):366–370.</w:t>
      </w:r>
    </w:p>
    <w:bookmarkEnd w:id="41"/>
    <w:bookmarkStart w:id="43" w:name="ref-lunczPrimateArchaeologyReveals2015"/>
    <w:p>
      <w:pPr>
        <w:pStyle w:val="Bibliography"/>
      </w:pPr>
      <w:r>
        <w:t xml:space="preserve">12.</w:t>
      </w:r>
      <w:r>
        <w:t xml:space="preserve"> </w:t>
      </w:r>
      <w:r>
        <w:t xml:space="preserve">	</w:t>
      </w:r>
      <w:r>
        <w:t xml:space="preserve">Luncz LV, Wittig RM, Boesch C (2015) Primate archaeology reveals cultural transmission in wild chimpanzees (</w:t>
      </w:r>
      <w:r>
        <w:t xml:space="preserve">Pan</w:t>
      </w:r>
      <w:r>
        <w:t xml:space="preserve"> </w:t>
      </w:r>
      <w:r>
        <w:t xml:space="preserve">troglodytes verus).</w:t>
      </w:r>
      <w:r>
        <w:t xml:space="preserve"> </w:t>
      </w:r>
      <w:r>
        <w:rPr>
          <w:iCs/>
          <w:i/>
        </w:rPr>
        <w:t xml:space="preserve">Philos Trans R Soc Lond B Biol Sci</w:t>
      </w:r>
      <w:r>
        <w:t xml:space="preserve"> </w:t>
      </w:r>
      <w:r>
        <w:t xml:space="preserve">370(1682). doi:</w:t>
      </w:r>
      <w:hyperlink r:id="rId42">
        <w:r>
          <w:rPr>
            <w:rStyle w:val="Hyperlink"/>
          </w:rPr>
          <w:t xml:space="preserve">10.1098/rstb.2014.0348</w:t>
        </w:r>
      </w:hyperlink>
      <w:r>
        <w:t xml:space="preserve">.</w:t>
      </w:r>
    </w:p>
    <w:bookmarkEnd w:id="43"/>
    <w:bookmarkStart w:id="44" w:name="ref-mcgrewChimpanzeeMaterialCulture1992"/>
    <w:p>
      <w:pPr>
        <w:pStyle w:val="Bibliography"/>
      </w:pPr>
      <w:r>
        <w:t xml:space="preserve">13.</w:t>
      </w:r>
      <w:r>
        <w:t xml:space="preserve"> </w:t>
      </w:r>
      <w:r>
        <w:t xml:space="preserve">	</w:t>
      </w:r>
      <w:r>
        <w:t xml:space="preserve">McGrew W (1992)</w:t>
      </w:r>
      <w:r>
        <w:t xml:space="preserve"> </w:t>
      </w:r>
      <w:r>
        <w:rPr>
          <w:iCs/>
          <w:i/>
        </w:rPr>
        <w:t xml:space="preserve">Chimpanzee</w:t>
      </w:r>
      <w:r>
        <w:rPr>
          <w:iCs/>
          <w:i/>
        </w:rPr>
        <w:t xml:space="preserve"> </w:t>
      </w:r>
      <w:r>
        <w:rPr>
          <w:iCs/>
          <w:i/>
        </w:rPr>
        <w:t xml:space="preserve">Material Culture</w:t>
      </w:r>
      <w:r>
        <w:rPr>
          <w:iCs/>
          <w:i/>
        </w:rPr>
        <w:t xml:space="preserve">:</w:t>
      </w:r>
      <w:r>
        <w:rPr>
          <w:iCs/>
          <w:i/>
        </w:rPr>
        <w:t xml:space="preserve"> </w:t>
      </w:r>
      <w:r>
        <w:rPr>
          <w:iCs/>
          <w:i/>
        </w:rPr>
        <w:t xml:space="preserve">Implications</w:t>
      </w:r>
      <w:r>
        <w:rPr>
          <w:iCs/>
          <w:i/>
        </w:rPr>
        <w:t xml:space="preserve"> </w:t>
      </w:r>
      <w:r>
        <w:rPr>
          <w:iCs/>
          <w:i/>
        </w:rPr>
        <w:t xml:space="preserve">for</w:t>
      </w:r>
      <w:r>
        <w:rPr>
          <w:iCs/>
          <w:i/>
        </w:rPr>
        <w:t xml:space="preserve"> </w:t>
      </w:r>
      <w:r>
        <w:rPr>
          <w:iCs/>
          <w:i/>
        </w:rPr>
        <w:t xml:space="preserve">Human Evolution</w:t>
      </w:r>
      <w:r>
        <w:t xml:space="preserve"> </w:t>
      </w:r>
      <w:r>
        <w:t xml:space="preserve">(</w:t>
      </w:r>
      <w:r>
        <w:t xml:space="preserve">Cambridge University Press</w:t>
      </w:r>
      <w:r>
        <w:t xml:space="preserve">,</w:t>
      </w:r>
      <w:r>
        <w:t xml:space="preserve"> </w:t>
      </w:r>
      <w:r>
        <w:t xml:space="preserve">Cambridge</w:t>
      </w:r>
      <w:r>
        <w:t xml:space="preserve">).</w:t>
      </w:r>
    </w:p>
    <w:bookmarkEnd w:id="44"/>
    <w:bookmarkStart w:id="45" w:name="ref-sanzEcologicalSocialCorrelates2013"/>
    <w:p>
      <w:pPr>
        <w:pStyle w:val="Bibliography"/>
      </w:pPr>
      <w:r>
        <w:t xml:space="preserve">14.</w:t>
      </w:r>
      <w:r>
        <w:t xml:space="preserve"> </w:t>
      </w:r>
      <w:r>
        <w:t xml:space="preserve">	</w:t>
      </w:r>
      <w:r>
        <w:t xml:space="preserve">Sanz CM, Morgan DB (2013) Ecological and social correlates of chimpanzee tool use.</w:t>
      </w:r>
      <w:r>
        <w:t xml:space="preserve"> </w:t>
      </w:r>
      <w:r>
        <w:rPr>
          <w:iCs/>
          <w:i/>
        </w:rPr>
        <w:t xml:space="preserve">Philosophical Transactions of the Royal Society B: Biological Sciences</w:t>
      </w:r>
      <w:r>
        <w:t xml:space="preserve"> </w:t>
      </w:r>
      <w:r>
        <w:t xml:space="preserve">368(1630):20120416.</w:t>
      </w:r>
    </w:p>
    <w:bookmarkEnd w:id="45"/>
    <w:bookmarkStart w:id="46" w:name="ref-pangerOlderOldowanRethinking2003"/>
    <w:p>
      <w:pPr>
        <w:pStyle w:val="Bibliography"/>
      </w:pPr>
      <w:r>
        <w:t xml:space="preserve">15.</w:t>
      </w:r>
      <w:r>
        <w:t xml:space="preserve"> </w:t>
      </w:r>
      <w:r>
        <w:t xml:space="preserve">	</w:t>
      </w:r>
      <w:r>
        <w:t xml:space="preserve">Panger MA, Brooks AS, Richmond BG, Wood B (2003) Older than the</w:t>
      </w:r>
      <w:r>
        <w:t xml:space="preserve"> </w:t>
      </w:r>
      <w:r>
        <w:t xml:space="preserve">Oldowan</w:t>
      </w:r>
      <w:r>
        <w:t xml:space="preserve">?</w:t>
      </w:r>
      <w:r>
        <w:t xml:space="preserve"> </w:t>
      </w:r>
      <w:r>
        <w:t xml:space="preserve">Rethinking</w:t>
      </w:r>
      <w:r>
        <w:t xml:space="preserve"> </w:t>
      </w:r>
      <w:r>
        <w:t xml:space="preserve">the emergence of hominin tool use.</w:t>
      </w:r>
      <w:r>
        <w:t xml:space="preserve"> </w:t>
      </w:r>
      <w:r>
        <w:rPr>
          <w:iCs/>
          <w:i/>
        </w:rPr>
        <w:t xml:space="preserve">Evolutionary Anthropology: Issues, News, and Reviews</w:t>
      </w:r>
      <w:r>
        <w:t xml:space="preserve"> </w:t>
      </w:r>
      <w:r>
        <w:t xml:space="preserve">11(6):235–245.</w:t>
      </w:r>
    </w:p>
    <w:bookmarkEnd w:id="46"/>
    <w:bookmarkStart w:id="47" w:name="X9bd9ad1b7cef940b29a94acea47a31fdaf440ab"/>
    <w:p>
      <w:pPr>
        <w:pStyle w:val="Bibliography"/>
      </w:pPr>
      <w:r>
        <w:t xml:space="preserve">16.</w:t>
      </w:r>
      <w:r>
        <w:t xml:space="preserve"> </w:t>
      </w:r>
      <w:r>
        <w:t xml:space="preserve">	</w:t>
      </w:r>
      <w:r>
        <w:t xml:space="preserve">Stiner MC (2020) The challenges of documenting coevolution and niche construction:</w:t>
      </w:r>
      <w:r>
        <w:t xml:space="preserve"> </w:t>
      </w:r>
      <w:r>
        <w:t xml:space="preserve">The</w:t>
      </w:r>
      <w:r>
        <w:t xml:space="preserve"> </w:t>
      </w:r>
      <w:r>
        <w:t xml:space="preserve">example of domestic spaces.</w:t>
      </w:r>
      <w:r>
        <w:t xml:space="preserve"> </w:t>
      </w:r>
      <w:r>
        <w:rPr>
          <w:iCs/>
          <w:i/>
        </w:rPr>
        <w:t xml:space="preserve">Evolutionary Anthropology</w:t>
      </w:r>
      <w:r>
        <w:t xml:space="preserve">:evan.21878.</w:t>
      </w:r>
    </w:p>
    <w:bookmarkEnd w:id="47"/>
    <w:bookmarkStart w:id="48" w:name="ref-boeschMentalMapWild1984"/>
    <w:p>
      <w:pPr>
        <w:pStyle w:val="Bibliography"/>
      </w:pPr>
      <w:r>
        <w:t xml:space="preserve">17.</w:t>
      </w:r>
      <w:r>
        <w:t xml:space="preserve"> </w:t>
      </w:r>
      <w:r>
        <w:t xml:space="preserve">	</w:t>
      </w:r>
      <w:r>
        <w:t xml:space="preserve">Boesch C, Boesch H (1984) Mental map in wild chimpanzees:</w:t>
      </w:r>
      <w:r>
        <w:t xml:space="preserve"> </w:t>
      </w:r>
      <w:r>
        <w:t xml:space="preserve">An</w:t>
      </w:r>
      <w:r>
        <w:t xml:space="preserve"> </w:t>
      </w:r>
      <w:r>
        <w:t xml:space="preserve">analysis of hammer transports for nut cracking.</w:t>
      </w:r>
      <w:r>
        <w:t xml:space="preserve"> </w:t>
      </w:r>
      <w:r>
        <w:rPr>
          <w:iCs/>
          <w:i/>
        </w:rPr>
        <w:t xml:space="preserve">Primates</w:t>
      </w:r>
      <w:r>
        <w:t xml:space="preserve"> </w:t>
      </w:r>
      <w:r>
        <w:t xml:space="preserve">25(2):160–170.</w:t>
      </w:r>
    </w:p>
    <w:bookmarkEnd w:id="48"/>
    <w:bookmarkStart w:id="49" w:name="ref-lunczDistancedecayEffectStone2016"/>
    <w:p>
      <w:pPr>
        <w:pStyle w:val="Bibliography"/>
      </w:pPr>
      <w:r>
        <w:t xml:space="preserve">18.</w:t>
      </w:r>
      <w:r>
        <w:t xml:space="preserve"> </w:t>
      </w:r>
      <w:r>
        <w:t xml:space="preserve">	</w:t>
      </w:r>
      <w:r>
        <w:t xml:space="preserve">Luncz LV, Proffitt T, Kulik L, Haslam M, Wittig RM (2016) Distance-decay effect in stone tool transport by wild chimpanzees.</w:t>
      </w:r>
      <w:r>
        <w:t xml:space="preserve"> </w:t>
      </w:r>
      <w:r>
        <w:rPr>
          <w:iCs/>
          <w:i/>
        </w:rPr>
        <w:t xml:space="preserve">Proceedings of the Royal Society B: Biological Sciences</w:t>
      </w:r>
      <w:r>
        <w:t xml:space="preserve"> </w:t>
      </w:r>
      <w:r>
        <w:t xml:space="preserve">283(1845):20161607.</w:t>
      </w:r>
    </w:p>
    <w:bookmarkEnd w:id="49"/>
    <w:bookmarkStart w:id="50" w:name="ref-gifford-gonzalezBonesAreNot1991"/>
    <w:p>
      <w:pPr>
        <w:pStyle w:val="Bibliography"/>
      </w:pPr>
      <w:r>
        <w:t xml:space="preserve">19.</w:t>
      </w:r>
      <w:r>
        <w:t xml:space="preserve"> </w:t>
      </w:r>
      <w:r>
        <w:t xml:space="preserve">	</w:t>
      </w:r>
      <w:r>
        <w:t xml:space="preserve">Gifford-Gonzalez D (1991) Bones are not enough:</w:t>
      </w:r>
      <w:r>
        <w:t xml:space="preserve"> </w:t>
      </w:r>
      <w:r>
        <w:t xml:space="preserve">Analogues</w:t>
      </w:r>
      <w:r>
        <w:t xml:space="preserve">, knowledge, and interpretive strategies in zooarchaeology.</w:t>
      </w:r>
      <w:r>
        <w:t xml:space="preserve"> </w:t>
      </w:r>
      <w:r>
        <w:rPr>
          <w:iCs/>
          <w:i/>
        </w:rPr>
        <w:t xml:space="preserve">Journal of Anthropological Archaeology</w:t>
      </w:r>
      <w:r>
        <w:t xml:space="preserve"> </w:t>
      </w:r>
      <w:r>
        <w:t xml:space="preserve">10(3):215–254.</w:t>
      </w:r>
    </w:p>
    <w:bookmarkEnd w:id="50"/>
    <w:bookmarkStart w:id="52" w:name="Xf10d20d958aa26175a32d53ccb6fe645454c047"/>
    <w:p>
      <w:pPr>
        <w:pStyle w:val="Bibliography"/>
      </w:pPr>
      <w:r>
        <w:t xml:space="preserve">20.</w:t>
      </w:r>
      <w:r>
        <w:t xml:space="preserve"> </w:t>
      </w:r>
      <w:r>
        <w:t xml:space="preserve">	</w:t>
      </w:r>
      <w:r>
        <w:t xml:space="preserve">Perreault C (2019)</w:t>
      </w:r>
      <w:r>
        <w:t xml:space="preserve"> </w:t>
      </w:r>
      <w:r>
        <w:rPr>
          <w:iCs/>
          <w:i/>
        </w:rPr>
        <w:t xml:space="preserve">The</w:t>
      </w:r>
      <w:r>
        <w:rPr>
          <w:iCs/>
          <w:i/>
        </w:rPr>
        <w:t xml:space="preserve"> </w:t>
      </w:r>
      <w:r>
        <w:rPr>
          <w:iCs/>
          <w:i/>
        </w:rPr>
        <w:t xml:space="preserve">Quality</w:t>
      </w:r>
      <w:r>
        <w:rPr>
          <w:iCs/>
          <w:i/>
        </w:rPr>
        <w:t xml:space="preserve"> </w:t>
      </w:r>
      <w:r>
        <w:rPr>
          <w:iCs/>
          <w:i/>
        </w:rPr>
        <w:t xml:space="preserve">of the</w:t>
      </w:r>
      <w:r>
        <w:rPr>
          <w:iCs/>
          <w:i/>
        </w:rPr>
        <w:t xml:space="preserve"> </w:t>
      </w:r>
      <w:r>
        <w:rPr>
          <w:iCs/>
          <w:i/>
        </w:rPr>
        <w:t xml:space="preserve">Archaeological Record</w:t>
      </w:r>
      <w:r>
        <w:t xml:space="preserve"> </w:t>
      </w:r>
      <w:r>
        <w:t xml:space="preserve">(</w:t>
      </w:r>
      <w:r>
        <w:t xml:space="preserve">University of Chicago Press</w:t>
      </w:r>
      <w:r>
        <w:t xml:space="preserve">,</w:t>
      </w:r>
      <w:r>
        <w:t xml:space="preserve"> </w:t>
      </w:r>
      <w:r>
        <w:t xml:space="preserve">Chicago</w:t>
      </w:r>
      <w:r>
        <w:t xml:space="preserve">) Available at:</w:t>
      </w:r>
      <w:r>
        <w:t xml:space="preserve"> </w:t>
      </w:r>
      <w:hyperlink r:id="rId51">
        <w:r>
          <w:rPr>
            <w:rStyle w:val="Hyperlink"/>
          </w:rPr>
          <w:t xml:space="preserve">https://www.press.uchicago.edu/ucp/books/book/chicago/Q/bo39582137.html</w:t>
        </w:r>
      </w:hyperlink>
      <w:r>
        <w:t xml:space="preserve"> </w:t>
      </w:r>
      <w:r>
        <w:t xml:space="preserve">[Accessed September 13, 2019].</w:t>
      </w:r>
    </w:p>
    <w:bookmarkEnd w:id="52"/>
    <w:bookmarkStart w:id="53" w:name="X723f18fb36d52d7fa38de2b98fe95ef15d5dfb9"/>
    <w:p>
      <w:pPr>
        <w:pStyle w:val="Bibliography"/>
      </w:pPr>
      <w:r>
        <w:t xml:space="preserve">21.</w:t>
      </w:r>
      <w:r>
        <w:t xml:space="preserve"> </w:t>
      </w:r>
      <w:r>
        <w:t xml:space="preserve">	</w:t>
      </w:r>
      <w:r>
        <w:t xml:space="preserve">Bailey G (2007) Time perspectives, palimpsests and the archaeology of time.</w:t>
      </w:r>
      <w:r>
        <w:t xml:space="preserve"> </w:t>
      </w:r>
      <w:r>
        <w:rPr>
          <w:iCs/>
          <w:i/>
        </w:rPr>
        <w:t xml:space="preserve">Journal of Anthropological Archaeology</w:t>
      </w:r>
      <w:r>
        <w:t xml:space="preserve"> </w:t>
      </w:r>
      <w:r>
        <w:t xml:space="preserve">26(2):198–223.</w:t>
      </w:r>
    </w:p>
    <w:bookmarkEnd w:id="53"/>
    <w:bookmarkStart w:id="54" w:name="ref-brooksPreservationActivityAreas1987"/>
    <w:p>
      <w:pPr>
        <w:pStyle w:val="Bibliography"/>
      </w:pPr>
      <w:r>
        <w:t xml:space="preserve">22.</w:t>
      </w:r>
      <w:r>
        <w:t xml:space="preserve"> </w:t>
      </w:r>
      <w:r>
        <w:t xml:space="preserve">	</w:t>
      </w:r>
      <w:r>
        <w:t xml:space="preserve">Brooks AS, Yellen JE (1987) The</w:t>
      </w:r>
      <w:r>
        <w:t xml:space="preserve"> </w:t>
      </w:r>
      <w:r>
        <w:t xml:space="preserve">Preservation</w:t>
      </w:r>
      <w:r>
        <w:t xml:space="preserve"> </w:t>
      </w:r>
      <w:r>
        <w:t xml:space="preserve">of</w:t>
      </w:r>
      <w:r>
        <w:t xml:space="preserve"> </w:t>
      </w:r>
      <w:r>
        <w:t xml:space="preserve">Activity Areas</w:t>
      </w:r>
      <w:r>
        <w:t xml:space="preserve"> </w:t>
      </w:r>
      <w:r>
        <w:t xml:space="preserve">in the</w:t>
      </w:r>
      <w:r>
        <w:t xml:space="preserve"> </w:t>
      </w:r>
      <w:r>
        <w:t xml:space="preserve">Archaeological Record</w:t>
      </w:r>
      <w:r>
        <w:t xml:space="preserve">:</w:t>
      </w:r>
      <w:r>
        <w:t xml:space="preserve"> </w:t>
      </w:r>
      <w:r>
        <w:t xml:space="preserve">Ethnoarchaeological</w:t>
      </w:r>
      <w:r>
        <w:t xml:space="preserve"> </w:t>
      </w:r>
      <w:r>
        <w:t xml:space="preserve">and</w:t>
      </w:r>
      <w:r>
        <w:t xml:space="preserve"> </w:t>
      </w:r>
      <w:r>
        <w:t xml:space="preserve">Archaeological Work</w:t>
      </w:r>
      <w:r>
        <w:t xml:space="preserve"> </w:t>
      </w:r>
      <w:r>
        <w:t xml:space="preserve">in</w:t>
      </w:r>
      <w:r>
        <w:t xml:space="preserve"> </w:t>
      </w:r>
      <w:r>
        <w:t xml:space="preserve">NOrthwest Ngamiland</w:t>
      </w:r>
      <w:r>
        <w:t xml:space="preserve">,</w:t>
      </w:r>
      <w:r>
        <w:t xml:space="preserve"> </w:t>
      </w:r>
      <w:r>
        <w:t xml:space="preserve">Botswana</w:t>
      </w:r>
      <w:r>
        <w:t xml:space="preserve">.</w:t>
      </w:r>
      <w:r>
        <w:t xml:space="preserve"> </w:t>
      </w:r>
      <w:r>
        <w:rPr>
          <w:iCs/>
          <w:i/>
        </w:rPr>
        <w:t xml:space="preserve">Methog and</w:t>
      </w:r>
      <w:r>
        <w:rPr>
          <w:iCs/>
          <w:i/>
        </w:rPr>
        <w:t xml:space="preserve"> </w:t>
      </w:r>
      <w:r>
        <w:rPr>
          <w:iCs/>
          <w:i/>
        </w:rPr>
        <w:t xml:space="preserve">Theory</w:t>
      </w:r>
      <w:r>
        <w:rPr>
          <w:iCs/>
          <w:i/>
        </w:rPr>
        <w:t xml:space="preserve"> </w:t>
      </w:r>
      <w:r>
        <w:rPr>
          <w:iCs/>
          <w:i/>
        </w:rPr>
        <w:t xml:space="preserve">for</w:t>
      </w:r>
      <w:r>
        <w:rPr>
          <w:iCs/>
          <w:i/>
        </w:rPr>
        <w:t xml:space="preserve"> </w:t>
      </w:r>
      <w:r>
        <w:rPr>
          <w:iCs/>
          <w:i/>
        </w:rPr>
        <w:t xml:space="preserve">Activity Area Research</w:t>
      </w:r>
      <w:r>
        <w:rPr>
          <w:iCs/>
          <w:i/>
        </w:rPr>
        <w:t xml:space="preserve">:</w:t>
      </w:r>
      <w:r>
        <w:rPr>
          <w:iCs/>
          <w:i/>
        </w:rPr>
        <w:t xml:space="preserve"> </w:t>
      </w:r>
      <w:r>
        <w:rPr>
          <w:iCs/>
          <w:i/>
        </w:rPr>
        <w:t xml:space="preserve">An Ethnoarchaeological Approach</w:t>
      </w:r>
      <w:r>
        <w:t xml:space="preserve"> (</w:t>
      </w:r>
      <w:r>
        <w:t xml:space="preserve">Columbia University Press</w:t>
      </w:r>
      <w:r>
        <w:t xml:space="preserve">,</w:t>
      </w:r>
      <w:r>
        <w:t xml:space="preserve"> </w:t>
      </w:r>
      <w:r>
        <w:t xml:space="preserve">New York</w:t>
      </w:r>
      <w:r>
        <w:t xml:space="preserve">), pp 63–106.</w:t>
      </w:r>
    </w:p>
    <w:bookmarkEnd w:id="54"/>
    <w:bookmarkStart w:id="55" w:name="ref-schickModelingFormationEarly1987"/>
    <w:p>
      <w:pPr>
        <w:pStyle w:val="Bibliography"/>
      </w:pPr>
      <w:r>
        <w:t xml:space="preserve">23.</w:t>
      </w:r>
      <w:r>
        <w:t xml:space="preserve"> </w:t>
      </w:r>
      <w:r>
        <w:t xml:space="preserve">	</w:t>
      </w:r>
      <w:r>
        <w:t xml:space="preserve">Schick KD (1987) Modeling the formation of</w:t>
      </w:r>
      <w:r>
        <w:t xml:space="preserve"> </w:t>
      </w:r>
      <w:r>
        <w:t xml:space="preserve">Early Stone Age</w:t>
      </w:r>
      <w:r>
        <w:t xml:space="preserve"> </w:t>
      </w:r>
      <w:r>
        <w:t xml:space="preserve">artifact concentrations.</w:t>
      </w:r>
      <w:r>
        <w:t xml:space="preserve"> </w:t>
      </w:r>
      <w:r>
        <w:rPr>
          <w:iCs/>
          <w:i/>
        </w:rPr>
        <w:t xml:space="preserve">Journal of Human Evolution</w:t>
      </w:r>
      <w:r>
        <w:t xml:space="preserve"> </w:t>
      </w:r>
      <w:r>
        <w:t xml:space="preserve">16(7-8):789–807.</w:t>
      </w:r>
    </w:p>
    <w:bookmarkEnd w:id="55"/>
    <w:bookmarkStart w:id="56" w:name="ref-Stern1993"/>
    <w:p>
      <w:pPr>
        <w:pStyle w:val="Bibliography"/>
      </w:pPr>
      <w:r>
        <w:t xml:space="preserve">24.</w:t>
      </w:r>
      <w:r>
        <w:t xml:space="preserve"> </w:t>
      </w:r>
      <w:r>
        <w:t xml:space="preserve">	</w:t>
      </w:r>
      <w:r>
        <w:t xml:space="preserve">Stern N, et al. (1993) The</w:t>
      </w:r>
      <w:r>
        <w:t xml:space="preserve"> </w:t>
      </w:r>
      <w:r>
        <w:t xml:space="preserve">Structure</w:t>
      </w:r>
      <w:r>
        <w:t xml:space="preserve"> </w:t>
      </w:r>
      <w:r>
        <w:t xml:space="preserve">of the</w:t>
      </w:r>
      <w:r>
        <w:t xml:space="preserve"> </w:t>
      </w:r>
      <w:r>
        <w:t xml:space="preserve">Lower Pleistocene Archaeological Record</w:t>
      </w:r>
      <w:r>
        <w:t xml:space="preserve">:</w:t>
      </w:r>
      <w:r>
        <w:t xml:space="preserve"> </w:t>
      </w:r>
      <w:r>
        <w:t xml:space="preserve">A Case Study From</w:t>
      </w:r>
      <w:r>
        <w:t xml:space="preserve"> </w:t>
      </w:r>
      <w:r>
        <w:t xml:space="preserve">the</w:t>
      </w:r>
      <w:r>
        <w:t xml:space="preserve"> </w:t>
      </w:r>
      <w:r>
        <w:t xml:space="preserve">Koobi Fora Formation</w:t>
      </w:r>
      <w:r>
        <w:t xml:space="preserve"> </w:t>
      </w:r>
      <w:r>
        <w:t xml:space="preserve">[and</w:t>
      </w:r>
      <w:r>
        <w:t xml:space="preserve"> </w:t>
      </w:r>
      <w:r>
        <w:t xml:space="preserve">Comments</w:t>
      </w:r>
      <w:r>
        <w:t xml:space="preserve"> </w:t>
      </w:r>
      <w:r>
        <w:t xml:space="preserve">and</w:t>
      </w:r>
      <w:r>
        <w:t xml:space="preserve"> </w:t>
      </w:r>
      <w:r>
        <w:t xml:space="preserve">Reply</w:t>
      </w:r>
      <w:r>
        <w:t xml:space="preserve">].</w:t>
      </w:r>
      <w:r>
        <w:t xml:space="preserve"> </w:t>
      </w:r>
      <w:r>
        <w:rPr>
          <w:iCs/>
          <w:i/>
        </w:rPr>
        <w:t xml:space="preserve">Current Anthropology</w:t>
      </w:r>
      <w:r>
        <w:t xml:space="preserve"> </w:t>
      </w:r>
      <w:r>
        <w:t xml:space="preserve">34(3):201–225.</w:t>
      </w:r>
    </w:p>
    <w:bookmarkEnd w:id="56"/>
    <w:bookmarkStart w:id="57" w:name="Xc8d7e255110e50e6be646be945c3cfd1feaf587"/>
    <w:p>
      <w:pPr>
        <w:pStyle w:val="Bibliography"/>
      </w:pPr>
      <w:r>
        <w:t xml:space="preserve">25.</w:t>
      </w:r>
      <w:r>
        <w:t xml:space="preserve"> </w:t>
      </w:r>
      <w:r>
        <w:t xml:space="preserve">	</w:t>
      </w:r>
      <w:r>
        <w:t xml:space="preserve">Stern N (1994) The implications of time-averaging for reconstructing the land-use patterns of early tool-using hominids.</w:t>
      </w:r>
      <w:r>
        <w:t xml:space="preserve"> </w:t>
      </w:r>
      <w:r>
        <w:rPr>
          <w:iCs/>
          <w:i/>
        </w:rPr>
        <w:t xml:space="preserve">Journal of Human Evolution</w:t>
      </w:r>
      <w:r>
        <w:t xml:space="preserve"> </w:t>
      </w:r>
      <w:r>
        <w:t xml:space="preserve">27(1-3):89–105.</w:t>
      </w:r>
    </w:p>
    <w:bookmarkEnd w:id="57"/>
    <w:bookmarkStart w:id="59" w:name="X102a50f6d609b53276d9bc14459f9fd8e4fc1b7"/>
    <w:p>
      <w:pPr>
        <w:pStyle w:val="Bibliography"/>
      </w:pPr>
      <w:r>
        <w:t xml:space="preserve">26.</w:t>
      </w:r>
      <w:r>
        <w:t xml:space="preserve"> </w:t>
      </w:r>
      <w:r>
        <w:t xml:space="preserve">	</w:t>
      </w:r>
      <w:r>
        <w:t xml:space="preserve">Rezek Z, et al. (2020) Aggregates,</w:t>
      </w:r>
      <w:r>
        <w:t xml:space="preserve"> </w:t>
      </w:r>
      <w:r>
        <w:t xml:space="preserve">Formational Emergence</w:t>
      </w:r>
      <w:r>
        <w:t xml:space="preserve">, and the</w:t>
      </w:r>
      <w:r>
        <w:t xml:space="preserve"> </w:t>
      </w:r>
      <w:r>
        <w:t xml:space="preserve">Focus</w:t>
      </w:r>
      <w:r>
        <w:t xml:space="preserve"> </w:t>
      </w:r>
      <w:r>
        <w:t xml:space="preserve">on</w:t>
      </w:r>
      <w:r>
        <w:t xml:space="preserve"> </w:t>
      </w:r>
      <w:r>
        <w:t xml:space="preserve">Practice</w:t>
      </w:r>
      <w:r>
        <w:t xml:space="preserve"> </w:t>
      </w:r>
      <w:r>
        <w:t xml:space="preserve">in</w:t>
      </w:r>
      <w:r>
        <w:t xml:space="preserve"> </w:t>
      </w:r>
      <w:r>
        <w:t xml:space="preserve">Stone Artifact Archaeology</w:t>
      </w:r>
      <w:r>
        <w:t xml:space="preserve">.</w:t>
      </w:r>
      <w:r>
        <w:t xml:space="preserve"> </w:t>
      </w:r>
      <w:r>
        <w:rPr>
          <w:iCs/>
          <w:i/>
        </w:rPr>
        <w:t xml:space="preserve">J Archaeol Method Theory</w:t>
      </w:r>
      <w:r>
        <w:t xml:space="preserve">. doi:</w:t>
      </w:r>
      <w:hyperlink r:id="rId58">
        <w:r>
          <w:rPr>
            <w:rStyle w:val="Hyperlink"/>
          </w:rPr>
          <w:t xml:space="preserve">10.1007/s10816-020-09445-y</w:t>
        </w:r>
      </w:hyperlink>
      <w:r>
        <w:t xml:space="preserve">.</w:t>
      </w:r>
    </w:p>
    <w:bookmarkEnd w:id="59"/>
    <w:bookmarkStart w:id="61" w:name="Xc5fd04a61ba1cc7ca124a242e0ceadb4f9150a6"/>
    <w:p>
      <w:pPr>
        <w:pStyle w:val="Bibliography"/>
      </w:pPr>
      <w:r>
        <w:t xml:space="preserve">27.</w:t>
      </w:r>
      <w:r>
        <w:t xml:space="preserve"> </w:t>
      </w:r>
      <w:r>
        <w:t xml:space="preserve">	</w:t>
      </w:r>
      <w:r>
        <w:t xml:space="preserve">Schelling TC (1978)</w:t>
      </w:r>
      <w:r>
        <w:t xml:space="preserve"> </w:t>
      </w:r>
      <w:r>
        <w:rPr>
          <w:iCs/>
          <w:i/>
        </w:rPr>
        <w:t xml:space="preserve">Micromotives and</w:t>
      </w:r>
      <w:r>
        <w:rPr>
          <w:iCs/>
          <w:i/>
        </w:rPr>
        <w:t xml:space="preserve"> </w:t>
      </w:r>
      <w:r>
        <w:rPr>
          <w:iCs/>
          <w:i/>
        </w:rPr>
        <w:t xml:space="preserve">Macrobehaviors</w:t>
      </w:r>
      <w:r>
        <w:t xml:space="preserve"> </w:t>
      </w:r>
      <w:r>
        <w:t xml:space="preserve">(</w:t>
      </w:r>
      <w:r>
        <w:t xml:space="preserve">W. W. Norton &amp; Company</w:t>
      </w:r>
      <w:r>
        <w:t xml:space="preserve">,</w:t>
      </w:r>
      <w:r>
        <w:t xml:space="preserve"> </w:t>
      </w:r>
      <w:r>
        <w:t xml:space="preserve">Toronto</w:t>
      </w:r>
      <w:r>
        <w:t xml:space="preserve">) doi:</w:t>
      </w:r>
      <w:hyperlink r:id="rId60">
        <w:r>
          <w:rPr>
            <w:rStyle w:val="Hyperlink"/>
          </w:rPr>
          <w:t xml:space="preserve">10.2307/2989930</w:t>
        </w:r>
      </w:hyperlink>
      <w:r>
        <w:t xml:space="preserve">.</w:t>
      </w:r>
    </w:p>
    <w:bookmarkEnd w:id="61"/>
    <w:bookmarkStart w:id="63" w:name="ref-davidsonFinishedArtefactFallacy2002"/>
    <w:p>
      <w:pPr>
        <w:pStyle w:val="Bibliography"/>
      </w:pPr>
      <w:r>
        <w:t xml:space="preserve">28.</w:t>
      </w:r>
      <w:r>
        <w:t xml:space="preserve"> </w:t>
      </w:r>
      <w:r>
        <w:t xml:space="preserve">	</w:t>
      </w:r>
      <w:r>
        <w:t xml:space="preserve">Davidson I (2002) The</w:t>
      </w:r>
      <w:r>
        <w:t xml:space="preserve"> </w:t>
      </w:r>
      <w:r>
        <w:t xml:space="preserve">Finished Artefact Fallacy</w:t>
      </w:r>
      <w:r>
        <w:t xml:space="preserve">:</w:t>
      </w:r>
      <w:r>
        <w:t xml:space="preserve"> </w:t>
      </w:r>
      <w:r>
        <w:t xml:space="preserve">Acheulean Hand</w:t>
      </w:r>
      <w:r>
        <w:t xml:space="preserve">-axes and</w:t>
      </w:r>
      <w:r>
        <w:t xml:space="preserve"> </w:t>
      </w:r>
      <w:r>
        <w:t xml:space="preserve">Language Origins</w:t>
      </w:r>
      <w:r>
        <w:t xml:space="preserve"> (</w:t>
      </w:r>
      <w:r>
        <w:t xml:space="preserve">Oxford University Press</w:t>
      </w:r>
      <w:r>
        <w:t xml:space="preserve">). Available at:</w:t>
      </w:r>
      <w:r>
        <w:t xml:space="preserve"> </w:t>
      </w:r>
      <w:hyperlink r:id="rId62">
        <w:r>
          <w:rPr>
            <w:rStyle w:val="Hyperlink"/>
          </w:rPr>
          <w:t xml:space="preserve">https://rune.une.edu.au/web/handle/1959.11/1837</w:t>
        </w:r>
      </w:hyperlink>
      <w:r>
        <w:t xml:space="preserve"> </w:t>
      </w:r>
      <w:r>
        <w:t xml:space="preserve">[Accessed February 22, 2021].</w:t>
      </w:r>
    </w:p>
    <w:bookmarkEnd w:id="63"/>
    <w:bookmarkStart w:id="64" w:name="X15ba75c983da6c4a6da2441d92c0f43514b83e1"/>
    <w:p>
      <w:pPr>
        <w:pStyle w:val="Bibliography"/>
      </w:pPr>
      <w:r>
        <w:t xml:space="preserve">29.</w:t>
      </w:r>
      <w:r>
        <w:t xml:space="preserve"> </w:t>
      </w:r>
      <w:r>
        <w:t xml:space="preserve">	</w:t>
      </w:r>
      <w:r>
        <w:t xml:space="preserve">Davies B, Holdaway SJ, Fanning PC (2016) Modelling the palimpsest:</w:t>
      </w:r>
      <w:r>
        <w:t xml:space="preserve"> </w:t>
      </w:r>
      <w:r>
        <w:t xml:space="preserve">An</w:t>
      </w:r>
      <w:r>
        <w:t xml:space="preserve"> </w:t>
      </w:r>
      <w:r>
        <w:t xml:space="preserve">exploratory agent-based model of surface archaeological deposit formation in a fluvial arid</w:t>
      </w:r>
      <w:r>
        <w:t xml:space="preserve"> </w:t>
      </w:r>
      <w:r>
        <w:t xml:space="preserve">Australian</w:t>
      </w:r>
      <w:r>
        <w:t xml:space="preserve"> </w:t>
      </w:r>
      <w:r>
        <w:t xml:space="preserve">landscape.</w:t>
      </w:r>
      <w:r>
        <w:t xml:space="preserve"> </w:t>
      </w:r>
      <w:r>
        <w:rPr>
          <w:iCs/>
          <w:i/>
        </w:rPr>
        <w:t xml:space="preserve">Holocene</w:t>
      </w:r>
      <w:r>
        <w:t xml:space="preserve"> </w:t>
      </w:r>
      <w:r>
        <w:t xml:space="preserve">26(3):450–463.</w:t>
      </w:r>
    </w:p>
    <w:bookmarkEnd w:id="64"/>
    <w:bookmarkStart w:id="66" w:name="ref-dibbleMajorFallaciesSurrounding2017"/>
    <w:p>
      <w:pPr>
        <w:pStyle w:val="Bibliography"/>
      </w:pPr>
      <w:r>
        <w:t xml:space="preserve">30.</w:t>
      </w:r>
      <w:r>
        <w:t xml:space="preserve"> </w:t>
      </w:r>
      <w:r>
        <w:t xml:space="preserve">	</w:t>
      </w:r>
      <w:r>
        <w:t xml:space="preserve">Dibble HL, et al. (2017) Major</w:t>
      </w:r>
      <w:r>
        <w:t xml:space="preserve"> </w:t>
      </w:r>
      <w:r>
        <w:t xml:space="preserve">Fallacies Surrounding Stone Artifacts</w:t>
      </w:r>
      <w:r>
        <w:t xml:space="preserve"> </w:t>
      </w:r>
      <w:r>
        <w:t xml:space="preserve">and</w:t>
      </w:r>
      <w:r>
        <w:t xml:space="preserve"> </w:t>
      </w:r>
      <w:r>
        <w:t xml:space="preserve">Assemblages</w:t>
      </w:r>
      <w:r>
        <w:t xml:space="preserve">.</w:t>
      </w:r>
      <w:r>
        <w:t xml:space="preserve"> </w:t>
      </w:r>
      <w:r>
        <w:rPr>
          <w:iCs/>
          <w:i/>
        </w:rPr>
        <w:t xml:space="preserve">Journal of Archaeological Method and Theory</w:t>
      </w:r>
      <w:r>
        <w:t xml:space="preserve"> </w:t>
      </w:r>
      <w:r>
        <w:t xml:space="preserve">24. doi:</w:t>
      </w:r>
      <w:hyperlink r:id="rId65">
        <w:r>
          <w:rPr>
            <w:rStyle w:val="Hyperlink"/>
          </w:rPr>
          <w:t xml:space="preserve">10.1007/s10816-016-9297-8</w:t>
        </w:r>
      </w:hyperlink>
      <w:r>
        <w:t xml:space="preserve">.</w:t>
      </w:r>
    </w:p>
    <w:bookmarkEnd w:id="66"/>
    <w:bookmarkStart w:id="67" w:name="ref-frisonFunctionalAnalysisCertain1968"/>
    <w:p>
      <w:pPr>
        <w:pStyle w:val="Bibliography"/>
      </w:pPr>
      <w:r>
        <w:t xml:space="preserve">31.</w:t>
      </w:r>
      <w:r>
        <w:t xml:space="preserve"> </w:t>
      </w:r>
      <w:r>
        <w:t xml:space="preserve">	</w:t>
      </w:r>
      <w:r>
        <w:t xml:space="preserve">Frison GC (1968) A</w:t>
      </w:r>
      <w:r>
        <w:t xml:space="preserve"> </w:t>
      </w:r>
      <w:r>
        <w:t xml:space="preserve">Functional Analysis</w:t>
      </w:r>
      <w:r>
        <w:t xml:space="preserve"> </w:t>
      </w:r>
      <w:r>
        <w:t xml:space="preserve">of</w:t>
      </w:r>
      <w:r>
        <w:t xml:space="preserve"> </w:t>
      </w:r>
      <w:r>
        <w:t xml:space="preserve">Certain Chipped Stone Tools</w:t>
      </w:r>
      <w:r>
        <w:t xml:space="preserve">.</w:t>
      </w:r>
      <w:r>
        <w:t xml:space="preserve"> </w:t>
      </w:r>
      <w:r>
        <w:rPr>
          <w:iCs/>
          <w:i/>
        </w:rPr>
        <w:t xml:space="preserve">American Antiquity</w:t>
      </w:r>
      <w:r>
        <w:t xml:space="preserve"> </w:t>
      </w:r>
      <w:r>
        <w:t xml:space="preserve">33(2):149–155.</w:t>
      </w:r>
    </w:p>
    <w:bookmarkEnd w:id="67"/>
    <w:bookmarkStart w:id="69" w:name="X3ea7f2146aa492a7c31681ef16d6b6791836364"/>
    <w:p>
      <w:pPr>
        <w:pStyle w:val="Bibliography"/>
      </w:pPr>
      <w:r>
        <w:t xml:space="preserve">32.</w:t>
      </w:r>
      <w:r>
        <w:t xml:space="preserve"> </w:t>
      </w:r>
      <w:r>
        <w:t xml:space="preserve">	</w:t>
      </w:r>
      <w:r>
        <w:t xml:space="preserve">Schiffer MB (1987)</w:t>
      </w:r>
      <w:r>
        <w:t xml:space="preserve"> </w:t>
      </w:r>
      <w:r>
        <w:rPr>
          <w:iCs/>
          <w:i/>
        </w:rPr>
        <w:t xml:space="preserve">Formation processes of the archaeological record</w:t>
      </w:r>
      <w:r>
        <w:t xml:space="preserve"> </w:t>
      </w:r>
      <w:r>
        <w:t xml:space="preserve">(</w:t>
      </w:r>
      <w:r>
        <w:t xml:space="preserve">University of New Mexico Press</w:t>
      </w:r>
      <w:r>
        <w:t xml:space="preserve">) Available at:</w:t>
      </w:r>
      <w:r>
        <w:t xml:space="preserve"> </w:t>
      </w:r>
      <w:hyperlink r:id="rId68">
        <w:r>
          <w:rPr>
            <w:rStyle w:val="Hyperlink"/>
          </w:rPr>
          <w:t xml:space="preserve">https://books.google.co.ke/books/about/Formation_processes_of_the_archaeologica.html?id=TMpVlJ8zK78C&amp;redir_esc=y</w:t>
        </w:r>
      </w:hyperlink>
      <w:r>
        <w:t xml:space="preserve">.</w:t>
      </w:r>
    </w:p>
    <w:bookmarkEnd w:id="69"/>
    <w:bookmarkStart w:id="70" w:name="ref-shottLowerPaleolithicIndustries2008"/>
    <w:p>
      <w:pPr>
        <w:pStyle w:val="Bibliography"/>
      </w:pPr>
      <w:r>
        <w:t xml:space="preserve">33.</w:t>
      </w:r>
      <w:r>
        <w:t xml:space="preserve"> </w:t>
      </w:r>
      <w:r>
        <w:t xml:space="preserve">	</w:t>
      </w:r>
      <w:r>
        <w:t xml:space="preserve">Shott MJ (2008) Lower</w:t>
      </w:r>
      <w:r>
        <w:t xml:space="preserve"> </w:t>
      </w:r>
      <w:r>
        <w:t xml:space="preserve">Paleolithic Industries</w:t>
      </w:r>
      <w:r>
        <w:t xml:space="preserve">,</w:t>
      </w:r>
      <w:r>
        <w:t xml:space="preserve"> </w:t>
      </w:r>
      <w:r>
        <w:t xml:space="preserve">Time</w:t>
      </w:r>
      <w:r>
        <w:t xml:space="preserve">, and the</w:t>
      </w:r>
      <w:r>
        <w:t xml:space="preserve"> </w:t>
      </w:r>
      <w:r>
        <w:t xml:space="preserve">Meaning</w:t>
      </w:r>
      <w:r>
        <w:t xml:space="preserve"> </w:t>
      </w:r>
      <w:r>
        <w:t xml:space="preserve">of</w:t>
      </w:r>
      <w:r>
        <w:t xml:space="preserve"> </w:t>
      </w:r>
      <w:r>
        <w:t xml:space="preserve">Assemblage Variation</w:t>
      </w:r>
      <w:r>
        <w:t xml:space="preserve">.</w:t>
      </w:r>
      <w:r>
        <w:t xml:space="preserve"> </w:t>
      </w:r>
      <w:r>
        <w:rPr>
          <w:iCs/>
          <w:i/>
        </w:rPr>
        <w:t xml:space="preserve">Time in</w:t>
      </w:r>
      <w:r>
        <w:rPr>
          <w:iCs/>
          <w:i/>
        </w:rPr>
        <w:t xml:space="preserve"> </w:t>
      </w:r>
      <w:r>
        <w:rPr>
          <w:iCs/>
          <w:i/>
        </w:rPr>
        <w:t xml:space="preserve">Archaeology</w:t>
      </w:r>
      <w:r>
        <w:t xml:space="preserve">, eds Holdaway SJ, Wandsnider L (</w:t>
      </w:r>
      <w:r>
        <w:t xml:space="preserve">University of Utah Press</w:t>
      </w:r>
      <w:r>
        <w:t xml:space="preserve">,</w:t>
      </w:r>
      <w:r>
        <w:t xml:space="preserve"> </w:t>
      </w:r>
      <w:r>
        <w:t xml:space="preserve">Salt Lake City</w:t>
      </w:r>
      <w:r>
        <w:t xml:space="preserve">), pp 46–50.</w:t>
      </w:r>
    </w:p>
    <w:bookmarkEnd w:id="70"/>
    <w:bookmarkStart w:id="71" w:name="ref-proffittRevisitingPanda1002018"/>
    <w:p>
      <w:pPr>
        <w:pStyle w:val="Bibliography"/>
      </w:pPr>
      <w:r>
        <w:t xml:space="preserve">34.</w:t>
      </w:r>
      <w:r>
        <w:t xml:space="preserve"> </w:t>
      </w:r>
      <w:r>
        <w:t xml:space="preserve">	</w:t>
      </w:r>
      <w:r>
        <w:t xml:space="preserve">Proffitt T, Haslam M, Mercader JF, Boesch C, Luncz LV (2018) Revisiting</w:t>
      </w:r>
      <w:r>
        <w:t xml:space="preserve"> </w:t>
      </w:r>
      <w:r>
        <w:t xml:space="preserve">Panda</w:t>
      </w:r>
      <w:r>
        <w:t xml:space="preserve"> </w:t>
      </w:r>
      <w:r>
        <w:t xml:space="preserve">100, the first archaeological chimpanzee nut-cracking site.</w:t>
      </w:r>
      <w:r>
        <w:t xml:space="preserve"> </w:t>
      </w:r>
      <w:r>
        <w:rPr>
          <w:iCs/>
          <w:i/>
        </w:rPr>
        <w:t xml:space="preserve">Journal of Human Evolution</w:t>
      </w:r>
      <w:r>
        <w:t xml:space="preserve"> </w:t>
      </w:r>
      <w:r>
        <w:t xml:space="preserve">124:117–139.</w:t>
      </w:r>
    </w:p>
    <w:bookmarkEnd w:id="71"/>
    <w:bookmarkStart w:id="72" w:name="ref-masadMESAAgentBasedModeling2015"/>
    <w:p>
      <w:pPr>
        <w:pStyle w:val="Bibliography"/>
      </w:pPr>
      <w:r>
        <w:t xml:space="preserve">35.</w:t>
      </w:r>
      <w:r>
        <w:t xml:space="preserve"> </w:t>
      </w:r>
      <w:r>
        <w:t xml:space="preserve">	</w:t>
      </w:r>
      <w:r>
        <w:t xml:space="preserve">Masad D, Kazil J (2015)</w:t>
      </w:r>
      <w:r>
        <w:t xml:space="preserve"> </w:t>
      </w:r>
      <w:r>
        <w:t xml:space="preserve">MESA</w:t>
      </w:r>
      <w:r>
        <w:t xml:space="preserve">:</w:t>
      </w:r>
      <w:r>
        <w:t xml:space="preserve"> </w:t>
      </w:r>
      <w:r>
        <w:t xml:space="preserve">An Agent</w:t>
      </w:r>
      <w:r>
        <w:t xml:space="preserve">-</w:t>
      </w:r>
      <w:r>
        <w:t xml:space="preserve">Based Modeling Framework</w:t>
      </w:r>
      <w:r>
        <w:t xml:space="preserve">.</w:t>
      </w:r>
      <w:r>
        <w:t xml:space="preserve"> </w:t>
      </w:r>
      <w:r>
        <w:rPr>
          <w:iCs/>
          <w:i/>
        </w:rPr>
        <w:t xml:space="preserve">Proceedings of the 14th Python in Science Conference (SCIPY 2015)</w:t>
      </w:r>
      <w:r>
        <w:t xml:space="preserve">:53–60.</w:t>
      </w:r>
    </w:p>
    <w:bookmarkEnd w:id="72"/>
    <w:bookmarkStart w:id="73" w:name="ref-rossum1995python"/>
    <w:p>
      <w:pPr>
        <w:pStyle w:val="Bibliography"/>
      </w:pPr>
      <w:r>
        <w:t xml:space="preserve">36.</w:t>
      </w:r>
      <w:r>
        <w:t xml:space="preserve"> </w:t>
      </w:r>
      <w:r>
        <w:t xml:space="preserve">	</w:t>
      </w:r>
      <w:r>
        <w:t xml:space="preserve">van Rossum G (1995) Python tutorial, technical report</w:t>
      </w:r>
      <w:r>
        <w:t xml:space="preserve"> </w:t>
      </w:r>
      <w:r>
        <w:t xml:space="preserve">CS</w:t>
      </w:r>
      <w:r>
        <w:t xml:space="preserve">-</w:t>
      </w:r>
      <w:r>
        <w:t xml:space="preserve">R9526</w:t>
      </w:r>
      <w:r>
        <w:t xml:space="preserve">.</w:t>
      </w:r>
      <w:r>
        <w:t xml:space="preserve"> </w:t>
      </w:r>
      <w:r>
        <w:rPr>
          <w:iCs/>
          <w:i/>
        </w:rPr>
        <w:t xml:space="preserve">Centrum voor Wiskunde en Informatica (CWI), Amsterdam</w:t>
      </w:r>
      <w:r>
        <w:t xml:space="preserve">.</w:t>
      </w:r>
    </w:p>
    <w:bookmarkEnd w:id="73"/>
    <w:bookmarkStart w:id="74" w:name="ref-foxIntelligentToolUse1999"/>
    <w:p>
      <w:pPr>
        <w:pStyle w:val="Bibliography"/>
      </w:pPr>
      <w:r>
        <w:t xml:space="preserve">37.</w:t>
      </w:r>
      <w:r>
        <w:t xml:space="preserve"> </w:t>
      </w:r>
      <w:r>
        <w:t xml:space="preserve">	</w:t>
      </w:r>
      <w:r>
        <w:t xml:space="preserve">Fox EA, Sitompul AF, Van Schaik CP (1999) Intelligent tool use in wild</w:t>
      </w:r>
      <w:r>
        <w:t xml:space="preserve"> </w:t>
      </w:r>
      <w:r>
        <w:t xml:space="preserve">Sumatran</w:t>
      </w:r>
      <w:r>
        <w:t xml:space="preserve"> </w:t>
      </w:r>
      <w:r>
        <w:t xml:space="preserve">orangutans.</w:t>
      </w:r>
      <w:r>
        <w:t xml:space="preserve"> </w:t>
      </w:r>
      <w:r>
        <w:rPr>
          <w:iCs/>
          <w:i/>
        </w:rPr>
        <w:t xml:space="preserve">The mentality of gorillas and orangutans</w:t>
      </w:r>
      <w:r>
        <w:t xml:space="preserve"> </w:t>
      </w:r>
      <w:r>
        <w:t xml:space="preserve">480:99–116.</w:t>
      </w:r>
    </w:p>
    <w:bookmarkEnd w:id="74"/>
    <w:bookmarkStart w:id="75" w:name="ref-koopsEcologyCultureEnvironmental2013"/>
    <w:p>
      <w:pPr>
        <w:pStyle w:val="Bibliography"/>
      </w:pPr>
      <w:r>
        <w:t xml:space="preserve">38.</w:t>
      </w:r>
      <w:r>
        <w:t xml:space="preserve"> </w:t>
      </w:r>
      <w:r>
        <w:t xml:space="preserve">	</w:t>
      </w:r>
      <w:r>
        <w:t xml:space="preserve">Koops K, McGrew WC, Matsuzawa T (2013) Ecology of culture: Do environmental factors influence foraging tool use in wild chimpanzees,</w:t>
      </w:r>
      <w:r>
        <w:t xml:space="preserve"> </w:t>
      </w:r>
      <w:r>
        <w:t xml:space="preserve">Pan</w:t>
      </w:r>
      <w:r>
        <w:t xml:space="preserve"> </w:t>
      </w:r>
      <w:r>
        <w:t xml:space="preserve">troglodytes verus?</w:t>
      </w:r>
      <w:r>
        <w:t xml:space="preserve"> </w:t>
      </w:r>
      <w:r>
        <w:rPr>
          <w:iCs/>
          <w:i/>
        </w:rPr>
        <w:t xml:space="preserve">Animal Behaviour</w:t>
      </w:r>
      <w:r>
        <w:t xml:space="preserve"> </w:t>
      </w:r>
      <w:r>
        <w:t xml:space="preserve">85(1):175–185.</w:t>
      </w:r>
    </w:p>
    <w:bookmarkEnd w:id="75"/>
    <w:bookmarkStart w:id="76" w:name="ref-behrensmeyerClimateChangeHuman2006"/>
    <w:p>
      <w:pPr>
        <w:pStyle w:val="Bibliography"/>
      </w:pPr>
      <w:r>
        <w:t xml:space="preserve">39.</w:t>
      </w:r>
      <w:r>
        <w:t xml:space="preserve"> </w:t>
      </w:r>
      <w:r>
        <w:t xml:space="preserve">	</w:t>
      </w:r>
      <w:r>
        <w:t xml:space="preserve">Behrensmeyer AK (2006) Climate</w:t>
      </w:r>
      <w:r>
        <w:t xml:space="preserve"> </w:t>
      </w:r>
      <w:r>
        <w:t xml:space="preserve">Change</w:t>
      </w:r>
      <w:r>
        <w:t xml:space="preserve"> </w:t>
      </w:r>
      <w:r>
        <w:t xml:space="preserve">and</w:t>
      </w:r>
      <w:r>
        <w:t xml:space="preserve"> </w:t>
      </w:r>
      <w:r>
        <w:t xml:space="preserve">Human Evolution</w:t>
      </w:r>
      <w:r>
        <w:t xml:space="preserve">.</w:t>
      </w:r>
      <w:r>
        <w:t xml:space="preserve"> </w:t>
      </w:r>
      <w:r>
        <w:rPr>
          <w:iCs/>
          <w:i/>
        </w:rPr>
        <w:t xml:space="preserve">Science</w:t>
      </w:r>
      <w:r>
        <w:t xml:space="preserve"> </w:t>
      </w:r>
      <w:r>
        <w:t xml:space="preserve">311(5760):476–478.</w:t>
      </w:r>
    </w:p>
    <w:bookmarkEnd w:id="76"/>
    <w:bookmarkStart w:id="77" w:name="X2c73e9999459c5351101b2378b68a03ed3a1bb2"/>
    <w:p>
      <w:pPr>
        <w:pStyle w:val="Bibliography"/>
      </w:pPr>
      <w:r>
        <w:t xml:space="preserve">40.</w:t>
      </w:r>
      <w:r>
        <w:t xml:space="preserve"> </w:t>
      </w:r>
      <w:r>
        <w:t xml:space="preserve">	</w:t>
      </w:r>
      <w:r>
        <w:t xml:space="preserve">Kingston JD (2007) Shifting</w:t>
      </w:r>
      <w:r>
        <w:t xml:space="preserve"> </w:t>
      </w:r>
      <w:r>
        <w:t xml:space="preserve">Adaptive Landscapes</w:t>
      </w:r>
      <w:r>
        <w:t xml:space="preserve">:</w:t>
      </w:r>
      <w:r>
        <w:t xml:space="preserve"> </w:t>
      </w:r>
      <w:r>
        <w:t xml:space="preserve">Progress</w:t>
      </w:r>
      <w:r>
        <w:t xml:space="preserve"> </w:t>
      </w:r>
      <w:r>
        <w:t xml:space="preserve">and</w:t>
      </w:r>
      <w:r>
        <w:t xml:space="preserve"> </w:t>
      </w:r>
      <w:r>
        <w:t xml:space="preserve">Challenges</w:t>
      </w:r>
      <w:r>
        <w:t xml:space="preserve"> </w:t>
      </w:r>
      <w:r>
        <w:t xml:space="preserve">in</w:t>
      </w:r>
      <w:r>
        <w:t xml:space="preserve"> </w:t>
      </w:r>
      <w:r>
        <w:t xml:space="preserve">Reconstructing Early Hominid Environments</w:t>
      </w:r>
      <w:r>
        <w:t xml:space="preserve">.</w:t>
      </w:r>
      <w:r>
        <w:t xml:space="preserve"> </w:t>
      </w:r>
      <w:r>
        <w:rPr>
          <w:iCs/>
          <w:i/>
        </w:rPr>
        <w:t xml:space="preserve">Yearbook of Physical Anthropology</w:t>
      </w:r>
      <w:r>
        <w:t xml:space="preserve"> </w:t>
      </w:r>
      <w:r>
        <w:t xml:space="preserve">50:20–58.</w:t>
      </w:r>
    </w:p>
    <w:bookmarkEnd w:id="77"/>
    <w:bookmarkStart w:id="78" w:name="ref-whitenCulturalPanthropology2003"/>
    <w:p>
      <w:pPr>
        <w:pStyle w:val="Bibliography"/>
      </w:pPr>
      <w:r>
        <w:t xml:space="preserve">41.</w:t>
      </w:r>
      <w:r>
        <w:t xml:space="preserve"> </w:t>
      </w:r>
      <w:r>
        <w:t xml:space="preserve">	</w:t>
      </w:r>
      <w:r>
        <w:t xml:space="preserve">Whiten A, Horner V, Marshall-Pescini S (2003) Cultural panthropology.</w:t>
      </w:r>
      <w:r>
        <w:t xml:space="preserve"> </w:t>
      </w:r>
      <w:r>
        <w:rPr>
          <w:iCs/>
          <w:i/>
        </w:rPr>
        <w:t xml:space="preserve">Evol Anthropol</w:t>
      </w:r>
      <w:r>
        <w:t xml:space="preserve"> </w:t>
      </w:r>
      <w:r>
        <w:t xml:space="preserve">12(2):92–105.</w:t>
      </w:r>
    </w:p>
    <w:bookmarkEnd w:id="78"/>
    <w:bookmarkStart w:id="79" w:name="ref-whitenCulturesChimpanzees1999"/>
    <w:p>
      <w:pPr>
        <w:pStyle w:val="Bibliography"/>
      </w:pPr>
      <w:r>
        <w:t xml:space="preserve">42.</w:t>
      </w:r>
      <w:r>
        <w:t xml:space="preserve"> </w:t>
      </w:r>
      <w:r>
        <w:t xml:space="preserve">	</w:t>
      </w:r>
      <w:r>
        <w:t xml:space="preserve">Whiten A, et al. (1999) Cultures in chimpanzees.</w:t>
      </w:r>
      <w:r>
        <w:t xml:space="preserve"> </w:t>
      </w:r>
      <w:r>
        <w:rPr>
          <w:iCs/>
          <w:i/>
        </w:rPr>
        <w:t xml:space="preserve">Nature</w:t>
      </w:r>
      <w:r>
        <w:t xml:space="preserve"> </w:t>
      </w:r>
      <w:r>
        <w:t xml:space="preserve">399(6737):682–685.</w:t>
      </w:r>
    </w:p>
    <w:bookmarkEnd w:id="79"/>
    <w:bookmarkStart w:id="80" w:name="ref-binfordWillowSmokeDogs1980"/>
    <w:p>
      <w:pPr>
        <w:pStyle w:val="Bibliography"/>
      </w:pPr>
      <w:r>
        <w:t xml:space="preserve">43.</w:t>
      </w:r>
      <w:r>
        <w:t xml:space="preserve"> </w:t>
      </w:r>
      <w:r>
        <w:t xml:space="preserve">	</w:t>
      </w:r>
      <w:r>
        <w:t xml:space="preserve">Binford LR (1980) Willow</w:t>
      </w:r>
      <w:r>
        <w:t xml:space="preserve"> </w:t>
      </w:r>
      <w:r>
        <w:t xml:space="preserve">Smoke</w:t>
      </w:r>
      <w:r>
        <w:t xml:space="preserve"> </w:t>
      </w:r>
      <w:r>
        <w:t xml:space="preserve">and</w:t>
      </w:r>
      <w:r>
        <w:t xml:space="preserve"> </w:t>
      </w:r>
      <w:r>
        <w:t xml:space="preserve">Dogs</w:t>
      </w:r>
      <w:r>
        <w:t xml:space="preserve"> </w:t>
      </w:r>
      <w:r>
        <w:t xml:space="preserve">’</w:t>
      </w:r>
      <w:r>
        <w:t xml:space="preserve"> </w:t>
      </w:r>
      <w:r>
        <w:t xml:space="preserve">Tails</w:t>
      </w:r>
      <w:r>
        <w:t xml:space="preserve"> </w:t>
      </w:r>
      <w:r>
        <w:t xml:space="preserve">:</w:t>
      </w:r>
      <w:r>
        <w:t xml:space="preserve"> </w:t>
      </w:r>
      <w:r>
        <w:t xml:space="preserve">Hunter</w:t>
      </w:r>
      <w:r>
        <w:t xml:space="preserve">-</w:t>
      </w:r>
      <w:r>
        <w:t xml:space="preserve">Gatherer Settlement Systems</w:t>
      </w:r>
      <w:r>
        <w:t xml:space="preserve"> </w:t>
      </w:r>
      <w:r>
        <w:t xml:space="preserve">and</w:t>
      </w:r>
      <w:r>
        <w:t xml:space="preserve"> </w:t>
      </w:r>
      <w:r>
        <w:t xml:space="preserve">Archaeological Site Formation</w:t>
      </w:r>
      <w:r>
        <w:t xml:space="preserve">.</w:t>
      </w:r>
      <w:r>
        <w:t xml:space="preserve"> </w:t>
      </w:r>
      <w:r>
        <w:rPr>
          <w:iCs/>
          <w:i/>
        </w:rPr>
        <w:t xml:space="preserve">American Antiquity</w:t>
      </w:r>
      <w:r>
        <w:t xml:space="preserve"> </w:t>
      </w:r>
      <w:r>
        <w:t xml:space="preserve">45(1):4–20.</w:t>
      </w:r>
    </w:p>
    <w:bookmarkEnd w:id="80"/>
    <w:bookmarkStart w:id="82" w:name="ref-kuhnMousterianLithicTechnology1995"/>
    <w:p>
      <w:pPr>
        <w:pStyle w:val="Bibliography"/>
      </w:pPr>
      <w:r>
        <w:t xml:space="preserve">44.</w:t>
      </w:r>
      <w:r>
        <w:t xml:space="preserve"> </w:t>
      </w:r>
      <w:r>
        <w:t xml:space="preserve">	</w:t>
      </w:r>
      <w:r>
        <w:t xml:space="preserve">Kuhn SL (1995)</w:t>
      </w:r>
      <w:r>
        <w:t xml:space="preserve"> </w:t>
      </w:r>
      <w:r>
        <w:rPr>
          <w:iCs/>
          <w:i/>
        </w:rPr>
        <w:t xml:space="preserve">Mousterian</w:t>
      </w:r>
      <w:r>
        <w:rPr>
          <w:iCs/>
          <w:i/>
        </w:rPr>
        <w:t xml:space="preserve"> </w:t>
      </w:r>
      <w:r>
        <w:rPr>
          <w:iCs/>
          <w:i/>
        </w:rPr>
        <w:t xml:space="preserve">Lithic Technology</w:t>
      </w:r>
      <w:r>
        <w:rPr>
          <w:iCs/>
          <w:i/>
        </w:rPr>
        <w:t xml:space="preserve">:</w:t>
      </w:r>
      <w:r>
        <w:rPr>
          <w:iCs/>
          <w:i/>
        </w:rPr>
        <w:t xml:space="preserve"> </w:t>
      </w:r>
      <w:r>
        <w:rPr>
          <w:iCs/>
          <w:i/>
        </w:rPr>
        <w:t xml:space="preserve">An Ecological Perspective</w:t>
      </w:r>
      <w:r>
        <w:t xml:space="preserve"> </w:t>
      </w:r>
      <w:r>
        <w:t xml:space="preserve">(</w:t>
      </w:r>
      <w:r>
        <w:t xml:space="preserve">Princeton University Press</w:t>
      </w:r>
      <w:r>
        <w:t xml:space="preserve">) Available at:</w:t>
      </w:r>
      <w:r>
        <w:t xml:space="preserve"> </w:t>
      </w:r>
      <w:hyperlink r:id="rId81">
        <w:r>
          <w:rPr>
            <w:rStyle w:val="Hyperlink"/>
          </w:rPr>
          <w:t xml:space="preserve">http://books.google.com?id=RUkABAAAQBAJ</w:t>
        </w:r>
      </w:hyperlink>
      <w:r>
        <w:t xml:space="preserve">.</w:t>
      </w:r>
    </w:p>
    <w:bookmarkEnd w:id="82"/>
    <w:bookmarkStart w:id="83" w:name="ref-pottsWhyOldowanPlioPleistocene1991"/>
    <w:p>
      <w:pPr>
        <w:pStyle w:val="Bibliography"/>
      </w:pPr>
      <w:r>
        <w:t xml:space="preserve">45.</w:t>
      </w:r>
      <w:r>
        <w:t xml:space="preserve"> </w:t>
      </w:r>
      <w:r>
        <w:t xml:space="preserve">	</w:t>
      </w:r>
      <w:r>
        <w:t xml:space="preserve">Potts R (1991) Why the</w:t>
      </w:r>
      <w:r>
        <w:t xml:space="preserve"> </w:t>
      </w:r>
      <w:r>
        <w:t xml:space="preserve">Oldowan</w:t>
      </w:r>
      <w:r>
        <w:t xml:space="preserve">?</w:t>
      </w:r>
      <w:r>
        <w:t xml:space="preserve"> </w:t>
      </w:r>
      <w:r>
        <w:t xml:space="preserve">Plio</w:t>
      </w:r>
      <w:r>
        <w:t xml:space="preserve">-</w:t>
      </w:r>
      <w:r>
        <w:t xml:space="preserve">Pleistocene Toolmaking</w:t>
      </w:r>
      <w:r>
        <w:t xml:space="preserve"> </w:t>
      </w:r>
      <w:r>
        <w:t xml:space="preserve">and the</w:t>
      </w:r>
      <w:r>
        <w:t xml:space="preserve"> </w:t>
      </w:r>
      <w:r>
        <w:t xml:space="preserve">Transport</w:t>
      </w:r>
      <w:r>
        <w:t xml:space="preserve"> </w:t>
      </w:r>
      <w:r>
        <w:t xml:space="preserve">of</w:t>
      </w:r>
      <w:r>
        <w:t xml:space="preserve"> </w:t>
      </w:r>
      <w:r>
        <w:t xml:space="preserve">Resources</w:t>
      </w:r>
      <w:r>
        <w:t xml:space="preserve">.</w:t>
      </w:r>
      <w:r>
        <w:t xml:space="preserve"> </w:t>
      </w:r>
      <w:r>
        <w:rPr>
          <w:iCs/>
          <w:i/>
        </w:rPr>
        <w:t xml:space="preserve">Journal of Anthropological Research</w:t>
      </w:r>
      <w:r>
        <w:t xml:space="preserve"> </w:t>
      </w:r>
      <w:r>
        <w:t xml:space="preserve">47(2):153–176.</w:t>
      </w:r>
    </w:p>
    <w:bookmarkEnd w:id="83"/>
    <w:bookmarkStart w:id="85" w:name="X6e5a2e21ea22ce7632277f4149c2f67163e26e3"/>
    <w:p>
      <w:pPr>
        <w:pStyle w:val="Bibliography"/>
      </w:pPr>
      <w:r>
        <w:t xml:space="preserve">46.</w:t>
      </w:r>
      <w:r>
        <w:t xml:space="preserve"> </w:t>
      </w:r>
      <w:r>
        <w:t xml:space="preserve">	</w:t>
      </w:r>
      <w:r>
        <w:t xml:space="preserve">Braun DR, et al. (2020) Ecosystem engineering in the</w:t>
      </w:r>
      <w:r>
        <w:t xml:space="preserve"> </w:t>
      </w:r>
      <w:r>
        <w:t xml:space="preserve">Quaternary</w:t>
      </w:r>
      <w:r>
        <w:t xml:space="preserve"> </w:t>
      </w:r>
      <w:r>
        <w:t xml:space="preserve">of the</w:t>
      </w:r>
      <w:r>
        <w:t xml:space="preserve"> </w:t>
      </w:r>
      <w:r>
        <w:t xml:space="preserve">West Coast</w:t>
      </w:r>
      <w:r>
        <w:t xml:space="preserve"> </w:t>
      </w:r>
      <w:r>
        <w:t xml:space="preserve">of</w:t>
      </w:r>
      <w:r>
        <w:t xml:space="preserve"> </w:t>
      </w:r>
      <w:r>
        <w:t xml:space="preserve">South Africa</w:t>
      </w:r>
      <w:r>
        <w:t xml:space="preserve">.</w:t>
      </w:r>
      <w:r>
        <w:t xml:space="preserve"> </w:t>
      </w:r>
      <w:r>
        <w:rPr>
          <w:iCs/>
          <w:i/>
        </w:rPr>
        <w:t xml:space="preserve">Evolutionary Anthropology: Issues, News, and Reviews</w:t>
      </w:r>
      <w:r>
        <w:t xml:space="preserve"> </w:t>
      </w:r>
      <w:r>
        <w:t xml:space="preserve">n/a(n/a). doi:</w:t>
      </w:r>
      <w:hyperlink r:id="rId84">
        <w:r>
          <w:rPr>
            <w:rStyle w:val="Hyperlink"/>
          </w:rPr>
          <w:t xml:space="preserve">10.1002/evan.21886</w:t>
        </w:r>
      </w:hyperlink>
      <w:r>
        <w:t xml:space="preserve">.</w:t>
      </w:r>
    </w:p>
    <w:bookmarkEnd w:id="85"/>
    <w:bookmarkStart w:id="86" w:name="ref-haasForagerMobilityConstructed2019"/>
    <w:p>
      <w:pPr>
        <w:pStyle w:val="Bibliography"/>
      </w:pPr>
      <w:r>
        <w:t xml:space="preserve">47.</w:t>
      </w:r>
      <w:r>
        <w:t xml:space="preserve"> </w:t>
      </w:r>
      <w:r>
        <w:t xml:space="preserve">	</w:t>
      </w:r>
      <w:r>
        <w:t xml:space="preserve">Haas R, Kuhn SL (2019) Forager</w:t>
      </w:r>
      <w:r>
        <w:t xml:space="preserve"> </w:t>
      </w:r>
      <w:r>
        <w:t xml:space="preserve">Mobility</w:t>
      </w:r>
      <w:r>
        <w:t xml:space="preserve"> </w:t>
      </w:r>
      <w:r>
        <w:t xml:space="preserve">in</w:t>
      </w:r>
      <w:r>
        <w:t xml:space="preserve"> </w:t>
      </w:r>
      <w:r>
        <w:t xml:space="preserve">Constructed Environments</w:t>
      </w:r>
      <w:r>
        <w:t xml:space="preserve">.</w:t>
      </w:r>
      <w:r>
        <w:t xml:space="preserve"> </w:t>
      </w:r>
      <w:r>
        <w:rPr>
          <w:iCs/>
          <w:i/>
        </w:rPr>
        <w:t xml:space="preserve">Current Anthropology</w:t>
      </w:r>
      <w:r>
        <w:t xml:space="preserve"> </w:t>
      </w:r>
      <w:r>
        <w:t xml:space="preserve">60(4):499–535.</w:t>
      </w:r>
    </w:p>
    <w:bookmarkEnd w:id="86"/>
    <w:bookmarkStart w:id="87" w:name="X83cc3a7f4b2b853971884e6bb6e5d956dcedbf7"/>
    <w:p>
      <w:pPr>
        <w:pStyle w:val="Bibliography"/>
      </w:pPr>
      <w:r>
        <w:t xml:space="preserve">48.</w:t>
      </w:r>
      <w:r>
        <w:t xml:space="preserve"> </w:t>
      </w:r>
      <w:r>
        <w:t xml:space="preserve">	</w:t>
      </w:r>
      <w:r>
        <w:t xml:space="preserve">Iovita R, et al. (2021) Operationalizing niche construction theory with stone tools.</w:t>
      </w:r>
      <w:r>
        <w:t xml:space="preserve"> </w:t>
      </w:r>
      <w:r>
        <w:rPr>
          <w:iCs/>
          <w:i/>
        </w:rPr>
        <w:t xml:space="preserve">Evolutionary Anthropology</w:t>
      </w:r>
      <w:r>
        <w:t xml:space="preserve">:evan.21881.</w:t>
      </w:r>
    </w:p>
    <w:bookmarkEnd w:id="87"/>
    <w:bookmarkStart w:id="88" w:name="ref-thompsonOriginsHumanPredatory2019"/>
    <w:p>
      <w:pPr>
        <w:pStyle w:val="Bibliography"/>
      </w:pPr>
      <w:r>
        <w:t xml:space="preserve">49.</w:t>
      </w:r>
      <w:r>
        <w:t xml:space="preserve"> </w:t>
      </w:r>
      <w:r>
        <w:t xml:space="preserve">	</w:t>
      </w:r>
      <w:r>
        <w:t xml:space="preserve">Thompson JC, Carvalho S, Marean CW, Alemseged Z (2019) Origins of the</w:t>
      </w:r>
      <w:r>
        <w:t xml:space="preserve"> </w:t>
      </w:r>
      <w:r>
        <w:t xml:space="preserve">Human Predatory Pattern</w:t>
      </w:r>
      <w:r>
        <w:t xml:space="preserve">:</w:t>
      </w:r>
      <w:r>
        <w:t xml:space="preserve"> </w:t>
      </w:r>
      <w:r>
        <w:t xml:space="preserve">The Transition</w:t>
      </w:r>
      <w:r>
        <w:t xml:space="preserve"> </w:t>
      </w:r>
      <w:r>
        <w:t xml:space="preserve">to</w:t>
      </w:r>
      <w:r>
        <w:t xml:space="preserve"> </w:t>
      </w:r>
      <w:r>
        <w:t xml:space="preserve">Large</w:t>
      </w:r>
      <w:r>
        <w:t xml:space="preserve">-</w:t>
      </w:r>
      <w:r>
        <w:t xml:space="preserve">Animal Exploitation</w:t>
      </w:r>
      <w:r>
        <w:t xml:space="preserve"> </w:t>
      </w:r>
      <w:r>
        <w:t xml:space="preserve">by</w:t>
      </w:r>
      <w:r>
        <w:t xml:space="preserve"> </w:t>
      </w:r>
      <w:r>
        <w:t xml:space="preserve">Early Hominins</w:t>
      </w:r>
      <w:r>
        <w:t xml:space="preserve">.</w:t>
      </w:r>
      <w:r>
        <w:t xml:space="preserve"> </w:t>
      </w:r>
      <w:r>
        <w:rPr>
          <w:iCs/>
          <w:i/>
        </w:rPr>
        <w:t xml:space="preserve">Current Anthropology</w:t>
      </w:r>
      <w:r>
        <w:t xml:space="preserve"> </w:t>
      </w:r>
      <w:r>
        <w:t xml:space="preserve">60(1):1–23.</w:t>
      </w:r>
    </w:p>
    <w:bookmarkEnd w:id="88"/>
    <w:bookmarkStart w:id="89" w:name="ref-antonEvolutionEarlyHomo2014"/>
    <w:p>
      <w:pPr>
        <w:pStyle w:val="Bibliography"/>
      </w:pPr>
      <w:r>
        <w:t xml:space="preserve">50.</w:t>
      </w:r>
      <w:r>
        <w:t xml:space="preserve"> </w:t>
      </w:r>
      <w:r>
        <w:t xml:space="preserve">	</w:t>
      </w:r>
      <w:r>
        <w:t xml:space="preserve">AntÃÂn SC, Potts R, Aiello LC (2014) Evolution of early</w:t>
      </w:r>
      <w:r>
        <w:t xml:space="preserve"> </w:t>
      </w:r>
      <w:r>
        <w:t xml:space="preserve">Homo</w:t>
      </w:r>
      <w:r>
        <w:t xml:space="preserve">:</w:t>
      </w:r>
      <w:r>
        <w:t xml:space="preserve"> </w:t>
      </w:r>
      <w:r>
        <w:t xml:space="preserve">An</w:t>
      </w:r>
      <w:r>
        <w:t xml:space="preserve"> </w:t>
      </w:r>
      <w:r>
        <w:t xml:space="preserve">integrated biological perspective.</w:t>
      </w:r>
      <w:r>
        <w:t xml:space="preserve"> </w:t>
      </w:r>
      <w:r>
        <w:rPr>
          <w:iCs/>
          <w:i/>
        </w:rPr>
        <w:t xml:space="preserve">Science</w:t>
      </w:r>
      <w:r>
        <w:t xml:space="preserve"> </w:t>
      </w:r>
      <w:r>
        <w:t xml:space="preserve">345(6192):1236828.</w:t>
      </w:r>
    </w:p>
    <w:bookmarkEnd w:id="89"/>
    <w:bookmarkStart w:id="90" w:name="X26ac45a6a750d8e7e2065598098b0d44582c121"/>
    <w:p>
      <w:pPr>
        <w:pStyle w:val="Bibliography"/>
      </w:pPr>
      <w:r>
        <w:t xml:space="preserve">51.</w:t>
      </w:r>
      <w:r>
        <w:t xml:space="preserve"> </w:t>
      </w:r>
      <w:r>
        <w:t xml:space="preserve">	</w:t>
      </w:r>
      <w:r>
        <w:t xml:space="preserve">Patterson DB, et al. (2019) Comparative isotopic evidence from</w:t>
      </w:r>
      <w:r>
        <w:t xml:space="preserve"> </w:t>
      </w:r>
      <w:r>
        <w:t xml:space="preserve">East Turkana</w:t>
      </w:r>
      <w:r>
        <w:t xml:space="preserve"> </w:t>
      </w:r>
      <w:r>
        <w:t xml:space="preserve">supports a dietary shift within the genus</w:t>
      </w:r>
      <w:r>
        <w:t xml:space="preserve"> </w:t>
      </w:r>
      <w:r>
        <w:t xml:space="preserve">Homo</w:t>
      </w:r>
      <w:r>
        <w:t xml:space="preserve">.</w:t>
      </w:r>
      <w:r>
        <w:t xml:space="preserve"> </w:t>
      </w:r>
      <w:r>
        <w:rPr>
          <w:iCs/>
          <w:i/>
        </w:rPr>
        <w:t xml:space="preserve">Nat Ecol Evol</w:t>
      </w:r>
      <w:r>
        <w:t xml:space="preserve"> </w:t>
      </w:r>
      <w:r>
        <w:t xml:space="preserve">3(7):1048–1056.</w:t>
      </w:r>
    </w:p>
    <w:bookmarkEnd w:id="90"/>
    <w:bookmarkStart w:id="91" w:name="ref-arroyoPoundingToolsHWK2018"/>
    <w:p>
      <w:pPr>
        <w:pStyle w:val="Bibliography"/>
      </w:pPr>
      <w:r>
        <w:t xml:space="preserve">52.</w:t>
      </w:r>
      <w:r>
        <w:t xml:space="preserve"> </w:t>
      </w:r>
      <w:r>
        <w:t xml:space="preserve">	</w:t>
      </w:r>
      <w:r>
        <w:t xml:space="preserve">Arroyo A, de la Torre I (2018) Pounding tools in</w:t>
      </w:r>
      <w:r>
        <w:t xml:space="preserve"> </w:t>
      </w:r>
      <w:r>
        <w:t xml:space="preserve">HWK EE</w:t>
      </w:r>
      <w:r>
        <w:t xml:space="preserve"> </w:t>
      </w:r>
      <w:r>
        <w:t xml:space="preserve">and</w:t>
      </w:r>
      <w:r>
        <w:t xml:space="preserve"> </w:t>
      </w:r>
      <w:r>
        <w:t xml:space="preserve">EF</w:t>
      </w:r>
      <w:r>
        <w:t xml:space="preserve">-</w:t>
      </w:r>
      <w:r>
        <w:t xml:space="preserve">HR</w:t>
      </w:r>
      <w:r>
        <w:t xml:space="preserve"> </w:t>
      </w:r>
      <w:r>
        <w:t xml:space="preserve">(</w:t>
      </w:r>
      <w:r>
        <w:t xml:space="preserve">Olduvai Gorge</w:t>
      </w:r>
      <w:r>
        <w:t xml:space="preserve">,</w:t>
      </w:r>
      <w:r>
        <w:t xml:space="preserve"> </w:t>
      </w:r>
      <w:r>
        <w:t xml:space="preserve">Tanzania</w:t>
      </w:r>
      <w:r>
        <w:t xml:space="preserve">):</w:t>
      </w:r>
      <w:r>
        <w:t xml:space="preserve"> </w:t>
      </w:r>
      <w:r>
        <w:t xml:space="preserve">Percussive</w:t>
      </w:r>
      <w:r>
        <w:t xml:space="preserve"> </w:t>
      </w:r>
      <w:r>
        <w:t xml:space="preserve">activities in the</w:t>
      </w:r>
      <w:r>
        <w:t xml:space="preserve"> </w:t>
      </w:r>
      <w:r>
        <w:t xml:space="preserve">Oldowan</w:t>
      </w:r>
      <w:r>
        <w:t xml:space="preserve">-</w:t>
      </w:r>
      <w:r>
        <w:t xml:space="preserve">Acheulean</w:t>
      </w:r>
      <w:r>
        <w:t xml:space="preserve"> </w:t>
      </w:r>
      <w:r>
        <w:t xml:space="preserve">transition.</w:t>
      </w:r>
      <w:r>
        <w:t xml:space="preserve"> </w:t>
      </w:r>
      <w:r>
        <w:rPr>
          <w:iCs/>
          <w:i/>
        </w:rPr>
        <w:t xml:space="preserve">Journal of Human Evolution</w:t>
      </w:r>
      <w:r>
        <w:t xml:space="preserve"> </w:t>
      </w:r>
      <w:r>
        <w:t xml:space="preserve">120:402–421.</w:t>
      </w:r>
    </w:p>
    <w:bookmarkEnd w:id="91"/>
    <w:bookmarkStart w:id="92" w:name="ref-benito-calvoFirstGISAnalysis2015"/>
    <w:p>
      <w:pPr>
        <w:pStyle w:val="Bibliography"/>
      </w:pPr>
      <w:r>
        <w:t xml:space="preserve">53.</w:t>
      </w:r>
      <w:r>
        <w:t xml:space="preserve"> </w:t>
      </w:r>
      <w:r>
        <w:t xml:space="preserve">	</w:t>
      </w:r>
      <w:r>
        <w:t xml:space="preserve">Benito-Calvo A, Carvalho S, Arroyo A, Matsuzawa T, de la Torre I (2015) First</w:t>
      </w:r>
      <w:r>
        <w:t xml:space="preserve"> </w:t>
      </w:r>
      <w:r>
        <w:t xml:space="preserve">GIS Analysis</w:t>
      </w:r>
      <w:r>
        <w:t xml:space="preserve"> </w:t>
      </w:r>
      <w:r>
        <w:t xml:space="preserve">of</w:t>
      </w:r>
      <w:r>
        <w:t xml:space="preserve"> </w:t>
      </w:r>
      <w:r>
        <w:t xml:space="preserve">Modern Stone Tools Used</w:t>
      </w:r>
      <w:r>
        <w:t xml:space="preserve"> </w:t>
      </w:r>
      <w:r>
        <w:t xml:space="preserve">by</w:t>
      </w:r>
      <w:r>
        <w:t xml:space="preserve"> </w:t>
      </w:r>
      <w:r>
        <w:t xml:space="preserve">Wild Chimpanzees</w:t>
      </w:r>
      <w:r>
        <w:t xml:space="preserve"> </w:t>
      </w:r>
      <w:r>
        <w:t xml:space="preserve">(</w:t>
      </w:r>
      <w:r>
        <w:t xml:space="preserve">Pan</w:t>
      </w:r>
      <w:r>
        <w:t xml:space="preserve"> </w:t>
      </w:r>
      <w:r>
        <w:t xml:space="preserve">troglodytes verus) in</w:t>
      </w:r>
      <w:r>
        <w:t xml:space="preserve"> </w:t>
      </w:r>
      <w:r>
        <w:t xml:space="preserve">Bossou</w:t>
      </w:r>
      <w:r>
        <w:t xml:space="preserve">,</w:t>
      </w:r>
      <w:r>
        <w:t xml:space="preserve"> </w:t>
      </w:r>
      <w:r>
        <w:t xml:space="preserve">Guinea</w:t>
      </w:r>
      <w:r>
        <w:t xml:space="preserve">,</w:t>
      </w:r>
      <w:r>
        <w:t xml:space="preserve"> </w:t>
      </w:r>
      <w:r>
        <w:t xml:space="preserve">West Africa</w:t>
      </w:r>
      <w:r>
        <w:t xml:space="preserve">.</w:t>
      </w:r>
      <w:r>
        <w:t xml:space="preserve"> </w:t>
      </w:r>
      <w:r>
        <w:rPr>
          <w:iCs/>
          <w:i/>
        </w:rPr>
        <w:t xml:space="preserve">PLoS ONE</w:t>
      </w:r>
      <w:r>
        <w:t xml:space="preserve"> </w:t>
      </w:r>
      <w:r>
        <w:t xml:space="preserve">10(3):e0121613.</w:t>
      </w:r>
    </w:p>
    <w:bookmarkEnd w:id="92"/>
    <w:bookmarkStart w:id="93" w:name="X4d5eca8d5eae75bd5911dd05c7e9854a9be0b63"/>
    <w:p>
      <w:pPr>
        <w:pStyle w:val="Bibliography"/>
      </w:pPr>
      <w:r>
        <w:t xml:space="preserve">54.</w:t>
      </w:r>
      <w:r>
        <w:t xml:space="preserve"> </w:t>
      </w:r>
      <w:r>
        <w:t xml:space="preserve">	</w:t>
      </w:r>
      <w:r>
        <w:t xml:space="preserve">Latham TS, Sutton PA, Verosub KL (1992) Non-destructive xrf characterization of basaltic artifacts from</w:t>
      </w:r>
      <w:r>
        <w:t xml:space="preserve"> </w:t>
      </w:r>
      <w:r>
        <w:t xml:space="preserve">Truckee</w:t>
      </w:r>
      <w:r>
        <w:t xml:space="preserve">,</w:t>
      </w:r>
      <w:r>
        <w:t xml:space="preserve"> </w:t>
      </w:r>
      <w:r>
        <w:t xml:space="preserve">California</w:t>
      </w:r>
      <w:r>
        <w:t xml:space="preserve">.</w:t>
      </w:r>
      <w:r>
        <w:t xml:space="preserve"> </w:t>
      </w:r>
      <w:r>
        <w:rPr>
          <w:iCs/>
          <w:i/>
        </w:rPr>
        <w:t xml:space="preserve">Geoarchaeology</w:t>
      </w:r>
      <w:r>
        <w:t xml:space="preserve"> </w:t>
      </w:r>
      <w:r>
        <w:t xml:space="preserve">7(2):81–101.</w:t>
      </w:r>
    </w:p>
    <w:bookmarkEnd w:id="93"/>
    <w:bookmarkStart w:id="94" w:name="ref-boeschWildCulturesComparison2014"/>
    <w:p>
      <w:pPr>
        <w:pStyle w:val="Bibliography"/>
      </w:pPr>
      <w:r>
        <w:t xml:space="preserve">55.</w:t>
      </w:r>
      <w:r>
        <w:t xml:space="preserve"> </w:t>
      </w:r>
      <w:r>
        <w:t xml:space="preserve">	</w:t>
      </w:r>
      <w:r>
        <w:t xml:space="preserve">Boesch C (2014)</w:t>
      </w:r>
      <w:r>
        <w:t xml:space="preserve"> </w:t>
      </w:r>
      <w:r>
        <w:rPr>
          <w:iCs/>
          <w:i/>
        </w:rPr>
        <w:t xml:space="preserve">Wild cultures a comparison between chimpanzee and human cultures.</w:t>
      </w:r>
      <w:r>
        <w:t xml:space="preserve"> </w:t>
      </w:r>
      <w:r>
        <w:t xml:space="preserve">(</w:t>
      </w:r>
      <w:r>
        <w:t xml:space="preserve">Cambridge University Press</w:t>
      </w:r>
      <w:r>
        <w:t xml:space="preserve">,</w:t>
      </w:r>
      <w:r>
        <w:t xml:space="preserve"> </w:t>
      </w:r>
      <w:r>
        <w:t xml:space="preserve">Cambridge</w:t>
      </w:r>
      <w:r>
        <w:t xml:space="preserve">).</w:t>
      </w:r>
    </w:p>
    <w:bookmarkEnd w:id="94"/>
    <w:bookmarkStart w:id="95" w:name="X20526b6426f0eef9747bf5791dde51ccb8eb177"/>
    <w:p>
      <w:pPr>
        <w:pStyle w:val="Bibliography"/>
      </w:pPr>
      <w:r>
        <w:t xml:space="preserve">56.</w:t>
      </w:r>
      <w:r>
        <w:t xml:space="preserve"> </w:t>
      </w:r>
      <w:r>
        <w:t xml:space="preserve">	</w:t>
      </w:r>
      <w:r>
        <w:t xml:space="preserve">Mercader J, Panger M, Boesch C (2002) Excavation of a</w:t>
      </w:r>
      <w:r>
        <w:t xml:space="preserve"> </w:t>
      </w:r>
      <w:r>
        <w:t xml:space="preserve">Chimpanzee Stone Tool Site</w:t>
      </w:r>
      <w:r>
        <w:t xml:space="preserve"> </w:t>
      </w:r>
      <w:r>
        <w:t xml:space="preserve">in the</w:t>
      </w:r>
      <w:r>
        <w:t xml:space="preserve"> </w:t>
      </w:r>
      <w:r>
        <w:t xml:space="preserve">African Rainforest</w:t>
      </w:r>
      <w:r>
        <w:t xml:space="preserve">.</w:t>
      </w:r>
      <w:r>
        <w:t xml:space="preserve"> </w:t>
      </w:r>
      <w:r>
        <w:rPr>
          <w:iCs/>
          <w:i/>
        </w:rPr>
        <w:t xml:space="preserve">Science</w:t>
      </w:r>
      <w:r>
        <w:t xml:space="preserve"> </w:t>
      </w:r>
      <w:r>
        <w:t xml:space="preserve">296(5572):1452–1455.</w:t>
      </w:r>
    </w:p>
    <w:bookmarkEnd w:id="95"/>
    <w:bookmarkStart w:id="96" w:name="ref-mcgrewSearchLastCommon2010"/>
    <w:p>
      <w:pPr>
        <w:pStyle w:val="Bibliography"/>
      </w:pPr>
      <w:r>
        <w:t xml:space="preserve">57.</w:t>
      </w:r>
      <w:r>
        <w:t xml:space="preserve"> </w:t>
      </w:r>
      <w:r>
        <w:t xml:space="preserve">	</w:t>
      </w:r>
      <w:r>
        <w:t xml:space="preserve">McGrew WC (2010) In search of the last common ancestor: New findings on wild chimpanzees.</w:t>
      </w:r>
      <w:r>
        <w:t xml:space="preserve"> </w:t>
      </w:r>
      <w:r>
        <w:rPr>
          <w:iCs/>
          <w:i/>
        </w:rPr>
        <w:t xml:space="preserve">Philosophical Transactions of the Royal Society B: Biological Sciences</w:t>
      </w:r>
      <w:r>
        <w:t xml:space="preserve"> </w:t>
      </w:r>
      <w:r>
        <w:t xml:space="preserve">365(1556):3267–3276.</w:t>
      </w:r>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81" Target="http://books.google.com?id=RUkABAAAQBAJ" TargetMode="External" /><Relationship Type="http://schemas.openxmlformats.org/officeDocument/2006/relationships/hyperlink" Id="rId68" Target="https://books.google.co.ke/books/about/Formation_processes_of_the_archaeologica.html?id=TMpVlJ8zK78C&amp;redir_esc=y" TargetMode="External" /><Relationship Type="http://schemas.openxmlformats.org/officeDocument/2006/relationships/hyperlink" Id="rId84" Target="https://doi.org/10.1002/evan.21886" TargetMode="External" /><Relationship Type="http://schemas.openxmlformats.org/officeDocument/2006/relationships/hyperlink" Id="rId65" Target="https://doi.org/10.1007/s10816-016-9297-8" TargetMode="External" /><Relationship Type="http://schemas.openxmlformats.org/officeDocument/2006/relationships/hyperlink" Id="rId58" Target="https://doi.org/10.1007/s10816-020-09445-y" TargetMode="External" /><Relationship Type="http://schemas.openxmlformats.org/officeDocument/2006/relationships/hyperlink" Id="rId42" Target="https://doi.org/10.1098/rstb.2014.0348" TargetMode="External" /><Relationship Type="http://schemas.openxmlformats.org/officeDocument/2006/relationships/hyperlink" Id="rId60" Target="https://doi.org/10.2307/2989930" TargetMode="External" /><Relationship Type="http://schemas.openxmlformats.org/officeDocument/2006/relationships/hyperlink" Id="rId62" Target="https://rune.une.edu.au/web/handle/1959.11/1837" TargetMode="External" /><Relationship Type="http://schemas.openxmlformats.org/officeDocument/2006/relationships/hyperlink" Id="rId51" Target="https://www.press.uchicago.edu/ucp/books/book/chicago/Q/bo39582137.html" TargetMode="External" /></Relationships>
</file>

<file path=word/_rels/footnotes.xml.rels><?xml version="1.0" encoding="UTF-8"?>
<Relationships xmlns="http://schemas.openxmlformats.org/package/2006/relationships"><Relationship Type="http://schemas.openxmlformats.org/officeDocument/2006/relationships/hyperlink" Id="rId81" Target="http://books.google.com?id=RUkABAAAQBAJ" TargetMode="External" /><Relationship Type="http://schemas.openxmlformats.org/officeDocument/2006/relationships/hyperlink" Id="rId68" Target="https://books.google.co.ke/books/about/Formation_processes_of_the_archaeologica.html?id=TMpVlJ8zK78C&amp;redir_esc=y" TargetMode="External" /><Relationship Type="http://schemas.openxmlformats.org/officeDocument/2006/relationships/hyperlink" Id="rId84" Target="https://doi.org/10.1002/evan.21886" TargetMode="External" /><Relationship Type="http://schemas.openxmlformats.org/officeDocument/2006/relationships/hyperlink" Id="rId65" Target="https://doi.org/10.1007/s10816-016-9297-8" TargetMode="External" /><Relationship Type="http://schemas.openxmlformats.org/officeDocument/2006/relationships/hyperlink" Id="rId58" Target="https://doi.org/10.1007/s10816-020-09445-y" TargetMode="External" /><Relationship Type="http://schemas.openxmlformats.org/officeDocument/2006/relationships/hyperlink" Id="rId42" Target="https://doi.org/10.1098/rstb.2014.0348" TargetMode="External" /><Relationship Type="http://schemas.openxmlformats.org/officeDocument/2006/relationships/hyperlink" Id="rId60" Target="https://doi.org/10.2307/2989930" TargetMode="External" /><Relationship Type="http://schemas.openxmlformats.org/officeDocument/2006/relationships/hyperlink" Id="rId62" Target="https://rune.une.edu.au/web/handle/1959.11/1837" TargetMode="External" /><Relationship Type="http://schemas.openxmlformats.org/officeDocument/2006/relationships/hyperlink" Id="rId51" Target="https://www.press.uchicago.edu/ucp/books/book/chicago/Q/bo395821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Emergence of Culturally Constructed Landscapes</dc:title>
  <dc:creator/>
  <cp:keywords>Tool Transport, Niche Construction, Percussive tools, Primate Archaeology, Agent-Based Modeling</cp:keywords>
  <dcterms:created xsi:type="dcterms:W3CDTF">2021-03-18T16:11:19Z</dcterms:created>
  <dcterms:modified xsi:type="dcterms:W3CDTF">2021-03-18T16:11:19Z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Primates and humans represent two end members on the spectrum of tool using behaviors. On the primate side, while tool use provides access to otherwise inaccessible resources, opportunities for it are largely constrained by the distribution of resources and tool materials. On the other hand, tool use among humans represents the access to novel resources but a capacity to advantageously modify the surrounding environment on an unprecedented scale. Despite the assumed role of tools in shaping the evolutionary trajectory of the hominin clade, how the comparatively simple tool using behaviors observed in non-human primates became such a transformative trait in humans remains unclear. While behavioral ecological studies of chimpanzee tool use provide a window of insight into the root of tool use in the hominin lineage, placing these behaviors within a broader evolutionary context requires both linking these small scale behaviors are related to processes that operate on broader spatio-temporal scales as well as to a static archaeological record. Here we present an agent-based model that elucidates the long term dynamics between small-scale tool use, the environment, and the formation of the archaeological record. In doing so, we are able to show that while primate tool use is largely constrained by environmental parameters, there are circumstances in which such behaviors can positively modify their environments over the long term. While our results also suggest that these processes leave tangible corollaries in the archaeological record, they are variable and may be difficult to link back to the behaviors that produced them.</vt:lpwstr>
  </property>
  <property fmtid="{D5CDD505-2E9C-101B-9397-08002B2CF9AE}" pid="3" name="acknowledgements">
    <vt:lpwstr>We thank the Max Planck Institute for supporting this research.</vt:lpwstr>
  </property>
  <property fmtid="{D5CDD505-2E9C-101B-9397-08002B2CF9AE}" pid="4" name="address">
    <vt:lpwstr/>
  </property>
  <property fmtid="{D5CDD505-2E9C-101B-9397-08002B2CF9AE}" pid="5" name="author_contributions">
    <vt:lpwstr>Please provide details of author contributions here.</vt:lpwstr>
  </property>
  <property fmtid="{D5CDD505-2E9C-101B-9397-08002B2CF9AE}" pid="6" name="bibliography">
    <vt:lpwstr>pnas-sample.bib</vt:lpwstr>
  </property>
  <property fmtid="{D5CDD505-2E9C-101B-9397-08002B2CF9AE}" pid="7" name="conflict_of_interest">
    <vt:lpwstr>There are no conflicts of interest.</vt:lpwstr>
  </property>
  <property fmtid="{D5CDD505-2E9C-101B-9397-08002B2CF9AE}" pid="8" name="corresponding_author">
    <vt:lpwstr/>
  </property>
  <property fmtid="{D5CDD505-2E9C-101B-9397-08002B2CF9AE}" pid="9" name="csl">
    <vt:lpwstr>pnas.csl</vt:lpwstr>
  </property>
  <property fmtid="{D5CDD505-2E9C-101B-9397-08002B2CF9AE}" pid="10" name="lead_author_surname">
    <vt:lpwstr>Reeves</vt:lpwstr>
  </property>
  <property fmtid="{D5CDD505-2E9C-101B-9397-08002B2CF9AE}" pid="11" name="lineno">
    <vt:lpwstr>False</vt:lpwstr>
  </property>
  <property fmtid="{D5CDD505-2E9C-101B-9397-08002B2CF9AE}" pid="12" name="output">
    <vt:lpwstr/>
  </property>
  <property fmtid="{D5CDD505-2E9C-101B-9397-08002B2CF9AE}" pid="13" name="pnas_type">
    <vt:lpwstr>pnasresearcharticle</vt:lpwstr>
  </property>
  <property fmtid="{D5CDD505-2E9C-101B-9397-08002B2CF9AE}" pid="14" name="significance">
    <vt:lpwstr>While primate behavioral ecological studies are argued to provide novel insight about hominin evolution, placing these insights within a broader evolutionary context is difficult. Our model demonstrates how agent-based modeling can be used to elucidate broader environment-tool use dynamics that may have been relevant to the evolution of tool use within the hominin lineage.</vt:lpwstr>
  </property>
</Properties>
</file>