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r>
        <w:t xml:space="preserve"/>
      </w:r>
    </w:p>
    <w:p>
      <w:pPr>
        <w:spacing w:after="60"/>
        <w:jc w:val="center"/>
      </w:pPr>
      <w:r>
        <w:rPr>
          <w:b/>
          <w:bCs/>
          <w:color w:val="2E75B6"/>
          <w:spacing w:val="40"/>
          <w:sz w:val="30"/>
          <w:szCs w:val="30"/>
        </w:rPr>
        <w:t xml:space="preserve">INSTRUCTOR’S TEACHING COMPANION</w:t>
      </w:r>
    </w:p>
    <w:p>
      <w:pPr>
        <w:spacing w:after="40"/>
        <w:jc w:val="center"/>
      </w:pPr>
      <w:r>
        <w:rPr>
          <w:b/>
          <w:bCs/>
          <w:color w:val="1F3864"/>
          <w:sz w:val="52"/>
          <w:szCs w:val="52"/>
        </w:rPr>
        <w:t xml:space="preserve">The 8 Tutorials,</w:t>
      </w:r>
    </w:p>
    <w:p>
      <w:pPr>
        <w:spacing w:after="240"/>
        <w:jc w:val="center"/>
      </w:pPr>
      <w:r>
        <w:rPr>
          <w:b/>
          <w:bCs/>
          <w:color w:val="1F3864"/>
          <w:sz w:val="52"/>
          <w:szCs w:val="52"/>
        </w:rPr>
        <w:t xml:space="preserve">Mapped to the Textbook</w:t>
      </w:r>
    </w:p>
    <w:p>
      <w:pPr>
        <w:pBdr>
          <w:top w:val="single" w:color="2E75B6" w:sz="12" w:space="8"/>
          <w:bottom w:val="single" w:color="2E75B6" w:sz="12" w:space="8"/>
        </w:pBdr>
        <w:spacing w:after="120" w:before="120"/>
        <w:jc w:val="center"/>
      </w:pPr>
      <w:r>
        <w:rPr>
          <w:i/>
          <w:iCs/>
          <w:color w:val="595959"/>
          <w:sz w:val="26"/>
          <w:szCs w:val="26"/>
        </w:rPr>
        <w:t xml:space="preserve">How and where to use the book to teach each tutorial</w:t>
      </w:r>
    </w:p>
    <w:p>
      <w:pPr>
        <w:spacing w:after="40" w:before="360"/>
        <w:jc w:val="center"/>
      </w:pPr>
      <w:r>
        <w:rPr>
          <w:color w:val="595959"/>
          <w:sz w:val="22"/>
          <w:szCs w:val="22"/>
        </w:rPr>
        <w:t xml:space="preserve">A detailed, tutorial-by-tutorial teaching plan with exact chapter,</w:t>
      </w:r>
    </w:p>
    <w:p>
      <w:pPr>
        <w:spacing w:after="500"/>
        <w:jc w:val="center"/>
      </w:pPr>
      <w:r>
        <w:rPr>
          <w:color w:val="595959"/>
          <w:sz w:val="22"/>
          <w:szCs w:val="22"/>
        </w:rPr>
        <w:t xml:space="preserve">section, page, and figure references for classroom use</w:t>
      </w:r>
    </w:p>
    <w:p>
      <w:pPr>
        <w:spacing w:after="30"/>
        <w:jc w:val="center"/>
      </w:pPr>
      <w:r>
        <w:rPr>
          <w:i/>
          <w:iCs/>
          <w:sz w:val="20"/>
          <w:szCs w:val="20"/>
        </w:rPr>
        <w:t xml:space="preserve">Textbook: Concepts in Enterprise Resource Planning, Third Edition</w:t>
      </w:r>
    </w:p>
    <w:p>
      <w:pPr>
        <w:jc w:val="center"/>
      </w:pPr>
      <w:r>
        <w:rPr>
          <w:i/>
          <w:iCs/>
          <w:color w:val="595959"/>
          <w:sz w:val="20"/>
          <w:szCs w:val="20"/>
        </w:rPr>
        <w:t xml:space="preserve">Ellen F. Monk &amp; Bret J. Wagner</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Companion</w:t>
      </w:r>
    </w:p>
    <w:p>
      <w:pPr>
        <w:spacing w:after="120" w:line="276"/>
      </w:pPr>
      <w:r>
        <w:t xml:space="preserve">This companion is built for one purpose: to show you, tutorial by tutorial, exactly where in Concepts in Enterprise Resource Planning you can reach for support, and how to turn that book content into classroom teaching. Each of the eight tutorials gets its own section with the same predictable layout, so you can flip to any tutorial and immediately see what to prepare.</w:t>
      </w:r>
    </w:p>
    <w:p>
      <w:pPr>
        <w:pStyle w:val="Heading3"/>
      </w:pPr>
      <w:r>
        <w:t xml:space="preserve">What every tutorial section contains</w:t>
      </w:r>
    </w:p>
    <w:p>
      <w:pPr>
        <w:pStyle w:val="ListParagraph"/>
        <w:numPr>
          <w:ilvl w:val="0"/>
          <w:numId w:val="2"/>
        </w:numPr>
        <w:spacing w:after="60" w:line="270"/>
      </w:pPr>
      <w:r>
        <w:rPr>
          <w:b/>
          <w:bCs/>
        </w:rPr>
        <w:t xml:space="preserve">Tutorial snapshot — </w:t>
      </w:r>
      <w:r>
        <w:t xml:space="preserve">the overview, the learning outcome, and a plain list of what students must actually produce.</w:t>
      </w:r>
    </w:p>
    <w:p>
      <w:pPr>
        <w:pStyle w:val="ListParagraph"/>
        <w:numPr>
          <w:ilvl w:val="0"/>
          <w:numId w:val="2"/>
        </w:numPr>
        <w:spacing w:after="60" w:line="270"/>
      </w:pPr>
      <w:r>
        <w:rPr>
          <w:b/>
          <w:bCs/>
        </w:rPr>
        <w:t xml:space="preserve">Where the book helps — </w:t>
      </w:r>
      <w:r>
        <w:t xml:space="preserve">a mapping table that pairs each part of the tutorial with the precise chapter, section, page, and figure in the textbook.</w:t>
      </w:r>
    </w:p>
    <w:p>
      <w:pPr>
        <w:pStyle w:val="ListParagraph"/>
        <w:numPr>
          <w:ilvl w:val="0"/>
          <w:numId w:val="2"/>
        </w:numPr>
        <w:spacing w:after="60" w:line="270"/>
      </w:pPr>
      <w:r>
        <w:rPr>
          <w:b/>
          <w:bCs/>
        </w:rPr>
        <w:t xml:space="preserve">How to teach it with the book — </w:t>
      </w:r>
      <w:r>
        <w:t xml:space="preserve">step-by-step teaching notes, talking points, and model-answer guidance drawn from the book.</w:t>
      </w:r>
    </w:p>
    <w:p>
      <w:pPr>
        <w:pStyle w:val="ListParagraph"/>
        <w:numPr>
          <w:ilvl w:val="0"/>
          <w:numId w:val="2"/>
        </w:numPr>
        <w:spacing w:after="60" w:line="270"/>
      </w:pPr>
      <w:r>
        <w:rPr>
          <w:b/>
          <w:bCs/>
        </w:rPr>
        <w:t xml:space="preserve">Key terms to emphasize — </w:t>
      </w:r>
      <w:r>
        <w:t xml:space="preserve">the book vocabulary students should be able to use by the end.</w:t>
      </w:r>
    </w:p>
    <w:p>
      <w:pPr>
        <w:pStyle w:val="ListParagraph"/>
        <w:numPr>
          <w:ilvl w:val="0"/>
          <w:numId w:val="2"/>
        </w:numPr>
        <w:spacing w:after="60" w:line="270"/>
      </w:pPr>
      <w:r>
        <w:rPr>
          <w:b/>
          <w:bCs/>
        </w:rPr>
        <w:t xml:space="preserve">Tips &amp; pitfalls — </w:t>
      </w:r>
      <w:r>
        <w:t xml:space="preserve">where students typically go wrong and how to steer them.</w:t>
      </w:r>
    </w:p>
    <w:p>
      <w:pPr>
        <w:spacing w:after="60"/>
      </w:pPr>
      <w:r>
        <w:t xml:space="preserve"/>
      </w:r>
    </w:p>
    <w:tbl>
      <w:tblPr>
        <w:tblW w:type="dxa" w:w="9360"/>
        <w:tblBorders>
          <w:top w:val="single" w:color="DCE6F1" w:sz="2"/>
          <w:left w:val="single" w:color="2E75B6" w:sz="24"/>
          <w:bottom w:val="single" w:color="DCE6F1" w:sz="2"/>
          <w:right w:val="single" w:color="DCE6F1" w:sz="2"/>
          <w:insideH w:val="single" w:color="auto" w:sz="4"/>
          <w:insideV w:val="single" w:color="auto" w:sz="4"/>
        </w:tblBorders>
      </w:tblPr>
      <w:tblGrid>
        <w:gridCol w:w="9360"/>
      </w:tblGrid>
      <w:tr>
        <w:tc>
          <w:tcPr>
            <w:tcW w:type="dxa" w:w="9360"/>
            <w:shd w:fill="DCE6F1" w:val="clear"/>
            <w:tcMar>
              <w:top w:type="dxa" w:w="120"/>
              <w:left w:type="dxa" w:w="200"/>
              <w:bottom w:type="dxa" w:w="120"/>
              <w:right w:type="dxa" w:w="160"/>
            </w:tcMar>
          </w:tcPr>
          <w:p>
            <w:pPr>
              <w:spacing w:after="60"/>
            </w:pPr>
            <w:r>
              <w:rPr>
                <w:b/>
                <w:bCs/>
                <w:color w:val="2E75B6"/>
                <w:sz w:val="21"/>
                <w:szCs w:val="21"/>
              </w:rPr>
              <w:t xml:space="preserve">A note on the colour coding</w:t>
            </w:r>
          </w:p>
          <w:p>
            <w:r>
              <w:rPr>
                <w:sz w:val="21"/>
                <w:szCs w:val="21"/>
              </w:rPr>
              <w:t xml:space="preserve">Blue boxes summarize the teaching goal. Orange-tinted tables show where to find the supporting content in the book. Green boxes flag questions that are lifted directly from the textbook’s own end-of-chapter exercises — these are the easiest wins, because the book practically writes your model answer. Yellow boxes are teaching insights; red boxes are pitfalls.</w:t>
            </w:r>
          </w:p>
        </w:tc>
      </w:tr>
    </w:tbl>
    <w:p>
      <w:pPr>
        <w:spacing w:after="80"/>
      </w:pPr>
      <w:r>
        <w:t xml:space="preserve"/>
      </w:r>
    </w:p>
    <w:p>
      <w:pPr>
        <w:pStyle w:val="Heading2"/>
      </w:pPr>
      <w:r>
        <w:t xml:space="preserve">At-a-Glance: All Eight Tutorials Mapped to the Book</w:t>
      </w:r>
    </w:p>
    <w:p>
      <w:pPr>
        <w:spacing w:after="120" w:line="276"/>
      </w:pPr>
      <w:r>
        <w:rPr>
          <w:sz w:val="21"/>
          <w:szCs w:val="21"/>
        </w:rPr>
        <w:t xml:space="preserve">Use this master table to plan the term. The right-hand column names the single most important chapter to assign for each tutorial.</w:t>
      </w:r>
    </w:p>
    <w:tbl>
      <w:tblPr>
        <w:tblW w:type="dxa" w:w="9360"/>
        <w:tblBorders>
          <w:top w:val="single" w:color="FFF2CC" w:sz="2"/>
          <w:left w:val="single" w:color="BF8F00" w:sz="24"/>
          <w:bottom w:val="single" w:color="FFF2CC" w:sz="2"/>
          <w:right w:val="single" w:color="FFF2CC" w:sz="2"/>
          <w:insideH w:val="single" w:color="auto" w:sz="4"/>
          <w:insideV w:val="single" w:color="auto" w:sz="4"/>
        </w:tblBorders>
      </w:tblPr>
      <w:tblGrid>
        <w:gridCol w:w="9360"/>
      </w:tblGrid>
      <w:tr>
        <w:tc>
          <w:tcPr>
            <w:tcW w:type="dxa" w:w="9360"/>
            <w:shd w:fill="FFF2CC" w:val="clear"/>
            <w:tcMar>
              <w:top w:type="dxa" w:w="120"/>
              <w:left w:type="dxa" w:w="200"/>
              <w:bottom w:type="dxa" w:w="120"/>
              <w:right w:type="dxa" w:w="160"/>
            </w:tcMar>
          </w:tcPr>
          <w:p>
            <w:pPr>
              <w:spacing w:after="60"/>
            </w:pPr>
            <w:r>
              <w:rPr>
                <w:b/>
                <w:bCs/>
                <w:color w:val="BF8F00"/>
                <w:sz w:val="21"/>
                <w:szCs w:val="21"/>
              </w:rPr>
              <w:t xml:space="preserve">TEACHING INSIGHT</w:t>
            </w:r>
          </w:p>
          <w:p>
            <w:r>
              <w:rPr>
                <w:sz w:val="21"/>
                <w:szCs w:val="21"/>
              </w:rPr>
              <w:t xml:space="preserve">Four of the eight tutorials reuse the textbook almost verbatim. Tutorial 5 cites exact page numbers; Tutorial 7’s two questions are Chapter 4 Exercises 3 and 6; Tutorial 8’s two activities are Chapter 6 Exercises 1 and 4; and Tutorials 3 and 6 reproduce the forecasting and planning tables from Figures 4-3 and 4-5. Assigning the right pages in advance does most of your prep for you.</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60"/>
        <w:gridCol w:w="3200"/>
      </w:tblGrid>
      <w:tr>
        <w:trPr>
          <w:tblHeader/>
        </w:trPr>
        <w:tc>
          <w:tcPr>
            <w:tcW w:type="dxa" w:w="900"/>
            <w:shd w:fill="1F3864" w:val="clear"/>
            <w:tcMar>
              <w:top w:type="dxa" w:w="80"/>
              <w:left w:type="dxa" w:w="120"/>
              <w:bottom w:type="dxa" w:w="80"/>
              <w:right w:type="dxa" w:w="120"/>
            </w:tcMar>
            <w:vAlign w:val="center"/>
          </w:tcPr>
          <w:p>
            <w:r>
              <w:rPr>
                <w:b/>
                <w:bCs/>
                <w:color w:val="FFFFFF"/>
                <w:sz w:val="19"/>
                <w:szCs w:val="19"/>
              </w:rPr>
              <w:t xml:space="preserve">Tutorial</w:t>
            </w:r>
          </w:p>
        </w:tc>
        <w:tc>
          <w:tcPr>
            <w:tcW w:type="dxa" w:w="5260"/>
            <w:shd w:fill="1F3864" w:val="clear"/>
            <w:tcMar>
              <w:top w:type="dxa" w:w="80"/>
              <w:left w:type="dxa" w:w="120"/>
              <w:bottom w:type="dxa" w:w="80"/>
              <w:right w:type="dxa" w:w="120"/>
            </w:tcMar>
            <w:vAlign w:val="center"/>
          </w:tcPr>
          <w:p>
            <w:r>
              <w:rPr>
                <w:b/>
                <w:bCs/>
                <w:color w:val="FFFFFF"/>
                <w:sz w:val="19"/>
                <w:szCs w:val="19"/>
              </w:rPr>
              <w:t xml:space="preserve">Topic</w:t>
            </w:r>
          </w:p>
        </w:tc>
        <w:tc>
          <w:tcPr>
            <w:tcW w:type="dxa" w:w="3200"/>
            <w:shd w:fill="1F3864" w:val="clear"/>
            <w:tcMar>
              <w:top w:type="dxa" w:w="80"/>
              <w:left w:type="dxa" w:w="120"/>
              <w:bottom w:type="dxa" w:w="80"/>
              <w:right w:type="dxa" w:w="120"/>
            </w:tcMar>
            <w:vAlign w:val="center"/>
          </w:tcPr>
          <w:p>
            <w:r>
              <w:rPr>
                <w:b/>
                <w:bCs/>
                <w:color w:val="FFFFFF"/>
                <w:sz w:val="19"/>
                <w:szCs w:val="19"/>
              </w:rPr>
              <w:t xml:space="preserve">Primary chapter(s) in the book</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sz w:val="19"/>
                <w:szCs w:val="19"/>
              </w:rPr>
              <w:t xml:space="preserve">T1</w:t>
            </w:r>
          </w:p>
        </w:tc>
        <w:tc>
          <w:tcPr>
            <w:tcW w:type="dxa" w:w="5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Business Process &amp; Business Functions (West End Bicycles)</w:t>
            </w:r>
          </w:p>
        </w:tc>
        <w:tc>
          <w:tcPr>
            <w:tcW w:type="dxa" w:w="3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Ch. 1 (pp. 1–16)</w:t>
            </w:r>
          </w:p>
        </w:tc>
      </w:tr>
      <w:tr>
        <w:tc>
          <w:tcPr>
            <w:tcW w:type="dxa" w:w="9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sz w:val="19"/>
                <w:szCs w:val="19"/>
              </w:rPr>
              <w:t xml:space="preserve">T2</w:t>
            </w:r>
          </w:p>
        </w:tc>
        <w:tc>
          <w:tcPr>
            <w:tcW w:type="dxa" w:w="5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ERP System Development — Benefits &amp; Challenges</w:t>
            </w:r>
          </w:p>
        </w:tc>
        <w:tc>
          <w:tcPr>
            <w:tcW w:type="dxa" w:w="32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Ch. 2 (pp. 33–39)</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sz w:val="19"/>
                <w:szCs w:val="19"/>
              </w:rPr>
              <w:t xml:space="preserve">T3</w:t>
            </w:r>
          </w:p>
        </w:tc>
        <w:tc>
          <w:tcPr>
            <w:tcW w:type="dxa" w:w="5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Production Planning (your own trading business)</w:t>
            </w:r>
          </w:p>
        </w:tc>
        <w:tc>
          <w:tcPr>
            <w:tcW w:type="dxa" w:w="3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Ch. 4 (pp. 78–87)</w:t>
            </w:r>
          </w:p>
        </w:tc>
      </w:tr>
      <w:tr>
        <w:tc>
          <w:tcPr>
            <w:tcW w:type="dxa" w:w="9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sz w:val="19"/>
                <w:szCs w:val="19"/>
              </w:rPr>
              <w:t xml:space="preserve">T4</w:t>
            </w:r>
          </w:p>
        </w:tc>
        <w:tc>
          <w:tcPr>
            <w:tcW w:type="dxa" w:w="5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Customer Relationship Management (Luna Electronics)</w:t>
            </w:r>
          </w:p>
        </w:tc>
        <w:tc>
          <w:tcPr>
            <w:tcW w:type="dxa" w:w="32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Ch. 3, CRM (pp. 65–72)</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sz w:val="19"/>
                <w:szCs w:val="19"/>
              </w:rPr>
              <w:t xml:space="preserve">T5</w:t>
            </w:r>
          </w:p>
        </w:tc>
        <w:tc>
          <w:tcPr>
            <w:tcW w:type="dxa" w:w="5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Sales Order Process (Fitter Snacker)</w:t>
            </w:r>
          </w:p>
        </w:tc>
        <w:tc>
          <w:tcPr>
            <w:tcW w:type="dxa" w:w="3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Ch. 3 (pp. 48–55, 74)</w:t>
            </w:r>
          </w:p>
        </w:tc>
      </w:tr>
      <w:tr>
        <w:tc>
          <w:tcPr>
            <w:tcW w:type="dxa" w:w="9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sz w:val="19"/>
                <w:szCs w:val="19"/>
              </w:rPr>
              <w:t xml:space="preserve">T6</w:t>
            </w:r>
          </w:p>
        </w:tc>
        <w:tc>
          <w:tcPr>
            <w:tcW w:type="dxa" w:w="5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Sales Forecast &amp; SOP (Footloose Sport Shoes)</w:t>
            </w:r>
          </w:p>
        </w:tc>
        <w:tc>
          <w:tcPr>
            <w:tcW w:type="dxa" w:w="32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Ch. 4 (pp. 84–87)</w:t>
            </w:r>
          </w:p>
        </w:tc>
      </w:tr>
      <w:tr>
        <w:tc>
          <w:tcPr>
            <w:tcW w:type="dxa" w:w="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sz w:val="19"/>
                <w:szCs w:val="19"/>
              </w:rPr>
              <w:t xml:space="preserve">T7</w:t>
            </w:r>
          </w:p>
        </w:tc>
        <w:tc>
          <w:tcPr>
            <w:tcW w:type="dxa" w:w="5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Supply Chain Management</w:t>
            </w:r>
          </w:p>
        </w:tc>
        <w:tc>
          <w:tcPr>
            <w:tcW w:type="dxa" w:w="3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Ch. 4 (pp. 107–115)</w:t>
            </w:r>
          </w:p>
        </w:tc>
      </w:tr>
      <w:tr>
        <w:tc>
          <w:tcPr>
            <w:tcW w:type="dxa" w:w="9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sz w:val="19"/>
                <w:szCs w:val="19"/>
              </w:rPr>
              <w:t xml:space="preserve">T8</w:t>
            </w:r>
          </w:p>
        </w:tc>
        <w:tc>
          <w:tcPr>
            <w:tcW w:type="dxa" w:w="5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Human Resources &amp; Process Modelling</w:t>
            </w:r>
          </w:p>
        </w:tc>
        <w:tc>
          <w:tcPr>
            <w:tcW w:type="dxa" w:w="32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Ch. 6 + Ch. 7 (pp. 157–191)</w:t>
            </w:r>
          </w:p>
        </w:tc>
      </w:tr>
    </w:tbl>
    <w:p>
      <w:pPr>
        <w:pStyle w:val="Heading1"/>
        <w:pageBreakBefore/>
      </w:pPr>
      <w:r>
        <w:t xml:space="preserve">Tutorial 1 — Business Process &amp; Business Functions</w:t>
      </w:r>
    </w:p>
    <w:tbl>
      <w:tblPr>
        <w:tblW w:type="dxa" w:w="9360"/>
        <w:tblBorders>
          <w:top w:val="single" w:color="EAF1FB" w:sz="2"/>
          <w:left w:val="single" w:color="2E5496" w:sz="24"/>
          <w:bottom w:val="single" w:color="EAF1FB" w:sz="2"/>
          <w:right w:val="single" w:color="EAF1FB" w:sz="2"/>
          <w:insideH w:val="single" w:color="auto" w:sz="4"/>
          <w:insideV w:val="single" w:color="auto" w:sz="4"/>
        </w:tblBorders>
      </w:tblPr>
      <w:tblGrid>
        <w:gridCol w:w="9360"/>
      </w:tblGrid>
      <w:tr>
        <w:tc>
          <w:tcPr>
            <w:tcW w:type="dxa" w:w="9360"/>
            <w:shd w:fill="EAF1FB" w:val="clear"/>
            <w:tcMar>
              <w:top w:type="dxa" w:w="120"/>
              <w:left w:type="dxa" w:w="200"/>
              <w:bottom w:type="dxa" w:w="120"/>
              <w:right w:type="dxa" w:w="160"/>
            </w:tcMar>
          </w:tcPr>
          <w:p>
            <w:pPr>
              <w:spacing w:after="60"/>
            </w:pPr>
            <w:r>
              <w:rPr>
                <w:b/>
                <w:bCs/>
                <w:color w:val="2E5496"/>
                <w:sz w:val="21"/>
                <w:szCs w:val="21"/>
              </w:rPr>
              <w:t xml:space="preserve">Teaching goal</w:t>
            </w:r>
          </w:p>
          <w:p>
            <w:r>
              <w:rPr>
                <w:sz w:val="21"/>
                <w:szCs w:val="21"/>
              </w:rPr>
              <w:t xml:space="preserve">Students should leave able to (1) distinguish a functional area from a business function, (2) explain why a business process cuts across functional areas, and (3) sketch a simple cross-functional process and information flow for the West End Bicycles scenario.</w:t>
            </w:r>
          </w:p>
        </w:tc>
      </w:tr>
    </w:tbl>
    <w:p>
      <w:pPr>
        <w:pStyle w:val="Heading3"/>
      </w:pPr>
      <w:r>
        <w:t xml:space="preserve">What students must produce</w:t>
      </w:r>
    </w:p>
    <w:p>
      <w:pPr>
        <w:pStyle w:val="ListParagraph"/>
        <w:numPr>
          <w:ilvl w:val="0"/>
          <w:numId w:val="2"/>
        </w:numPr>
        <w:spacing w:after="60" w:line="270"/>
      </w:pPr>
      <w:r>
        <w:t xml:space="preserve">A table giving at least three business functions for each functional area of West End Bicycles (Table 1 format).</w:t>
      </w:r>
    </w:p>
    <w:p>
      <w:pPr>
        <w:pStyle w:val="ListParagraph"/>
        <w:numPr>
          <w:ilvl w:val="0"/>
          <w:numId w:val="2"/>
        </w:numPr>
        <w:spacing w:after="60" w:line="270"/>
      </w:pPr>
      <w:r>
        <w:t xml:space="preserve">A reasoned choice of how the Sales Manager should staff the Sales Team (Sales &amp; Marketing only, or Sales &amp; Marketing + Finance).</w:t>
      </w:r>
    </w:p>
    <w:p>
      <w:pPr>
        <w:pStyle w:val="ListParagraph"/>
        <w:numPr>
          <w:ilvl w:val="0"/>
          <w:numId w:val="2"/>
        </w:numPr>
        <w:spacing w:after="60" w:line="270"/>
      </w:pPr>
      <w:r>
        <w:t xml:space="preserve">A description of the information flows between Marketing &amp; Sales and Accounting &amp; Finance.</w:t>
      </w:r>
    </w:p>
    <w:p>
      <w:pPr>
        <w:pStyle w:val="ListParagraph"/>
        <w:numPr>
          <w:ilvl w:val="0"/>
          <w:numId w:val="2"/>
        </w:numPr>
        <w:spacing w:after="60" w:line="270"/>
      </w:pPr>
      <w:r>
        <w:t xml:space="preserve">A drawn business process for ordering 1,000 bicycles.</w:t>
      </w:r>
    </w:p>
    <w:p>
      <w:pPr>
        <w:pStyle w:val="Heading2"/>
      </w:pPr>
      <w:r>
        <w:t xml:space="preserve">Where the book helps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4300"/>
        <w:gridCol w:w="1800"/>
      </w:tblGrid>
      <w:tr>
        <w:trPr>
          <w:tblHeader/>
        </w:trPr>
        <w:tc>
          <w:tcPr>
            <w:tcW w:type="dxa" w:w="3260"/>
            <w:shd w:fill="7B3F00" w:val="clear"/>
            <w:tcMar>
              <w:top w:type="dxa" w:w="80"/>
              <w:left w:type="dxa" w:w="120"/>
              <w:bottom w:type="dxa" w:w="80"/>
              <w:right w:type="dxa" w:w="120"/>
            </w:tcMar>
            <w:vAlign w:val="center"/>
          </w:tcPr>
          <w:p>
            <w:r>
              <w:rPr>
                <w:b/>
                <w:bCs/>
                <w:color w:val="FFFFFF"/>
                <w:sz w:val="19"/>
                <w:szCs w:val="19"/>
              </w:rPr>
              <w:t xml:space="preserve">What the tutorial asks</w:t>
            </w:r>
          </w:p>
        </w:tc>
        <w:tc>
          <w:tcPr>
            <w:tcW w:type="dxa" w:w="4300"/>
            <w:shd w:fill="7B3F00" w:val="clear"/>
            <w:tcMar>
              <w:top w:type="dxa" w:w="80"/>
              <w:left w:type="dxa" w:w="120"/>
              <w:bottom w:type="dxa" w:w="80"/>
              <w:right w:type="dxa" w:w="120"/>
            </w:tcMar>
            <w:vAlign w:val="center"/>
          </w:tcPr>
          <w:p>
            <w:r>
              <w:rPr>
                <w:b/>
                <w:bCs/>
                <w:color w:val="FFFFFF"/>
                <w:sz w:val="19"/>
                <w:szCs w:val="19"/>
              </w:rPr>
              <w:t xml:space="preserve">Where to find it in the book</w:t>
            </w:r>
          </w:p>
        </w:tc>
        <w:tc>
          <w:tcPr>
            <w:tcW w:type="dxa" w:w="1800"/>
            <w:shd w:fill="7B3F00" w:val="clear"/>
            <w:tcMar>
              <w:top w:type="dxa" w:w="80"/>
              <w:left w:type="dxa" w:w="120"/>
              <w:bottom w:type="dxa" w:w="80"/>
              <w:right w:type="dxa" w:w="120"/>
            </w:tcMar>
            <w:vAlign w:val="center"/>
          </w:tcPr>
          <w:p>
            <w:r>
              <w:rPr>
                <w:b/>
                <w:bCs/>
                <w:color w:val="FFFFFF"/>
                <w:sz w:val="19"/>
                <w:szCs w:val="19"/>
              </w:rPr>
              <w:t xml:space="preserve">Page / figure</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Defining functional areas and business functions</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Ch. 1 → Functional Areas and Business Processes → Functional Areas of Operation; Business Processes</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pp. 2–6</w:t>
            </w:r>
          </w:p>
        </w:tc>
      </w:tr>
      <w:tr>
        <w:tc>
          <w:tcPr>
            <w:tcW w:type="dxa" w:w="3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Three business functions per area (the table task)</w:t>
            </w:r>
          </w:p>
        </w:tc>
        <w:tc>
          <w:tcPr>
            <w:tcW w:type="dxa" w:w="43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Ch. 1 → Functional Areas of a Very Small Business (Marketing &amp; Sales, SCM, Accounting &amp; Finance, HR)</w:t>
            </w:r>
          </w:p>
        </w:tc>
        <w:tc>
          <w:tcPr>
            <w:tcW w:type="dxa" w:w="18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pp. 6–8</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Why a process crosses functions / why teams are built around processes</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Ch. 1 → Business Processes; Chapter Summary bullet on process thinking</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pp. 3–6, 15</w:t>
            </w:r>
          </w:p>
        </w:tc>
      </w:tr>
      <w:tr>
        <w:tc>
          <w:tcPr>
            <w:tcW w:type="dxa" w:w="3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Information flows between M/S and A/F</w:t>
            </w:r>
          </w:p>
        </w:tc>
        <w:tc>
          <w:tcPr>
            <w:tcW w:type="dxa" w:w="43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Ch. 1 → Functional Area Information Systems (Marketing &amp; Sales; Accounting &amp; Finance)</w:t>
            </w:r>
          </w:p>
        </w:tc>
        <w:tc>
          <w:tcPr>
            <w:tcW w:type="dxa" w:w="18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pp. 8–12</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The flow diagram the tutorial draws</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Mirror Figure 1-1 (functional-area inputs/outputs) and the integrated-IS data-flow idea</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Fig. 1-1; (cf. Fig. 2-4, p. 27)</w:t>
            </w:r>
          </w:p>
        </w:tc>
      </w:tr>
      <w:tr>
        <w:tc>
          <w:tcPr>
            <w:tcW w:type="dxa" w:w="3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Ordering 1,000 bicycles as a cross-functional process</w:t>
            </w:r>
          </w:p>
        </w:tc>
        <w:tc>
          <w:tcPr>
            <w:tcW w:type="dxa" w:w="43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Ch. 1 sample business process discussion; extend with the order-to-cash chain in Ch. 3</w:t>
            </w:r>
          </w:p>
        </w:tc>
        <w:tc>
          <w:tcPr>
            <w:tcW w:type="dxa" w:w="18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pp. 3–6; Ch. 3 pp. 54–55</w:t>
            </w:r>
          </w:p>
        </w:tc>
      </w:tr>
    </w:tbl>
    <w:p>
      <w:pPr>
        <w:pStyle w:val="Heading2"/>
      </w:pPr>
      <w:r>
        <w:t xml:space="preserve">How to teach it with the book</w:t>
      </w:r>
    </w:p>
    <w:p>
      <w:pPr>
        <w:spacing w:after="120" w:line="276"/>
      </w:pPr>
      <w:r>
        <w:rPr>
          <w:b/>
          <w:bCs/>
        </w:rPr>
        <w:t xml:space="preserve">Open with the book’s own definitions. </w:t>
      </w:r>
      <w:r>
        <w:t xml:space="preserve">On pp. 2–3 the book separates a functional area (a category such as Marketing &amp; Sales) from a business function (a single activity inside it) and then defines a business process as a set of activities that takes inputs and produces an output of value — crucially, one that spans several areas. Put those three definitions on the board before students touch the bicycle scenario.</w:t>
      </w:r>
    </w:p>
    <w:p>
      <w:pPr>
        <w:spacing w:after="120" w:line="276"/>
      </w:pPr>
      <w:r>
        <w:rPr>
          <w:b/>
          <w:bCs/>
        </w:rPr>
        <w:t xml:space="preserve">Use the “very small business” pages as a template for the table. </w:t>
      </w:r>
      <w:r>
        <w:t xml:space="preserve">Pages 6–8 list real business functions under each of the four areas. Students can adapt those directly to West End Bicycles. For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1F3864" w:val="clear"/>
            <w:tcMar>
              <w:top w:type="dxa" w:w="80"/>
              <w:left w:type="dxa" w:w="120"/>
              <w:bottom w:type="dxa" w:w="80"/>
              <w:right w:type="dxa" w:w="120"/>
            </w:tcMar>
            <w:vAlign w:val="center"/>
          </w:tcPr>
          <w:p>
            <w:r>
              <w:rPr>
                <w:b/>
                <w:bCs/>
                <w:color w:val="FFFFFF"/>
                <w:sz w:val="19"/>
                <w:szCs w:val="19"/>
              </w:rPr>
              <w:t xml:space="preserve">Functional area</w:t>
            </w:r>
          </w:p>
        </w:tc>
        <w:tc>
          <w:tcPr>
            <w:tcW w:type="dxa" w:w="6860"/>
            <w:shd w:fill="1F3864" w:val="clear"/>
            <w:tcMar>
              <w:top w:type="dxa" w:w="80"/>
              <w:left w:type="dxa" w:w="120"/>
              <w:bottom w:type="dxa" w:w="80"/>
              <w:right w:type="dxa" w:w="120"/>
            </w:tcMar>
            <w:vAlign w:val="center"/>
          </w:tcPr>
          <w:p>
            <w:r>
              <w:rPr>
                <w:b/>
                <w:bCs/>
                <w:color w:val="FFFFFF"/>
                <w:sz w:val="19"/>
                <w:szCs w:val="19"/>
              </w:rPr>
              <w:t xml:space="preserve">Example business functions for West End Bicycles (adapt from pp. 6–8)</w:t>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Marketing &amp; Sales</w:t>
            </w:r>
          </w:p>
        </w:tc>
        <w:tc>
          <w:tcPr>
            <w:tcW w:type="dxa" w:w="68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Set bike prices; advertise road/mountain/city models; take customer orders; provide after-sales support; build sales forecasts.</w:t>
            </w:r>
          </w:p>
        </w:tc>
      </w:tr>
      <w:tr>
        <w:tc>
          <w:tcPr>
            <w:tcW w:type="dxa" w:w="25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Supply Chain Management</w:t>
            </w:r>
          </w:p>
        </w:tc>
        <w:tc>
          <w:tcPr>
            <w:tcW w:type="dxa" w:w="68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Plan production runs; order frames, tyres and components; assemble bikes; maintain the factory; ship finished bikes.</w:t>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Accounting &amp; Finance</w:t>
            </w:r>
          </w:p>
        </w:tc>
        <w:tc>
          <w:tcPr>
            <w:tcW w:type="dxa" w:w="68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Record sales and purchases; produce financial statements; manage credit and customer payments; budget and manage cash flow.</w:t>
            </w:r>
          </w:p>
        </w:tc>
      </w:tr>
      <w:tr>
        <w:tc>
          <w:tcPr>
            <w:tcW w:type="dxa" w:w="25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Human Resources</w:t>
            </w:r>
          </w:p>
        </w:tc>
        <w:tc>
          <w:tcPr>
            <w:tcW w:type="dxa" w:w="68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Recruit and hire assemblers and designers; train staff; run payroll and benefits; ensure labour-law compliance.</w:t>
            </w:r>
          </w:p>
        </w:tc>
      </w:tr>
    </w:tbl>
    <w:p>
      <w:pPr>
        <w:spacing w:after="40"/>
      </w:pPr>
      <w:r>
        <w:t xml:space="preserve"/>
      </w:r>
    </w:p>
    <w:p>
      <w:pPr>
        <w:spacing w:after="120" w:line="276"/>
      </w:pPr>
      <w:r>
        <w:rPr>
          <w:b/>
          <w:bCs/>
        </w:rPr>
        <w:t xml:space="preserve">Answer the Sales-Team question with the process argument. </w:t>
      </w:r>
      <w:r>
        <w:t xml:space="preserve">The book’s whole thesis (p. 15 summary) is that managers now organize around processes, not departments, because an order touches many areas. Guide students to favour the cross-functional team (Sales &amp; Marketing + Finance), since order handling needs credit checking and invoicing — an Accounting &amp; Finance responsibility (pp. 11–12). Accept the single-department answer only if a student justifies it with a clear trade-off (e.g., speed and simplicity), which is itself good process reasoning.</w:t>
      </w:r>
    </w:p>
    <w:p>
      <w:pPr>
        <w:spacing w:after="120" w:line="276"/>
      </w:pPr>
      <w:r>
        <w:rPr>
          <w:b/>
          <w:bCs/>
        </w:rPr>
        <w:t xml:space="preserve">Drive the information-flow answer from pp. 8–12. </w:t>
      </w:r>
      <w:r>
        <w:t xml:space="preserve">Marketing &amp; Sales sends sales-order data, the order itself, and order-status requests to Accounting; Accounting returns invoices, credit-status, and payment confirmation. The arrows shown in the tutorial diagram (sales order data, sales order, sales invoice, order status) come straight from this section — have students label each arrow with the originating function and the data it carries.</w:t>
      </w:r>
    </w:p>
    <w:tbl>
      <w:tblPr>
        <w:tblW w:type="dxa" w:w="9360"/>
        <w:tblBorders>
          <w:top w:val="single" w:color="FFF2CC" w:sz="2"/>
          <w:left w:val="single" w:color="BF8F00" w:sz="24"/>
          <w:bottom w:val="single" w:color="FFF2CC" w:sz="2"/>
          <w:right w:val="single" w:color="FFF2CC" w:sz="2"/>
          <w:insideH w:val="single" w:color="auto" w:sz="4"/>
          <w:insideV w:val="single" w:color="auto" w:sz="4"/>
        </w:tblBorders>
      </w:tblPr>
      <w:tblGrid>
        <w:gridCol w:w="9360"/>
      </w:tblGrid>
      <w:tr>
        <w:tc>
          <w:tcPr>
            <w:tcW w:type="dxa" w:w="9360"/>
            <w:shd w:fill="FFF2CC" w:val="clear"/>
            <w:tcMar>
              <w:top w:type="dxa" w:w="120"/>
              <w:left w:type="dxa" w:w="200"/>
              <w:bottom w:type="dxa" w:w="120"/>
              <w:right w:type="dxa" w:w="160"/>
            </w:tcMar>
          </w:tcPr>
          <w:p>
            <w:pPr>
              <w:spacing w:after="60"/>
            </w:pPr>
            <w:r>
              <w:rPr>
                <w:b/>
                <w:bCs/>
                <w:color w:val="BF8F00"/>
                <w:sz w:val="21"/>
                <w:szCs w:val="21"/>
              </w:rPr>
              <w:t xml:space="preserve">TEACHING INSIGHT</w:t>
            </w:r>
          </w:p>
          <w:p>
            <w:r>
              <w:rPr>
                <w:sz w:val="21"/>
                <w:szCs w:val="21"/>
              </w:rPr>
              <w:t xml:space="preserve">The single most reusable idea in Chapter 1 is the case for integration (pp. 8–14): when each area keeps its own records, the same data gets re-entered and falls out of sync. Tie every part of Tutorial 1 back to this — it is the thread that runs through all eight tutorials.</w:t>
            </w:r>
          </w:p>
        </w:tc>
      </w:tr>
    </w:tbl>
    <w:p>
      <w:pPr>
        <w:pStyle w:val="Heading2"/>
      </w:pPr>
      <w:r>
        <w:t xml:space="preserve">Key terms to emphasize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538135" w:val="clear"/>
            <w:tcMar>
              <w:top w:type="dxa" w:w="80"/>
              <w:left w:type="dxa" w:w="120"/>
              <w:bottom w:type="dxa" w:w="80"/>
              <w:right w:type="dxa" w:w="120"/>
            </w:tcMar>
            <w:vAlign w:val="center"/>
          </w:tcPr>
          <w:p>
            <w:r>
              <w:rPr>
                <w:b/>
                <w:bCs/>
                <w:color w:val="FFFFFF"/>
                <w:sz w:val="19"/>
                <w:szCs w:val="19"/>
              </w:rPr>
              <w:t xml:space="preserve">Term</w:t>
            </w:r>
          </w:p>
        </w:tc>
        <w:tc>
          <w:tcPr>
            <w:tcW w:type="dxa" w:w="6460"/>
            <w:shd w:fill="538135" w:val="clear"/>
            <w:tcMar>
              <w:top w:type="dxa" w:w="80"/>
              <w:left w:type="dxa" w:w="120"/>
              <w:bottom w:type="dxa" w:w="80"/>
              <w:right w:type="dxa" w:w="120"/>
            </w:tcMar>
            <w:vAlign w:val="center"/>
          </w:tcPr>
          <w:p>
            <w:r>
              <w:rPr>
                <w:b/>
                <w:bCs/>
                <w:color w:val="FFFFFF"/>
                <w:sz w:val="19"/>
                <w:szCs w:val="19"/>
              </w:rPr>
              <w:t xml:space="preserve">What to tell students it means</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Functional area of operation</w:t>
            </w:r>
          </w:p>
        </w:tc>
        <w:tc>
          <w:tcPr>
            <w:tcW w:type="dxa" w:w="6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A category of business activity (Marketing &amp; Sales, SCM, Accounting &amp; Finance, HR).</w:t>
            </w:r>
          </w:p>
        </w:tc>
      </w:tr>
      <w:tr>
        <w:tc>
          <w:tcPr>
            <w:tcW w:type="dxa" w:w="29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Business function</w:t>
            </w:r>
          </w:p>
        </w:tc>
        <w:tc>
          <w:tcPr>
            <w:tcW w:type="dxa" w:w="64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A single activity carried out within one functional area.</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Business process</w:t>
            </w:r>
          </w:p>
        </w:tc>
        <w:tc>
          <w:tcPr>
            <w:tcW w:type="dxa" w:w="6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A set of activities, spanning areas, that produces something of value to the customer.</w:t>
            </w:r>
          </w:p>
        </w:tc>
      </w:tr>
      <w:tr>
        <w:tc>
          <w:tcPr>
            <w:tcW w:type="dxa" w:w="29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Integrated information system</w:t>
            </w:r>
          </w:p>
        </w:tc>
        <w:tc>
          <w:tcPr>
            <w:tcW w:type="dxa" w:w="64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A system that lets areas share one common set of data — the cure for re-keying and inconsistency.</w:t>
            </w:r>
          </w:p>
        </w:tc>
      </w:tr>
    </w:tbl>
    <w:tbl>
      <w:tblPr>
        <w:tblW w:type="dxa" w:w="9360"/>
        <w:tblBorders>
          <w:top w:val="single" w:color="FBE4E4" w:sz="2"/>
          <w:left w:val="single" w:color="C0504D" w:sz="24"/>
          <w:bottom w:val="single" w:color="FBE4E4" w:sz="2"/>
          <w:right w:val="single" w:color="FBE4E4" w:sz="2"/>
          <w:insideH w:val="single" w:color="auto" w:sz="4"/>
          <w:insideV w:val="single" w:color="auto" w:sz="4"/>
        </w:tblBorders>
      </w:tblPr>
      <w:tblGrid>
        <w:gridCol w:w="9360"/>
      </w:tblGrid>
      <w:tr>
        <w:tc>
          <w:tcPr>
            <w:tcW w:type="dxa" w:w="9360"/>
            <w:shd w:fill="FBE4E4" w:val="clear"/>
            <w:tcMar>
              <w:top w:type="dxa" w:w="120"/>
              <w:left w:type="dxa" w:w="200"/>
              <w:bottom w:type="dxa" w:w="120"/>
              <w:right w:type="dxa" w:w="160"/>
            </w:tcMar>
          </w:tcPr>
          <w:p>
            <w:pPr>
              <w:spacing w:after="60"/>
            </w:pPr>
            <w:r>
              <w:rPr>
                <w:b/>
                <w:bCs/>
                <w:color w:val="C0504D"/>
                <w:sz w:val="21"/>
                <w:szCs w:val="21"/>
              </w:rPr>
              <w:t xml:space="preserve">TIPS &amp; COMMON PITFALLS</w:t>
            </w:r>
          </w:p>
          <w:p>
            <w:pPr>
              <w:pStyle w:val="ListParagraph"/>
              <w:numPr>
                <w:ilvl w:val="0"/>
                <w:numId w:val="2"/>
              </w:numPr>
              <w:spacing w:after="60" w:line="270"/>
            </w:pPr>
            <w:r>
              <w:t xml:space="preserve">Students confuse “function” with “area.” Insist that a function is one activity; an area is a bucket of functions.</w:t>
            </w:r>
          </w:p>
          <w:p>
            <w:pPr>
              <w:pStyle w:val="ListParagraph"/>
              <w:numPr>
                <w:ilvl w:val="0"/>
                <w:numId w:val="2"/>
              </w:numPr>
              <w:spacing w:after="60" w:line="270"/>
            </w:pPr>
            <w:r>
              <w:t xml:space="preserve">They list departments instead of information when describing the M/S–A/F flow. Ask: “what data crosses the arrow?” not “who talks to whom?”</w:t>
            </w:r>
          </w:p>
          <w:p>
            <w:pPr>
              <w:pStyle w:val="ListParagraph"/>
              <w:numPr>
                <w:ilvl w:val="0"/>
                <w:numId w:val="2"/>
              </w:numPr>
              <w:spacing w:after="60" w:line="270"/>
            </w:pPr>
            <w:r>
              <w:t xml:space="preserve">The 1,000-bicycle process is drawn as a single box. Push them to show hand-offs across areas (order → credit check → production → shipping → invoice → payment).</w:t>
            </w:r>
          </w:p>
        </w:tc>
      </w:tr>
    </w:tbl>
    <w:p>
      <w:r>
        <w:br w:type="page"/>
      </w:r>
    </w:p>
    <w:p>
      <w:pPr>
        <w:pStyle w:val="Heading1"/>
      </w:pPr>
      <w:r>
        <w:t xml:space="preserve">Tutorial 2 — ERP System Development: Benefits &amp; Challenges</w:t>
      </w:r>
    </w:p>
    <w:tbl>
      <w:tblPr>
        <w:tblW w:type="dxa" w:w="9360"/>
        <w:tblBorders>
          <w:top w:val="single" w:color="EAF1FB" w:sz="2"/>
          <w:left w:val="single" w:color="2E5496" w:sz="24"/>
          <w:bottom w:val="single" w:color="EAF1FB" w:sz="2"/>
          <w:right w:val="single" w:color="EAF1FB" w:sz="2"/>
          <w:insideH w:val="single" w:color="auto" w:sz="4"/>
          <w:insideV w:val="single" w:color="auto" w:sz="4"/>
        </w:tblBorders>
      </w:tblPr>
      <w:tblGrid>
        <w:gridCol w:w="9360"/>
      </w:tblGrid>
      <w:tr>
        <w:tc>
          <w:tcPr>
            <w:tcW w:type="dxa" w:w="9360"/>
            <w:shd w:fill="EAF1FB" w:val="clear"/>
            <w:tcMar>
              <w:top w:type="dxa" w:w="120"/>
              <w:left w:type="dxa" w:w="200"/>
              <w:bottom w:type="dxa" w:w="120"/>
              <w:right w:type="dxa" w:w="160"/>
            </w:tcMar>
          </w:tcPr>
          <w:p>
            <w:pPr>
              <w:spacing w:after="60"/>
            </w:pPr>
            <w:r>
              <w:rPr>
                <w:b/>
                <w:bCs/>
                <w:color w:val="2E5496"/>
                <w:sz w:val="21"/>
                <w:szCs w:val="21"/>
              </w:rPr>
              <w:t xml:space="preserve">Teaching goal</w:t>
            </w:r>
          </w:p>
          <w:p>
            <w:r>
              <w:rPr>
                <w:sz w:val="21"/>
                <w:szCs w:val="21"/>
              </w:rPr>
              <w:t xml:space="preserve">Students should be able to explain, with a supporting source, ONE concrete benefit and ONE concrete challenge of ERP implementation, and teach it to peers (a jigsaw / think-pair-share structure).</w:t>
            </w:r>
          </w:p>
        </w:tc>
      </w:tr>
    </w:tbl>
    <w:p>
      <w:pPr>
        <w:pStyle w:val="Heading3"/>
      </w:pPr>
      <w:r>
        <w:t xml:space="preserve">What students must produce</w:t>
      </w:r>
    </w:p>
    <w:p>
      <w:pPr>
        <w:pStyle w:val="ListParagraph"/>
        <w:numPr>
          <w:ilvl w:val="0"/>
          <w:numId w:val="2"/>
        </w:numPr>
        <w:spacing w:after="60" w:line="270"/>
      </w:pPr>
      <w:r>
        <w:t xml:space="preserve">Team Benefit: one ERP benefit, how ERP delivers it, plus an external source (article/video, not a forum).</w:t>
      </w:r>
    </w:p>
    <w:p>
      <w:pPr>
        <w:pStyle w:val="ListParagraph"/>
        <w:numPr>
          <w:ilvl w:val="0"/>
          <w:numId w:val="2"/>
        </w:numPr>
        <w:spacing w:after="60" w:line="270"/>
      </w:pPr>
      <w:r>
        <w:t xml:space="preserve">Team Challenge: one ERP challenge, why it is a challenge, plus an external source.</w:t>
      </w:r>
    </w:p>
    <w:p>
      <w:pPr>
        <w:pStyle w:val="ListParagraph"/>
        <w:numPr>
          <w:ilvl w:val="0"/>
          <w:numId w:val="2"/>
        </w:numPr>
        <w:spacing w:after="60" w:line="270"/>
      </w:pPr>
      <w:r>
        <w:t xml:space="preserve">A short reflective paragraph (≥5 lines) on what they learned from the other sub-team.</w:t>
      </w:r>
    </w:p>
    <w:p>
      <w:pPr>
        <w:pStyle w:val="Heading2"/>
      </w:pPr>
      <w:r>
        <w:t xml:space="preserve">Where the book helps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4300"/>
        <w:gridCol w:w="1800"/>
      </w:tblGrid>
      <w:tr>
        <w:trPr>
          <w:tblHeader/>
        </w:trPr>
        <w:tc>
          <w:tcPr>
            <w:tcW w:type="dxa" w:w="3260"/>
            <w:shd w:fill="7B3F00" w:val="clear"/>
            <w:tcMar>
              <w:top w:type="dxa" w:w="80"/>
              <w:left w:type="dxa" w:w="120"/>
              <w:bottom w:type="dxa" w:w="80"/>
              <w:right w:type="dxa" w:w="120"/>
            </w:tcMar>
            <w:vAlign w:val="center"/>
          </w:tcPr>
          <w:p>
            <w:r>
              <w:rPr>
                <w:b/>
                <w:bCs/>
                <w:color w:val="FFFFFF"/>
                <w:sz w:val="19"/>
                <w:szCs w:val="19"/>
              </w:rPr>
              <w:t xml:space="preserve">What the tutorial asks</w:t>
            </w:r>
          </w:p>
        </w:tc>
        <w:tc>
          <w:tcPr>
            <w:tcW w:type="dxa" w:w="4300"/>
            <w:shd w:fill="7B3F00" w:val="clear"/>
            <w:tcMar>
              <w:top w:type="dxa" w:w="80"/>
              <w:left w:type="dxa" w:w="120"/>
              <w:bottom w:type="dxa" w:w="80"/>
              <w:right w:type="dxa" w:w="120"/>
            </w:tcMar>
            <w:vAlign w:val="center"/>
          </w:tcPr>
          <w:p>
            <w:r>
              <w:rPr>
                <w:b/>
                <w:bCs/>
                <w:color w:val="FFFFFF"/>
                <w:sz w:val="19"/>
                <w:szCs w:val="19"/>
              </w:rPr>
              <w:t xml:space="preserve">Where to find it in the book</w:t>
            </w:r>
          </w:p>
        </w:tc>
        <w:tc>
          <w:tcPr>
            <w:tcW w:type="dxa" w:w="1800"/>
            <w:shd w:fill="7B3F00" w:val="clear"/>
            <w:tcMar>
              <w:top w:type="dxa" w:w="80"/>
              <w:left w:type="dxa" w:w="120"/>
              <w:bottom w:type="dxa" w:w="80"/>
              <w:right w:type="dxa" w:w="120"/>
            </w:tcMar>
            <w:vAlign w:val="center"/>
          </w:tcPr>
          <w:p>
            <w:r>
              <w:rPr>
                <w:b/>
                <w:bCs/>
                <w:color w:val="FFFFFF"/>
                <w:sz w:val="19"/>
                <w:szCs w:val="19"/>
              </w:rPr>
              <w:t xml:space="preserve">Page / figure</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A menu of ERP benefits to choose from</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Ch. 2 → The Significance and Benefits of ERP Software and Systems; What Return Can a Company Expect</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pp. 33, 35–36</w:t>
            </w:r>
          </w:p>
        </w:tc>
      </w:tr>
      <w:tr>
        <w:tc>
          <w:tcPr>
            <w:tcW w:type="dxa" w:w="3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A menu of ERP challenges to choose from</w:t>
            </w:r>
          </w:p>
        </w:tc>
        <w:tc>
          <w:tcPr>
            <w:tcW w:type="dxa" w:w="43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Ch. 2 → Questions About ERP, esp. “Why Do Some Companies Have More Success…”</w:t>
            </w:r>
          </w:p>
        </w:tc>
        <w:tc>
          <w:tcPr>
            <w:tcW w:type="dxa" w:w="18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pp. 34–39</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The cost / training challenge (concrete numbers)</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Ch. 2 → How Much Does an ERP System Cost? (Gartner 17% training rule)</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pp. 34, 38</w:t>
            </w:r>
          </w:p>
        </w:tc>
      </w:tr>
      <w:tr>
        <w:tc>
          <w:tcPr>
            <w:tcW w:type="dxa" w:w="3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The flexibility question (rigid vs configurable)</w:t>
            </w:r>
          </w:p>
        </w:tc>
        <w:tc>
          <w:tcPr>
            <w:tcW w:type="dxa" w:w="43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Ch. 2 → Is ERP Software Inflexible? (ABAP, NetWeaver, configuration)</w:t>
            </w:r>
          </w:p>
        </w:tc>
        <w:tc>
          <w:tcPr>
            <w:tcW w:type="dxa" w:w="18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p. 35</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Ready-made real examples for the ‘find a source’ step</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Ch. 2 worked cases: Hershey ‘Big Bang’, Nestlé, W. L. Gore, Kmart, Toro, Home Depot</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pp. 36–39</w:t>
            </w:r>
          </w:p>
        </w:tc>
      </w:tr>
      <w:tr>
        <w:tc>
          <w:tcPr>
            <w:tcW w:type="dxa" w:w="3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The integration benefit (enter once, share everywhere)</w:t>
            </w:r>
          </w:p>
        </w:tc>
        <w:tc>
          <w:tcPr>
            <w:tcW w:type="dxa" w:w="43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Ch. 2 → SAP ERP / data-flow discussion (Figure 2-4)</w:t>
            </w:r>
          </w:p>
        </w:tc>
        <w:tc>
          <w:tcPr>
            <w:tcW w:type="dxa" w:w="18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pp. 26–29, Fig. 2-4</w:t>
            </w:r>
          </w:p>
        </w:tc>
      </w:tr>
    </w:tbl>
    <w:p>
      <w:pPr>
        <w:pStyle w:val="Heading2"/>
      </w:pPr>
      <w:r>
        <w:t xml:space="preserve">How to teach it with the book</w:t>
      </w:r>
    </w:p>
    <w:p>
      <w:pPr>
        <w:spacing w:after="120" w:line="276"/>
      </w:pPr>
      <w:r>
        <w:rPr>
          <w:b/>
          <w:bCs/>
        </w:rPr>
        <w:t xml:space="preserve">Seed each sub-team from the book’s own lists. </w:t>
      </w:r>
      <w:r>
        <w:t xml:space="preserve">Team Benefit can pick from: eliminating redundant data entry and effort, faster production of goods and services, better real-time customer communication, and “improved management vision” — the reason most surveyed firms cited (pp. 35–36). Team Challenge can pick from: high cost and training burden, resistance to change, weak top-management support, no employee ownership, and the danger of computerizing a bad process (pp. 37–38).</w:t>
      </w:r>
    </w:p>
    <w:p>
      <w:pPr>
        <w:spacing w:after="120" w:line="276"/>
      </w:pPr>
      <w:r>
        <w:rPr>
          <w:b/>
          <w:bCs/>
        </w:rPr>
        <w:t xml:space="preserve">Hand students a real example so the ‘find a source’ task starts from solid ground. </w:t>
      </w:r>
      <w:r>
        <w:t xml:space="preserve">The book already narrates several cases they can research further: Hershey’s 1999 “Big Bang” Halloween-season failure (challenge), Nestlé USA’s six-year, ~$210M change-management lesson (challenge that became a benefit), Toro’s $10M/year inventory saving (benefit), and Home Depot’s scalability story (benefit). Point them at these on pp. 36–39 as a launchpad, then have them locate a current article or video to corroborate.</w:t>
      </w:r>
    </w:p>
    <w:p>
      <w:pPr>
        <w:spacing w:after="120" w:line="276"/>
      </w:pPr>
      <w:r>
        <w:rPr>
          <w:b/>
          <w:bCs/>
        </w:rPr>
        <w:t xml:space="preserve">Make the cost figure concrete. </w:t>
      </w:r>
      <w:r>
        <w:t xml:space="preserve">If a team picks “cost/training” as their challenge, the book gives them an evidence anchor: Gartner recommends budgeting about 17% of the project for training, and firms spending under 13% are roughly three times more likely to have problems (p. 38). A specific statistic makes a much stronger paragraph than “ERP is expensive.”</w:t>
      </w:r>
    </w:p>
    <w:tbl>
      <w:tblPr>
        <w:tblW w:type="dxa" w:w="9360"/>
        <w:tblBorders>
          <w:top w:val="single" w:color="E2EFDA" w:sz="2"/>
          <w:left w:val="single" w:color="538135" w:sz="24"/>
          <w:bottom w:val="single" w:color="E2EFDA" w:sz="2"/>
          <w:right w:val="single" w:color="E2EFDA" w:sz="2"/>
          <w:insideH w:val="single" w:color="auto" w:sz="4"/>
          <w:insideV w:val="single" w:color="auto" w:sz="4"/>
        </w:tblBorders>
      </w:tblPr>
      <w:tblGrid>
        <w:gridCol w:w="9360"/>
      </w:tblGrid>
      <w:tr>
        <w:tc>
          <w:tcPr>
            <w:tcW w:type="dxa" w:w="9360"/>
            <w:shd w:fill="E2EFDA" w:val="clear"/>
            <w:tcMar>
              <w:top w:type="dxa" w:w="120"/>
              <w:left w:type="dxa" w:w="200"/>
              <w:bottom w:type="dxa" w:w="120"/>
              <w:right w:type="dxa" w:w="160"/>
            </w:tcMar>
          </w:tcPr>
          <w:p>
            <w:pPr>
              <w:spacing w:after="60"/>
            </w:pPr>
            <w:r>
              <w:rPr>
                <w:b/>
                <w:bCs/>
                <w:color w:val="538135"/>
                <w:sz w:val="21"/>
                <w:szCs w:val="21"/>
              </w:rPr>
              <w:t xml:space="preserve">LIFTED STRAIGHT FROM THE TEXTBOOK</w:t>
            </w:r>
          </w:p>
          <w:p>
            <w:r>
              <w:rPr>
                <w:sz w:val="21"/>
                <w:szCs w:val="21"/>
              </w:rPr>
              <w:t xml:space="preserve">The tutorial’s framing echoes Chapter 2 directly — its “Questions About ERP” section (pp. 34–39) is organized as benefits-versus-challenges. You can literally assign those pages as the pre-reading and the activity becomes self-supporting.</w:t>
            </w:r>
          </w:p>
        </w:tc>
      </w:tr>
    </w:tbl>
    <w:tbl>
      <w:tblPr>
        <w:tblW w:type="dxa" w:w="9360"/>
        <w:tblBorders>
          <w:top w:val="single" w:color="FFF2CC" w:sz="2"/>
          <w:left w:val="single" w:color="BF8F00" w:sz="24"/>
          <w:bottom w:val="single" w:color="FFF2CC" w:sz="2"/>
          <w:right w:val="single" w:color="FFF2CC" w:sz="2"/>
          <w:insideH w:val="single" w:color="auto" w:sz="4"/>
          <w:insideV w:val="single" w:color="auto" w:sz="4"/>
        </w:tblBorders>
      </w:tblPr>
      <w:tblGrid>
        <w:gridCol w:w="9360"/>
      </w:tblGrid>
      <w:tr>
        <w:tc>
          <w:tcPr>
            <w:tcW w:type="dxa" w:w="9360"/>
            <w:shd w:fill="FFF2CC" w:val="clear"/>
            <w:tcMar>
              <w:top w:type="dxa" w:w="120"/>
              <w:left w:type="dxa" w:w="200"/>
              <w:bottom w:type="dxa" w:w="120"/>
              <w:right w:type="dxa" w:w="160"/>
            </w:tcMar>
          </w:tcPr>
          <w:p>
            <w:pPr>
              <w:spacing w:after="60"/>
            </w:pPr>
            <w:r>
              <w:rPr>
                <w:b/>
                <w:bCs/>
                <w:color w:val="BF8F00"/>
                <w:sz w:val="21"/>
                <w:szCs w:val="21"/>
              </w:rPr>
              <w:t xml:space="preserve">TEACHING INSIGHT</w:t>
            </w:r>
          </w:p>
          <w:p>
            <w:r>
              <w:rPr>
                <w:sz w:val="21"/>
                <w:szCs w:val="21"/>
              </w:rPr>
              <w:t xml:space="preserve">This is a jigsaw activity, so the real assessment is the explanation, not the choice. Coach students to state the benefit/challenge, give one book-grounded reason, and one piece of outside evidence — then they will teach it well to the other sub-team.</w:t>
            </w:r>
          </w:p>
        </w:tc>
      </w:tr>
    </w:tbl>
    <w:p>
      <w:pPr>
        <w:pStyle w:val="Heading2"/>
      </w:pPr>
      <w:r>
        <w:t xml:space="preserve">Key terms to emphasize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538135" w:val="clear"/>
            <w:tcMar>
              <w:top w:type="dxa" w:w="80"/>
              <w:left w:type="dxa" w:w="120"/>
              <w:bottom w:type="dxa" w:w="80"/>
              <w:right w:type="dxa" w:w="120"/>
            </w:tcMar>
            <w:vAlign w:val="center"/>
          </w:tcPr>
          <w:p>
            <w:r>
              <w:rPr>
                <w:b/>
                <w:bCs/>
                <w:color w:val="FFFFFF"/>
                <w:sz w:val="19"/>
                <w:szCs w:val="19"/>
              </w:rPr>
              <w:t xml:space="preserve">Term</w:t>
            </w:r>
          </w:p>
        </w:tc>
        <w:tc>
          <w:tcPr>
            <w:tcW w:type="dxa" w:w="6460"/>
            <w:shd w:fill="538135" w:val="clear"/>
            <w:tcMar>
              <w:top w:type="dxa" w:w="80"/>
              <w:left w:type="dxa" w:w="120"/>
              <w:bottom w:type="dxa" w:w="80"/>
              <w:right w:type="dxa" w:w="120"/>
            </w:tcMar>
            <w:vAlign w:val="center"/>
          </w:tcPr>
          <w:p>
            <w:r>
              <w:rPr>
                <w:b/>
                <w:bCs/>
                <w:color w:val="FFFFFF"/>
                <w:sz w:val="19"/>
                <w:szCs w:val="19"/>
              </w:rPr>
              <w:t xml:space="preserve">What to tell students it means</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Return on investment (ROI)</w:t>
            </w:r>
          </w:p>
        </w:tc>
        <w:tc>
          <w:tcPr>
            <w:tcW w:type="dxa" w:w="6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Project benefits ÷ project cost; often hard to quantify for ERP because gains are intangible and spread over years.</w:t>
            </w:r>
          </w:p>
        </w:tc>
      </w:tr>
      <w:tr>
        <w:tc>
          <w:tcPr>
            <w:tcW w:type="dxa" w:w="29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Change management</w:t>
            </w:r>
          </w:p>
        </w:tc>
        <w:tc>
          <w:tcPr>
            <w:tcW w:type="dxa" w:w="64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Managing the human side of an ERP rollout; the book’s Nestlé case shows it is the real make-or-break factor.</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Best practices</w:t>
            </w:r>
          </w:p>
        </w:tc>
        <w:tc>
          <w:tcPr>
            <w:tcW w:type="dxa" w:w="6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Efficient process patterns embedded in ERP defaults; a benefit, but only if the firm is willing to adopt them.</w:t>
            </w:r>
          </w:p>
        </w:tc>
      </w:tr>
      <w:tr>
        <w:tc>
          <w:tcPr>
            <w:tcW w:type="dxa" w:w="29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Scalability</w:t>
            </w:r>
          </w:p>
        </w:tc>
        <w:tc>
          <w:tcPr>
            <w:tcW w:type="dxa" w:w="64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Growing capacity by adding servers; the benefit behind the Home Depot example.</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Big Bang implementation</w:t>
            </w:r>
          </w:p>
        </w:tc>
        <w:tc>
          <w:tcPr>
            <w:tcW w:type="dxa" w:w="6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Switching on the whole system at once — high-risk; the Hershey cautionary tale.</w:t>
            </w:r>
          </w:p>
        </w:tc>
      </w:tr>
    </w:tbl>
    <w:tbl>
      <w:tblPr>
        <w:tblW w:type="dxa" w:w="9360"/>
        <w:tblBorders>
          <w:top w:val="single" w:color="FBE4E4" w:sz="2"/>
          <w:left w:val="single" w:color="C0504D" w:sz="24"/>
          <w:bottom w:val="single" w:color="FBE4E4" w:sz="2"/>
          <w:right w:val="single" w:color="FBE4E4" w:sz="2"/>
          <w:insideH w:val="single" w:color="auto" w:sz="4"/>
          <w:insideV w:val="single" w:color="auto" w:sz="4"/>
        </w:tblBorders>
      </w:tblPr>
      <w:tblGrid>
        <w:gridCol w:w="9360"/>
      </w:tblGrid>
      <w:tr>
        <w:tc>
          <w:tcPr>
            <w:tcW w:type="dxa" w:w="9360"/>
            <w:shd w:fill="FBE4E4" w:val="clear"/>
            <w:tcMar>
              <w:top w:type="dxa" w:w="120"/>
              <w:left w:type="dxa" w:w="200"/>
              <w:bottom w:type="dxa" w:w="120"/>
              <w:right w:type="dxa" w:w="160"/>
            </w:tcMar>
          </w:tcPr>
          <w:p>
            <w:pPr>
              <w:spacing w:after="60"/>
            </w:pPr>
            <w:r>
              <w:rPr>
                <w:b/>
                <w:bCs/>
                <w:color w:val="C0504D"/>
                <w:sz w:val="21"/>
                <w:szCs w:val="21"/>
              </w:rPr>
              <w:t xml:space="preserve">TIPS &amp; COMMON PITFALLS</w:t>
            </w:r>
          </w:p>
          <w:p>
            <w:pPr>
              <w:pStyle w:val="ListParagraph"/>
              <w:numPr>
                <w:ilvl w:val="0"/>
                <w:numId w:val="2"/>
              </w:numPr>
              <w:spacing w:after="60" w:line="270"/>
            </w:pPr>
            <w:r>
              <w:t xml:space="preserve">“ERP is good/bad” with no mechanism. Require a because: which book reason explains the benefit or challenge?</w:t>
            </w:r>
          </w:p>
          <w:p>
            <w:pPr>
              <w:pStyle w:val="ListParagraph"/>
              <w:numPr>
                <w:ilvl w:val="0"/>
                <w:numId w:val="2"/>
              </w:numPr>
              <w:spacing w:after="60" w:line="270"/>
            </w:pPr>
            <w:r>
              <w:t xml:space="preserve">Citing a discussion forum as the external source — the tutorial forbids it. Steer them to vendor case studies, news articles, or reputable videos.</w:t>
            </w:r>
          </w:p>
          <w:p>
            <w:pPr>
              <w:pStyle w:val="ListParagraph"/>
              <w:numPr>
                <w:ilvl w:val="0"/>
                <w:numId w:val="2"/>
              </w:numPr>
              <w:spacing w:after="60" w:line="270"/>
            </w:pPr>
            <w:r>
              <w:t xml:space="preserve">Picking a vague benefit like “efficiency.” Push for a specific, book-anchored one (e.g., “data entered once is available to every area in real time”).</w:t>
            </w:r>
          </w:p>
        </w:tc>
      </w:tr>
    </w:tbl>
    <w:p>
      <w:r>
        <w:br w:type="page"/>
      </w:r>
    </w:p>
    <w:p>
      <w:pPr>
        <w:pStyle w:val="Heading1"/>
      </w:pPr>
      <w:r>
        <w:t xml:space="preserve">Tutorial 3 — Production Planning</w:t>
      </w:r>
    </w:p>
    <w:tbl>
      <w:tblPr>
        <w:tblW w:type="dxa" w:w="9360"/>
        <w:tblBorders>
          <w:top w:val="single" w:color="EAF1FB" w:sz="2"/>
          <w:left w:val="single" w:color="2E5496" w:sz="24"/>
          <w:bottom w:val="single" w:color="EAF1FB" w:sz="2"/>
          <w:right w:val="single" w:color="EAF1FB" w:sz="2"/>
          <w:insideH w:val="single" w:color="auto" w:sz="4"/>
          <w:insideV w:val="single" w:color="auto" w:sz="4"/>
        </w:tblBorders>
      </w:tblPr>
      <w:tblGrid>
        <w:gridCol w:w="9360"/>
      </w:tblGrid>
      <w:tr>
        <w:tc>
          <w:tcPr>
            <w:tcW w:type="dxa" w:w="9360"/>
            <w:shd w:fill="EAF1FB" w:val="clear"/>
            <w:tcMar>
              <w:top w:type="dxa" w:w="120"/>
              <w:left w:type="dxa" w:w="200"/>
              <w:bottom w:type="dxa" w:w="120"/>
              <w:right w:type="dxa" w:w="160"/>
            </w:tcMar>
          </w:tcPr>
          <w:p>
            <w:pPr>
              <w:spacing w:after="60"/>
            </w:pPr>
            <w:r>
              <w:rPr>
                <w:b/>
                <w:bCs/>
                <w:color w:val="2E5496"/>
                <w:sz w:val="21"/>
                <w:szCs w:val="21"/>
              </w:rPr>
              <w:t xml:space="preserve">Teaching goal</w:t>
            </w:r>
          </w:p>
          <w:p>
            <w:r>
              <w:rPr>
                <w:sz w:val="21"/>
                <w:szCs w:val="21"/>
              </w:rPr>
              <w:t xml:space="preserve">Students should be able to choose and justify a production approach for their own invented trading business, then build a sales forecast and a sales &amp; operations plan (SOP), keeping utilization in the 90–95% band.</w:t>
            </w:r>
          </w:p>
        </w:tc>
      </w:tr>
    </w:tbl>
    <w:p>
      <w:pPr>
        <w:pStyle w:val="Heading3"/>
      </w:pPr>
      <w:r>
        <w:t xml:space="preserve">What students must produce</w:t>
      </w:r>
    </w:p>
    <w:p>
      <w:pPr>
        <w:pStyle w:val="ListParagraph"/>
        <w:numPr>
          <w:ilvl w:val="0"/>
          <w:numId w:val="2"/>
        </w:numPr>
        <w:spacing w:after="60" w:line="270"/>
      </w:pPr>
      <w:r>
        <w:t xml:space="preserve">One chosen production approach (of three), with awareness of the other two.</w:t>
      </w:r>
    </w:p>
    <w:p>
      <w:pPr>
        <w:pStyle w:val="ListParagraph"/>
        <w:numPr>
          <w:ilvl w:val="0"/>
          <w:numId w:val="2"/>
        </w:numPr>
        <w:spacing w:after="60" w:line="270"/>
      </w:pPr>
      <w:r>
        <w:t xml:space="preserve">A completed sales-forecast table (growth + promotions).</w:t>
      </w:r>
    </w:p>
    <w:p>
      <w:pPr>
        <w:pStyle w:val="ListParagraph"/>
        <w:numPr>
          <w:ilvl w:val="0"/>
          <w:numId w:val="2"/>
        </w:numPr>
        <w:spacing w:after="60" w:line="270"/>
      </w:pPr>
      <w:r>
        <w:t xml:space="preserve">A completed SOP table (capacity, utilization, two product types split by percentage).</w:t>
      </w:r>
    </w:p>
    <w:p>
      <w:pPr>
        <w:pStyle w:val="ListParagraph"/>
        <w:numPr>
          <w:ilvl w:val="0"/>
          <w:numId w:val="2"/>
        </w:numPr>
        <w:spacing w:after="60" w:line="270"/>
      </w:pPr>
      <w:r>
        <w:t xml:space="preserve">Presentation slides covering business description, forecast, and SOP.</w:t>
      </w:r>
    </w:p>
    <w:p>
      <w:pPr>
        <w:pStyle w:val="Heading2"/>
      </w:pPr>
      <w:r>
        <w:t xml:space="preserve">Where the book helps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4300"/>
        <w:gridCol w:w="1800"/>
      </w:tblGrid>
      <w:tr>
        <w:trPr>
          <w:tblHeader/>
        </w:trPr>
        <w:tc>
          <w:tcPr>
            <w:tcW w:type="dxa" w:w="3260"/>
            <w:shd w:fill="7B3F00" w:val="clear"/>
            <w:tcMar>
              <w:top w:type="dxa" w:w="80"/>
              <w:left w:type="dxa" w:w="120"/>
              <w:bottom w:type="dxa" w:w="80"/>
              <w:right w:type="dxa" w:w="120"/>
            </w:tcMar>
            <w:vAlign w:val="center"/>
          </w:tcPr>
          <w:p>
            <w:r>
              <w:rPr>
                <w:b/>
                <w:bCs/>
                <w:color w:val="FFFFFF"/>
                <w:sz w:val="19"/>
                <w:szCs w:val="19"/>
              </w:rPr>
              <w:t xml:space="preserve">What the tutorial asks</w:t>
            </w:r>
          </w:p>
        </w:tc>
        <w:tc>
          <w:tcPr>
            <w:tcW w:type="dxa" w:w="4300"/>
            <w:shd w:fill="7B3F00" w:val="clear"/>
            <w:tcMar>
              <w:top w:type="dxa" w:w="80"/>
              <w:left w:type="dxa" w:w="120"/>
              <w:bottom w:type="dxa" w:w="80"/>
              <w:right w:type="dxa" w:w="120"/>
            </w:tcMar>
            <w:vAlign w:val="center"/>
          </w:tcPr>
          <w:p>
            <w:r>
              <w:rPr>
                <w:b/>
                <w:bCs/>
                <w:color w:val="FFFFFF"/>
                <w:sz w:val="19"/>
                <w:szCs w:val="19"/>
              </w:rPr>
              <w:t xml:space="preserve">Where to find it in the book</w:t>
            </w:r>
          </w:p>
        </w:tc>
        <w:tc>
          <w:tcPr>
            <w:tcW w:type="dxa" w:w="1800"/>
            <w:shd w:fill="7B3F00" w:val="clear"/>
            <w:tcMar>
              <w:top w:type="dxa" w:w="80"/>
              <w:left w:type="dxa" w:w="120"/>
              <w:bottom w:type="dxa" w:w="80"/>
              <w:right w:type="dxa" w:w="120"/>
            </w:tcMar>
            <w:vAlign w:val="center"/>
          </w:tcPr>
          <w:p>
            <w:r>
              <w:rPr>
                <w:b/>
                <w:bCs/>
                <w:color w:val="FFFFFF"/>
                <w:sz w:val="19"/>
                <w:szCs w:val="19"/>
              </w:rPr>
              <w:t xml:space="preserve">Page / figure</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The three production approaches (choose one)</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Ch. 4 → Production Overview — make-to-stock, make-to-order, assemble-to-order</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p. 79</w:t>
            </w:r>
          </w:p>
        </w:tc>
      </w:tr>
      <w:tr>
        <w:tc>
          <w:tcPr>
            <w:tcW w:type="dxa" w:w="3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The overall planning sequence (context)</w:t>
            </w:r>
          </w:p>
        </w:tc>
        <w:tc>
          <w:tcPr>
            <w:tcW w:type="dxa" w:w="43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Ch. 4 → The Production Planning Process; SAP ERP Approach (Figure 4-2)</w:t>
            </w:r>
          </w:p>
        </w:tc>
        <w:tc>
          <w:tcPr>
            <w:tcW w:type="dxa" w:w="18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pp. 82–84, Fig. 4-2</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How to build the sales forecast (the exact table)</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Ch. 4 → Sales Forecasting — Figure 4-3 (Fitter Snacker Jan–June forecast)</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pp. 84–85, Fig. 4-3</w:t>
            </w:r>
          </w:p>
        </w:tc>
      </w:tr>
      <w:tr>
        <w:tc>
          <w:tcPr>
            <w:tcW w:type="dxa" w:w="3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How to build the SOP / capacity / utilization (the exact table)</w:t>
            </w:r>
          </w:p>
        </w:tc>
        <w:tc>
          <w:tcPr>
            <w:tcW w:type="dxa" w:w="43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Ch. 4 → Sales and Operations Planning — Figure 4-5</w:t>
            </w:r>
          </w:p>
        </w:tc>
        <w:tc>
          <w:tcPr>
            <w:tcW w:type="dxa" w:w="18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pp. 85–87, Fig. 4-5</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Why safety stock appears as opening inventory</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Ch. 4 → SOP discussion; Glossary ‘safety stock’</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p. 86; Glossary</w:t>
            </w:r>
          </w:p>
        </w:tc>
      </w:tr>
    </w:tbl>
    <w:p>
      <w:pPr>
        <w:pStyle w:val="Heading2"/>
      </w:pPr>
      <w:r>
        <w:t xml:space="preserve">How to teach it with the book</w:t>
      </w:r>
    </w:p>
    <w:p>
      <w:pPr>
        <w:spacing w:after="120" w:line="276"/>
      </w:pPr>
      <w:r>
        <w:rPr>
          <w:b/>
          <w:bCs/>
        </w:rPr>
        <w:t xml:space="preserve">Teach the three approaches from p. 79 verbatim. </w:t>
      </w:r>
      <w:r>
        <w:t xml:space="preserve">The book’s definitions are clean and example-rich, so students can map their invented business onto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rPr>
          <w:tblHeader/>
        </w:trPr>
        <w:tc>
          <w:tcPr>
            <w:tcW w:type="dxa" w:w="2200"/>
            <w:shd w:fill="1F3864" w:val="clear"/>
            <w:tcMar>
              <w:top w:type="dxa" w:w="80"/>
              <w:left w:type="dxa" w:w="120"/>
              <w:bottom w:type="dxa" w:w="80"/>
              <w:right w:type="dxa" w:w="120"/>
            </w:tcMar>
            <w:vAlign w:val="center"/>
          </w:tcPr>
          <w:p>
            <w:r>
              <w:rPr>
                <w:b/>
                <w:bCs/>
                <w:color w:val="FFFFFF"/>
                <w:sz w:val="19"/>
                <w:szCs w:val="19"/>
              </w:rPr>
              <w:t xml:space="preserve">Approach (p. 79)</w:t>
            </w:r>
          </w:p>
        </w:tc>
        <w:tc>
          <w:tcPr>
            <w:tcW w:type="dxa" w:w="2900"/>
            <w:shd w:fill="1F3864" w:val="clear"/>
            <w:tcMar>
              <w:top w:type="dxa" w:w="80"/>
              <w:left w:type="dxa" w:w="120"/>
              <w:bottom w:type="dxa" w:w="80"/>
              <w:right w:type="dxa" w:w="120"/>
            </w:tcMar>
            <w:vAlign w:val="center"/>
          </w:tcPr>
          <w:p>
            <w:r>
              <w:rPr>
                <w:b/>
                <w:bCs/>
                <w:color w:val="FFFFFF"/>
                <w:sz w:val="19"/>
                <w:szCs w:val="19"/>
              </w:rPr>
              <w:t xml:space="preserve">Made…</w:t>
            </w:r>
          </w:p>
        </w:tc>
        <w:tc>
          <w:tcPr>
            <w:tcW w:type="dxa" w:w="4260"/>
            <w:shd w:fill="1F3864" w:val="clear"/>
            <w:tcMar>
              <w:top w:type="dxa" w:w="80"/>
              <w:left w:type="dxa" w:w="120"/>
              <w:bottom w:type="dxa" w:w="80"/>
              <w:right w:type="dxa" w:w="120"/>
            </w:tcMar>
            <w:vAlign w:val="center"/>
          </w:tcPr>
          <w:p>
            <w:r>
              <w:rPr>
                <w:b/>
                <w:bCs/>
                <w:color w:val="FFFFFF"/>
                <w:sz w:val="19"/>
                <w:szCs w:val="19"/>
              </w:rPr>
              <w:t xml:space="preserve">Book examples → student business</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Make-to-stock</w:t>
            </w:r>
          </w:p>
        </w:tc>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for inventory, ahead of orders</w:t>
            </w:r>
          </w:p>
        </w:tc>
        <w:tc>
          <w:tcPr>
            <w:tcW w:type="dxa" w:w="4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cameras, canned corn, books → a cookie company</w:t>
            </w:r>
          </w:p>
        </w:tc>
      </w:tr>
      <w:tr>
        <w:tc>
          <w:tcPr>
            <w:tcW w:type="dxa" w:w="22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Make-to-order</w:t>
            </w:r>
          </w:p>
        </w:tc>
        <w:tc>
          <w:tcPr>
            <w:tcW w:type="dxa" w:w="29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to fill a specific order</w:t>
            </w:r>
          </w:p>
        </w:tc>
        <w:tc>
          <w:tcPr>
            <w:tcW w:type="dxa" w:w="4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airplanes, large industrial equipment → custom furniture</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Assemble-to-order</w:t>
            </w:r>
          </w:p>
        </w:tc>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assembled per order from stock components</w:t>
            </w:r>
          </w:p>
        </w:tc>
        <w:tc>
          <w:tcPr>
            <w:tcW w:type="dxa" w:w="4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personal computers → personalized mugs/key-chains</w:t>
            </w:r>
          </w:p>
        </w:tc>
      </w:tr>
    </w:tbl>
    <w:p>
      <w:pPr>
        <w:spacing w:after="40"/>
      </w:pPr>
      <w:r>
        <w:t xml:space="preserve"/>
      </w:r>
    </w:p>
    <w:p>
      <w:pPr>
        <w:spacing w:after="120" w:line="276"/>
      </w:pPr>
      <w:r>
        <w:rPr>
          <w:b/>
          <w:bCs/>
        </w:rPr>
        <w:t xml:space="preserve">Walk the forecast formulas straight off Figure 4-3. </w:t>
      </w:r>
      <w:r>
        <w:t xml:space="preserve">The tutorial’s table is the Figure 4-3 layout with different numbers. Put the three formulas on the board:</w:t>
      </w:r>
    </w:p>
    <w:p>
      <w:pPr>
        <w:pStyle w:val="ListParagraph"/>
        <w:numPr>
          <w:ilvl w:val="0"/>
          <w:numId w:val="3"/>
        </w:numPr>
        <w:spacing w:after="60" w:line="270"/>
      </w:pPr>
      <w:r>
        <w:rPr>
          <w:b/>
          <w:bCs/>
        </w:rPr>
        <w:t xml:space="preserve">Previous-year base </w:t>
      </w:r>
      <w:r>
        <w:t xml:space="preserve">= previous-year sales − last year’s promotion (strip out one-off promos first).</w:t>
      </w:r>
    </w:p>
    <w:p>
      <w:pPr>
        <w:pStyle w:val="ListParagraph"/>
        <w:numPr>
          <w:ilvl w:val="0"/>
          <w:numId w:val="3"/>
        </w:numPr>
        <w:spacing w:after="60" w:line="270"/>
      </w:pPr>
      <w:r>
        <w:rPr>
          <w:b/>
          <w:bCs/>
        </w:rPr>
        <w:t xml:space="preserve">Base projection </w:t>
      </w:r>
      <w:r>
        <w:t xml:space="preserve">= previous-year base × (1 + growth rate). With 3% growth, multiply by 1.03.</w:t>
      </w:r>
    </w:p>
    <w:p>
      <w:pPr>
        <w:pStyle w:val="ListParagraph"/>
        <w:numPr>
          <w:ilvl w:val="0"/>
          <w:numId w:val="3"/>
        </w:numPr>
        <w:spacing w:after="60" w:line="270"/>
      </w:pPr>
      <w:r>
        <w:rPr>
          <w:b/>
          <w:bCs/>
        </w:rPr>
        <w:t xml:space="preserve">Sales forecast </w:t>
      </w:r>
      <w:r>
        <w:t xml:space="preserve">= base projection + this year’s planned promotion.</w:t>
      </w:r>
    </w:p>
    <w:p>
      <w:pPr>
        <w:spacing w:after="120" w:line="276"/>
      </w:pPr>
      <w:r>
        <w:rPr>
          <w:sz w:val="21"/>
          <w:szCs w:val="21"/>
        </w:rPr>
        <w:t xml:space="preserve">Worked example for February using the tutorial’s numbers: previous year 2384, last year’s promo 200 → base 2184; ×1.03 ≈ 2249; + this year’s promo 300 → forecast ≈ 2549. The book’s p. 85 note that “base must be ≤ sales” is exactly the tutorial’s parenthetical reminder.</w:t>
      </w:r>
    </w:p>
    <w:p>
      <w:pPr>
        <w:spacing w:after="120" w:line="276"/>
      </w:pPr>
      <w:r>
        <w:rPr>
          <w:b/>
          <w:bCs/>
        </w:rPr>
        <w:t xml:space="preserve">Build the SOP from Figure 4-5’s logic. </w:t>
      </w:r>
      <w:r>
        <w:t xml:space="preserve">Give students the two formulas the book uses:</w:t>
      </w:r>
    </w:p>
    <w:p>
      <w:pPr>
        <w:pStyle w:val="ListParagraph"/>
        <w:numPr>
          <w:ilvl w:val="0"/>
          <w:numId w:val="3"/>
        </w:numPr>
        <w:spacing w:after="60" w:line="270"/>
      </w:pPr>
      <w:r>
        <w:rPr>
          <w:b/>
          <w:bCs/>
        </w:rPr>
        <w:t xml:space="preserve">Capacity </w:t>
      </w:r>
      <w:r>
        <w:t xml:space="preserve">= items produced per day × working days in the month.</w:t>
      </w:r>
    </w:p>
    <w:p>
      <w:pPr>
        <w:pStyle w:val="ListParagraph"/>
        <w:numPr>
          <w:ilvl w:val="0"/>
          <w:numId w:val="3"/>
        </w:numPr>
        <w:spacing w:after="60" w:line="270"/>
      </w:pPr>
      <w:r>
        <w:rPr>
          <w:b/>
          <w:bCs/>
        </w:rPr>
        <w:t xml:space="preserve">Utilization </w:t>
      </w:r>
      <w:r>
        <w:t xml:space="preserve">= (production plan ÷ capacity) × 100. Adjust the production plan by trial and error until utilization sits in the 90–95% target band, exactly as the FS planner does on p. 86.</w:t>
      </w:r>
    </w:p>
    <w:p>
      <w:pPr>
        <w:spacing w:after="120" w:line="276"/>
      </w:pPr>
      <w:r>
        <w:rPr>
          <w:sz w:val="21"/>
          <w:szCs w:val="21"/>
        </w:rPr>
        <w:t xml:space="preserve">Then remind them that ending inventory = opening inventory + production plan − sales forecast, and that opening inventory starts at the safety-stock level (100). The two product lines are simply the production plan split by the chosen percentages (e.g., 70%/30%), mirroring the NRG-A / NRG-B split in Figure 4-5.</w:t>
      </w:r>
    </w:p>
    <w:tbl>
      <w:tblPr>
        <w:tblW w:type="dxa" w:w="9360"/>
        <w:tblBorders>
          <w:top w:val="single" w:color="E2EFDA" w:sz="2"/>
          <w:left w:val="single" w:color="538135" w:sz="24"/>
          <w:bottom w:val="single" w:color="E2EFDA" w:sz="2"/>
          <w:right w:val="single" w:color="E2EFDA" w:sz="2"/>
          <w:insideH w:val="single" w:color="auto" w:sz="4"/>
          <w:insideV w:val="single" w:color="auto" w:sz="4"/>
        </w:tblBorders>
      </w:tblPr>
      <w:tblGrid>
        <w:gridCol w:w="9360"/>
      </w:tblGrid>
      <w:tr>
        <w:tc>
          <w:tcPr>
            <w:tcW w:type="dxa" w:w="9360"/>
            <w:shd w:fill="E2EFDA" w:val="clear"/>
            <w:tcMar>
              <w:top w:type="dxa" w:w="120"/>
              <w:left w:type="dxa" w:w="200"/>
              <w:bottom w:type="dxa" w:w="120"/>
              <w:right w:type="dxa" w:w="160"/>
            </w:tcMar>
          </w:tcPr>
          <w:p>
            <w:pPr>
              <w:spacing w:after="60"/>
            </w:pPr>
            <w:r>
              <w:rPr>
                <w:b/>
                <w:bCs/>
                <w:color w:val="538135"/>
                <w:sz w:val="21"/>
                <w:szCs w:val="21"/>
              </w:rPr>
              <w:t xml:space="preserve">LIFTED STRAIGHT FROM THE TEXTBOOK</w:t>
            </w:r>
          </w:p>
          <w:p>
            <w:r>
              <w:rPr>
                <w:sz w:val="21"/>
                <w:szCs w:val="21"/>
              </w:rPr>
              <w:t xml:space="preserve">Tutorial 3’s forecast and SOP tables are re-skinned copies of Figures 4-3 and 4-5. If you display those two figures side-by-side with the tutorial tables, students see the method instantly — the only thing that changes is the numbers and the product names.</w:t>
            </w:r>
          </w:p>
        </w:tc>
      </w:tr>
    </w:tbl>
    <w:p>
      <w:pPr>
        <w:pStyle w:val="Heading2"/>
      </w:pPr>
      <w:r>
        <w:t xml:space="preserve">Key terms to emphasize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538135" w:val="clear"/>
            <w:tcMar>
              <w:top w:type="dxa" w:w="80"/>
              <w:left w:type="dxa" w:w="120"/>
              <w:bottom w:type="dxa" w:w="80"/>
              <w:right w:type="dxa" w:w="120"/>
            </w:tcMar>
            <w:vAlign w:val="center"/>
          </w:tcPr>
          <w:p>
            <w:r>
              <w:rPr>
                <w:b/>
                <w:bCs/>
                <w:color w:val="FFFFFF"/>
                <w:sz w:val="19"/>
                <w:szCs w:val="19"/>
              </w:rPr>
              <w:t xml:space="preserve">Term</w:t>
            </w:r>
          </w:p>
        </w:tc>
        <w:tc>
          <w:tcPr>
            <w:tcW w:type="dxa" w:w="6460"/>
            <w:shd w:fill="538135" w:val="clear"/>
            <w:tcMar>
              <w:top w:type="dxa" w:w="80"/>
              <w:left w:type="dxa" w:w="120"/>
              <w:bottom w:type="dxa" w:w="80"/>
              <w:right w:type="dxa" w:w="120"/>
            </w:tcMar>
            <w:vAlign w:val="center"/>
          </w:tcPr>
          <w:p>
            <w:r>
              <w:rPr>
                <w:b/>
                <w:bCs/>
                <w:color w:val="FFFFFF"/>
                <w:sz w:val="19"/>
                <w:szCs w:val="19"/>
              </w:rPr>
              <w:t xml:space="preserve">What to tell students it means</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Make-to-stock / -order / assemble-to-order</w:t>
            </w:r>
          </w:p>
        </w:tc>
        <w:tc>
          <w:tcPr>
            <w:tcW w:type="dxa" w:w="6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The three production approaches on p. 79.</w:t>
            </w:r>
          </w:p>
        </w:tc>
      </w:tr>
      <w:tr>
        <w:tc>
          <w:tcPr>
            <w:tcW w:type="dxa" w:w="29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Sales forecast</w:t>
            </w:r>
          </w:p>
        </w:tc>
        <w:tc>
          <w:tcPr>
            <w:tcW w:type="dxa" w:w="64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An estimate of future demand; the input to planning.</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Sales &amp; operations planning (SOP)</w:t>
            </w:r>
          </w:p>
        </w:tc>
        <w:tc>
          <w:tcPr>
            <w:tcW w:type="dxa" w:w="6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Turning the forecast into a production plan that balances demand against capacity.</w:t>
            </w:r>
          </w:p>
        </w:tc>
      </w:tr>
      <w:tr>
        <w:tc>
          <w:tcPr>
            <w:tcW w:type="dxa" w:w="29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Capacity</w:t>
            </w:r>
          </w:p>
        </w:tc>
        <w:tc>
          <w:tcPr>
            <w:tcW w:type="dxa" w:w="64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How much can be produced in the period (rate × working days).</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Utilization</w:t>
            </w:r>
          </w:p>
        </w:tc>
        <w:tc>
          <w:tcPr>
            <w:tcW w:type="dxa" w:w="6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Production plan as a percentage of capacity; the figure to keep in the target band.</w:t>
            </w:r>
          </w:p>
        </w:tc>
      </w:tr>
      <w:tr>
        <w:tc>
          <w:tcPr>
            <w:tcW w:type="dxa" w:w="29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Safety stock</w:t>
            </w:r>
          </w:p>
        </w:tc>
        <w:tc>
          <w:tcPr>
            <w:tcW w:type="dxa" w:w="64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Buffer inventory carried to avoid stockouts; the opening inventory value.</w:t>
            </w:r>
          </w:p>
        </w:tc>
      </w:tr>
    </w:tbl>
    <w:tbl>
      <w:tblPr>
        <w:tblW w:type="dxa" w:w="9360"/>
        <w:tblBorders>
          <w:top w:val="single" w:color="FBE4E4" w:sz="2"/>
          <w:left w:val="single" w:color="C0504D" w:sz="24"/>
          <w:bottom w:val="single" w:color="FBE4E4" w:sz="2"/>
          <w:right w:val="single" w:color="FBE4E4" w:sz="2"/>
          <w:insideH w:val="single" w:color="auto" w:sz="4"/>
          <w:insideV w:val="single" w:color="auto" w:sz="4"/>
        </w:tblBorders>
      </w:tblPr>
      <w:tblGrid>
        <w:gridCol w:w="9360"/>
      </w:tblGrid>
      <w:tr>
        <w:tc>
          <w:tcPr>
            <w:tcW w:type="dxa" w:w="9360"/>
            <w:shd w:fill="FBE4E4" w:val="clear"/>
            <w:tcMar>
              <w:top w:type="dxa" w:w="120"/>
              <w:left w:type="dxa" w:w="200"/>
              <w:bottom w:type="dxa" w:w="120"/>
              <w:right w:type="dxa" w:w="160"/>
            </w:tcMar>
          </w:tcPr>
          <w:p>
            <w:pPr>
              <w:spacing w:after="60"/>
            </w:pPr>
            <w:r>
              <w:rPr>
                <w:b/>
                <w:bCs/>
                <w:color w:val="C0504D"/>
                <w:sz w:val="21"/>
                <w:szCs w:val="21"/>
              </w:rPr>
              <w:t xml:space="preserve">TIPS &amp; COMMON PITFALLS</w:t>
            </w:r>
          </w:p>
          <w:p>
            <w:pPr>
              <w:pStyle w:val="ListParagraph"/>
              <w:numPr>
                <w:ilvl w:val="0"/>
                <w:numId w:val="2"/>
              </w:numPr>
              <w:spacing w:after="60" w:line="270"/>
            </w:pPr>
            <w:r>
              <w:t xml:space="preserve">Forgetting to subtract last year’s promotion before applying growth — it inflates the base. Stress step 1.</w:t>
            </w:r>
          </w:p>
          <w:p>
            <w:pPr>
              <w:pStyle w:val="ListParagraph"/>
              <w:numPr>
                <w:ilvl w:val="0"/>
                <w:numId w:val="2"/>
              </w:numPr>
              <w:spacing w:after="60" w:line="270"/>
            </w:pPr>
            <w:r>
              <w:t xml:space="preserve">Reading utilization as “higher is always better.” 100%+ means demand exceeds capacity; the target is the 90–95% band.</w:t>
            </w:r>
          </w:p>
          <w:p>
            <w:pPr>
              <w:pStyle w:val="ListParagraph"/>
              <w:numPr>
                <w:ilvl w:val="0"/>
                <w:numId w:val="2"/>
              </w:numPr>
              <w:spacing w:after="60" w:line="270"/>
            </w:pPr>
            <w:r>
              <w:t xml:space="preserve">Splitting the forecast (not the production plan) into the two product lines. The percentage split applies to what you produce.</w:t>
            </w:r>
          </w:p>
        </w:tc>
      </w:tr>
    </w:tbl>
    <w:p>
      <w:r>
        <w:br w:type="page"/>
      </w:r>
    </w:p>
    <w:p>
      <w:pPr>
        <w:pStyle w:val="Heading1"/>
      </w:pPr>
      <w:r>
        <w:t xml:space="preserve">Tutorial 4 — Customer Relationship Management</w:t>
      </w:r>
    </w:p>
    <w:tbl>
      <w:tblPr>
        <w:tblW w:type="dxa" w:w="9360"/>
        <w:tblBorders>
          <w:top w:val="single" w:color="EAF1FB" w:sz="2"/>
          <w:left w:val="single" w:color="2E5496" w:sz="24"/>
          <w:bottom w:val="single" w:color="EAF1FB" w:sz="2"/>
          <w:right w:val="single" w:color="EAF1FB" w:sz="2"/>
          <w:insideH w:val="single" w:color="auto" w:sz="4"/>
          <w:insideV w:val="single" w:color="auto" w:sz="4"/>
        </w:tblBorders>
      </w:tblPr>
      <w:tblGrid>
        <w:gridCol w:w="9360"/>
      </w:tblGrid>
      <w:tr>
        <w:tc>
          <w:tcPr>
            <w:tcW w:type="dxa" w:w="9360"/>
            <w:shd w:fill="EAF1FB" w:val="clear"/>
            <w:tcMar>
              <w:top w:type="dxa" w:w="120"/>
              <w:left w:type="dxa" w:w="200"/>
              <w:bottom w:type="dxa" w:w="120"/>
              <w:right w:type="dxa" w:w="160"/>
            </w:tcMar>
          </w:tcPr>
          <w:p>
            <w:pPr>
              <w:spacing w:after="60"/>
            </w:pPr>
            <w:r>
              <w:rPr>
                <w:b/>
                <w:bCs/>
                <w:color w:val="2E5496"/>
                <w:sz w:val="21"/>
                <w:szCs w:val="21"/>
              </w:rPr>
              <w:t xml:space="preserve">Teaching goal</w:t>
            </w:r>
          </w:p>
          <w:p>
            <w:r>
              <w:rPr>
                <w:sz w:val="21"/>
                <w:szCs w:val="21"/>
              </w:rPr>
              <w:t xml:space="preserve">Students should be able to argue the business value of CRM, describe a real CRM system’s features, and support the case with a real implementation case study — packaged as a 10-slide proposal for Luna Electronics.</w:t>
            </w:r>
          </w:p>
        </w:tc>
      </w:tr>
    </w:tbl>
    <w:p>
      <w:pPr>
        <w:pStyle w:val="Heading3"/>
      </w:pPr>
      <w:r>
        <w:t xml:space="preserve">What students must produce</w:t>
      </w:r>
    </w:p>
    <w:p>
      <w:pPr>
        <w:pStyle w:val="ListParagraph"/>
        <w:numPr>
          <w:ilvl w:val="0"/>
          <w:numId w:val="2"/>
        </w:numPr>
        <w:spacing w:after="60" w:line="270"/>
      </w:pPr>
      <w:r>
        <w:t xml:space="preserve">A convincing value argument for CRM tied to Luna’s three tasks (grow the base, retain customers, improve service).</w:t>
      </w:r>
    </w:p>
    <w:p>
      <w:pPr>
        <w:pStyle w:val="ListParagraph"/>
        <w:numPr>
          <w:ilvl w:val="0"/>
          <w:numId w:val="2"/>
        </w:numPr>
        <w:spacing w:after="60" w:line="270"/>
      </w:pPr>
      <w:r>
        <w:t xml:space="preserve">One proposed CRM system, with features mapped to those tasks.</w:t>
      </w:r>
    </w:p>
    <w:p>
      <w:pPr>
        <w:pStyle w:val="ListParagraph"/>
        <w:numPr>
          <w:ilvl w:val="0"/>
          <w:numId w:val="2"/>
        </w:numPr>
        <w:spacing w:after="60" w:line="270"/>
      </w:pPr>
      <w:r>
        <w:t xml:space="preserve">A real-company case study showing CRM impact.</w:t>
      </w:r>
    </w:p>
    <w:p>
      <w:pPr>
        <w:pStyle w:val="ListParagraph"/>
        <w:numPr>
          <w:ilvl w:val="0"/>
          <w:numId w:val="2"/>
        </w:numPr>
        <w:spacing w:after="60" w:line="270"/>
      </w:pPr>
      <w:r>
        <w:t xml:space="preserve">A 10-slide deck following the prescribed slide outline.</w:t>
      </w:r>
    </w:p>
    <w:p>
      <w:pPr>
        <w:pStyle w:val="Heading2"/>
      </w:pPr>
      <w:r>
        <w:t xml:space="preserve">Where the book helps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4300"/>
        <w:gridCol w:w="1800"/>
      </w:tblGrid>
      <w:tr>
        <w:trPr>
          <w:tblHeader/>
        </w:trPr>
        <w:tc>
          <w:tcPr>
            <w:tcW w:type="dxa" w:w="3260"/>
            <w:shd w:fill="7B3F00" w:val="clear"/>
            <w:tcMar>
              <w:top w:type="dxa" w:w="80"/>
              <w:left w:type="dxa" w:w="120"/>
              <w:bottom w:type="dxa" w:w="80"/>
              <w:right w:type="dxa" w:w="120"/>
            </w:tcMar>
            <w:vAlign w:val="center"/>
          </w:tcPr>
          <w:p>
            <w:r>
              <w:rPr>
                <w:b/>
                <w:bCs/>
                <w:color w:val="FFFFFF"/>
                <w:sz w:val="19"/>
                <w:szCs w:val="19"/>
              </w:rPr>
              <w:t xml:space="preserve">What the tutorial asks</w:t>
            </w:r>
          </w:p>
        </w:tc>
        <w:tc>
          <w:tcPr>
            <w:tcW w:type="dxa" w:w="4300"/>
            <w:shd w:fill="7B3F00" w:val="clear"/>
            <w:tcMar>
              <w:top w:type="dxa" w:w="80"/>
              <w:left w:type="dxa" w:w="120"/>
              <w:bottom w:type="dxa" w:w="80"/>
              <w:right w:type="dxa" w:w="120"/>
            </w:tcMar>
            <w:vAlign w:val="center"/>
          </w:tcPr>
          <w:p>
            <w:r>
              <w:rPr>
                <w:b/>
                <w:bCs/>
                <w:color w:val="FFFFFF"/>
                <w:sz w:val="19"/>
                <w:szCs w:val="19"/>
              </w:rPr>
              <w:t xml:space="preserve">Where to find it in the book</w:t>
            </w:r>
          </w:p>
        </w:tc>
        <w:tc>
          <w:tcPr>
            <w:tcW w:type="dxa" w:w="1800"/>
            <w:shd w:fill="7B3F00" w:val="clear"/>
            <w:tcMar>
              <w:top w:type="dxa" w:w="80"/>
              <w:left w:type="dxa" w:w="120"/>
              <w:bottom w:type="dxa" w:w="80"/>
              <w:right w:type="dxa" w:w="120"/>
            </w:tcMar>
            <w:vAlign w:val="center"/>
          </w:tcPr>
          <w:p>
            <w:r>
              <w:rPr>
                <w:b/>
                <w:bCs/>
                <w:color w:val="FFFFFF"/>
                <w:sz w:val="19"/>
                <w:szCs w:val="19"/>
              </w:rPr>
              <w:t xml:space="preserve">Page / figure</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What CRM is and why it adds value</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Ch. 3 → Customer Relationship Management (intro)</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p. 65</w:t>
            </w:r>
          </w:p>
        </w:tc>
      </w:tr>
      <w:tr>
        <w:tc>
          <w:tcPr>
            <w:tcW w:type="dxa" w:w="3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The core CRM activities (→ ‘key features’ slide)</w:t>
            </w:r>
          </w:p>
        </w:tc>
        <w:tc>
          <w:tcPr>
            <w:tcW w:type="dxa" w:w="43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Ch. 3 → Core CRM Activities</w:t>
            </w:r>
          </w:p>
        </w:tc>
        <w:tc>
          <w:tcPr>
            <w:tcW w:type="dxa" w:w="18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p. 66</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A real vendor example of CRM features</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Ch. 3 → SAP’s CRM Software</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pp. 66–71</w:t>
            </w:r>
          </w:p>
        </w:tc>
      </w:tr>
      <w:tr>
        <w:tc>
          <w:tcPr>
            <w:tcW w:type="dxa" w:w="3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The benefits / expected impact (→ ‘expected benefits’ slide)</w:t>
            </w:r>
          </w:p>
        </w:tc>
        <w:tc>
          <w:tcPr>
            <w:tcW w:type="dxa" w:w="43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Ch. 3 → The Benefits of CRM (operational savings vs revenue from better relationships)</w:t>
            </w:r>
          </w:p>
        </w:tc>
        <w:tc>
          <w:tcPr>
            <w:tcW w:type="dxa" w:w="18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pp. 71–72</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In-house vs on-demand deployment</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Ch. 3 → CRM software discussion; Glossary ‘on-demand’</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pp. 65, 72</w:t>
            </w:r>
          </w:p>
        </w:tc>
      </w:tr>
      <w:tr>
        <w:tc>
          <w:tcPr>
            <w:tcW w:type="dxa" w:w="3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How CRM builds on ERP’s common database</w:t>
            </w:r>
          </w:p>
        </w:tc>
        <w:tc>
          <w:tcPr>
            <w:tcW w:type="dxa" w:w="43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Ch. 3 → CRM section opening; Chapter Summary CRM bullet</w:t>
            </w:r>
          </w:p>
        </w:tc>
        <w:tc>
          <w:tcPr>
            <w:tcW w:type="dxa" w:w="18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pp. 65, 73</w:t>
            </w:r>
          </w:p>
        </w:tc>
      </w:tr>
    </w:tbl>
    <w:p>
      <w:pPr>
        <w:pStyle w:val="Heading2"/>
      </w:pPr>
      <w:r>
        <w:t xml:space="preserve">How to teach it with the book</w:t>
      </w:r>
    </w:p>
    <w:p>
      <w:pPr>
        <w:spacing w:after="120" w:line="276"/>
      </w:pPr>
      <w:r>
        <w:rPr>
          <w:b/>
          <w:bCs/>
        </w:rPr>
        <w:t xml:space="preserve">Anchor ‘why CRM is valuable’ in pp. 65 and 71–72. </w:t>
      </w:r>
      <w:r>
        <w:t xml:space="preserve">The book’s key point is that companies rarely buy CRM for direct cost savings — they buy it because better customer relationships are expected to raise revenue. That distinction (operational savings vs revenue uplift) gives students a sophisticated value argument for Luna’s management, well beyond “CRM is good.”</w:t>
      </w:r>
    </w:p>
    <w:p>
      <w:pPr>
        <w:spacing w:after="120" w:line="276"/>
      </w:pPr>
      <w:r>
        <w:rPr>
          <w:b/>
          <w:bCs/>
        </w:rPr>
        <w:t xml:space="preserve">Use ‘Core CRM Activities’ (p. 66) to populate the features slide. </w:t>
      </w:r>
      <w:r>
        <w:t xml:space="preserve">Map each of Luna’s three tasks to a CRM capability from the book: growing the base → one-to-one marketing and campaign management; retaining customers → sales-force automation and a unified customer history; improving service → contact-channel/call-centre support. This is exactly the “don’t just say CRM is good, explain how” instruction the tutorial demands.</w:t>
      </w:r>
    </w:p>
    <w:p>
      <w:pPr>
        <w:spacing w:after="120" w:line="276"/>
      </w:pPr>
      <w:r>
        <w:rPr>
          <w:b/>
          <w:bCs/>
        </w:rPr>
        <w:t xml:space="preserve">Let ‘SAP’s CRM Software’ (pp. 66–71) model the feature description. </w:t>
      </w:r>
      <w:r>
        <w:t xml:space="preserve">Even if a student proposes a different product (Salesforce, HubSpot, Zoho, Dynamics 365), the book’s breakdown of CRM functions gives them the vocabulary and structure to describe their chosen system’s features credibly.</w:t>
      </w:r>
    </w:p>
    <w:p>
      <w:pPr>
        <w:spacing w:after="120" w:line="276"/>
      </w:pPr>
      <w:r>
        <w:rPr>
          <w:b/>
          <w:bCs/>
        </w:rPr>
        <w:t xml:space="preserve">Connect CRM back to the common database. </w:t>
      </w:r>
      <w:r>
        <w:t xml:space="preserve">Remind students (p. 65) that CRM extends ERP’s single shared database around the customer. This links Tutorial 4 to the integration theme and to Tutorial 5’s sales order process — a nice continuity point in lecture.</w:t>
      </w:r>
    </w:p>
    <w:tbl>
      <w:tblPr>
        <w:tblW w:type="dxa" w:w="9360"/>
        <w:tblBorders>
          <w:top w:val="single" w:color="FFF2CC" w:sz="2"/>
          <w:left w:val="single" w:color="BF8F00" w:sz="24"/>
          <w:bottom w:val="single" w:color="FFF2CC" w:sz="2"/>
          <w:right w:val="single" w:color="FFF2CC" w:sz="2"/>
          <w:insideH w:val="single" w:color="auto" w:sz="4"/>
          <w:insideV w:val="single" w:color="auto" w:sz="4"/>
        </w:tblBorders>
      </w:tblPr>
      <w:tblGrid>
        <w:gridCol w:w="9360"/>
      </w:tblGrid>
      <w:tr>
        <w:tc>
          <w:tcPr>
            <w:tcW w:type="dxa" w:w="9360"/>
            <w:shd w:fill="FFF2CC" w:val="clear"/>
            <w:tcMar>
              <w:top w:type="dxa" w:w="120"/>
              <w:left w:type="dxa" w:w="200"/>
              <w:bottom w:type="dxa" w:w="120"/>
              <w:right w:type="dxa" w:w="160"/>
            </w:tcMar>
          </w:tcPr>
          <w:p>
            <w:pPr>
              <w:spacing w:after="60"/>
            </w:pPr>
            <w:r>
              <w:rPr>
                <w:b/>
                <w:bCs/>
                <w:color w:val="BF8F00"/>
                <w:sz w:val="21"/>
                <w:szCs w:val="21"/>
              </w:rPr>
              <w:t xml:space="preserve">TEACHING INSIGHT</w:t>
            </w:r>
          </w:p>
          <w:p>
            <w:r>
              <w:rPr>
                <w:sz w:val="21"/>
                <w:szCs w:val="21"/>
              </w:rPr>
              <w:t xml:space="preserve">The tutorial also points students to an external Google Site and Notion page. Treat the book’s CRM section as the backbone (definitions, activities, benefits) and the external resources as the place to find a current product and a fresh case study. The book keeps the argument rigorous; the web keeps it current.</w:t>
            </w:r>
          </w:p>
        </w:tc>
      </w:tr>
    </w:tbl>
    <w:p>
      <w:pPr>
        <w:pStyle w:val="Heading2"/>
      </w:pPr>
      <w:r>
        <w:t xml:space="preserve">Key terms to emphasize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538135" w:val="clear"/>
            <w:tcMar>
              <w:top w:type="dxa" w:w="80"/>
              <w:left w:type="dxa" w:w="120"/>
              <w:bottom w:type="dxa" w:w="80"/>
              <w:right w:type="dxa" w:w="120"/>
            </w:tcMar>
            <w:vAlign w:val="center"/>
          </w:tcPr>
          <w:p>
            <w:r>
              <w:rPr>
                <w:b/>
                <w:bCs/>
                <w:color w:val="FFFFFF"/>
                <w:sz w:val="19"/>
                <w:szCs w:val="19"/>
              </w:rPr>
              <w:t xml:space="preserve">Term</w:t>
            </w:r>
          </w:p>
        </w:tc>
        <w:tc>
          <w:tcPr>
            <w:tcW w:type="dxa" w:w="6460"/>
            <w:shd w:fill="538135" w:val="clear"/>
            <w:tcMar>
              <w:top w:type="dxa" w:w="80"/>
              <w:left w:type="dxa" w:w="120"/>
              <w:bottom w:type="dxa" w:w="80"/>
              <w:right w:type="dxa" w:w="120"/>
            </w:tcMar>
            <w:vAlign w:val="center"/>
          </w:tcPr>
          <w:p>
            <w:r>
              <w:rPr>
                <w:b/>
                <w:bCs/>
                <w:color w:val="FFFFFF"/>
                <w:sz w:val="19"/>
                <w:szCs w:val="19"/>
              </w:rPr>
              <w:t xml:space="preserve">What to tell students it means</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Customer relationship management (CRM)</w:t>
            </w:r>
          </w:p>
        </w:tc>
        <w:tc>
          <w:tcPr>
            <w:tcW w:type="dxa" w:w="6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Software that extends the common database around customer service to lift relationships and revenue.</w:t>
            </w:r>
          </w:p>
        </w:tc>
      </w:tr>
      <w:tr>
        <w:tc>
          <w:tcPr>
            <w:tcW w:type="dxa" w:w="29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Core CRM activities</w:t>
            </w:r>
          </w:p>
        </w:tc>
        <w:tc>
          <w:tcPr>
            <w:tcW w:type="dxa" w:w="64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One-to-one marketing, sales-force automation, and customer service/support.</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On-demand</w:t>
            </w:r>
          </w:p>
        </w:tc>
        <w:tc>
          <w:tcPr>
            <w:tcW w:type="dxa" w:w="6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CRM hosted by the provider rather than installed in-house.</w:t>
            </w:r>
          </w:p>
        </w:tc>
      </w:tr>
      <w:tr>
        <w:tc>
          <w:tcPr>
            <w:tcW w:type="dxa" w:w="29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Cross-selling / up-selling</w:t>
            </w:r>
          </w:p>
        </w:tc>
        <w:tc>
          <w:tcPr>
            <w:tcW w:type="dxa" w:w="64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Revenue tactics CRM enables through a unified view of the customer.</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Business intelligence</w:t>
            </w:r>
          </w:p>
        </w:tc>
        <w:tc>
          <w:tcPr>
            <w:tcW w:type="dxa" w:w="6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The analytics CRM has grown into, beyond a simple contact list.</w:t>
            </w:r>
          </w:p>
        </w:tc>
      </w:tr>
    </w:tbl>
    <w:tbl>
      <w:tblPr>
        <w:tblW w:type="dxa" w:w="9360"/>
        <w:tblBorders>
          <w:top w:val="single" w:color="FBE4E4" w:sz="2"/>
          <w:left w:val="single" w:color="C0504D" w:sz="24"/>
          <w:bottom w:val="single" w:color="FBE4E4" w:sz="2"/>
          <w:right w:val="single" w:color="FBE4E4" w:sz="2"/>
          <w:insideH w:val="single" w:color="auto" w:sz="4"/>
          <w:insideV w:val="single" w:color="auto" w:sz="4"/>
        </w:tblBorders>
      </w:tblPr>
      <w:tblGrid>
        <w:gridCol w:w="9360"/>
      </w:tblGrid>
      <w:tr>
        <w:tc>
          <w:tcPr>
            <w:tcW w:type="dxa" w:w="9360"/>
            <w:shd w:fill="FBE4E4" w:val="clear"/>
            <w:tcMar>
              <w:top w:type="dxa" w:w="120"/>
              <w:left w:type="dxa" w:w="200"/>
              <w:bottom w:type="dxa" w:w="120"/>
              <w:right w:type="dxa" w:w="160"/>
            </w:tcMar>
          </w:tcPr>
          <w:p>
            <w:pPr>
              <w:spacing w:after="60"/>
            </w:pPr>
            <w:r>
              <w:rPr>
                <w:b/>
                <w:bCs/>
                <w:color w:val="C0504D"/>
                <w:sz w:val="21"/>
                <w:szCs w:val="21"/>
              </w:rPr>
              <w:t xml:space="preserve">TIPS &amp; COMMON PITFALLS</w:t>
            </w:r>
          </w:p>
          <w:p>
            <w:pPr>
              <w:pStyle w:val="ListParagraph"/>
              <w:numPr>
                <w:ilvl w:val="0"/>
                <w:numId w:val="2"/>
              </w:numPr>
              <w:spacing w:after="60" w:line="270"/>
            </w:pPr>
            <w:r>
              <w:t xml:space="preserve">Listing generic CRM features with no link to Luna’s three tasks. Force a one-to-one mapping: task → feature → outcome.</w:t>
            </w:r>
          </w:p>
          <w:p>
            <w:pPr>
              <w:pStyle w:val="ListParagraph"/>
              <w:numPr>
                <w:ilvl w:val="0"/>
                <w:numId w:val="2"/>
              </w:numPr>
              <w:spacing w:after="60" w:line="270"/>
            </w:pPr>
            <w:r>
              <w:t xml:space="preserve">A ‘case study’ that is really a product advert. Require named company + named CRM + measurable impact.</w:t>
            </w:r>
          </w:p>
          <w:p>
            <w:pPr>
              <w:pStyle w:val="ListParagraph"/>
              <w:numPr>
                <w:ilvl w:val="0"/>
                <w:numId w:val="2"/>
              </w:numPr>
              <w:spacing w:after="60" w:line="270"/>
            </w:pPr>
            <w:r>
              <w:t xml:space="preserve">Claiming CRM mainly cuts costs. The book’s point is the opposite — the payoff is revenue from better relationships (p. 71).</w:t>
            </w:r>
          </w:p>
        </w:tc>
      </w:tr>
    </w:tbl>
    <w:p>
      <w:r>
        <w:br w:type="page"/>
      </w:r>
    </w:p>
    <w:p>
      <w:pPr>
        <w:pStyle w:val="Heading1"/>
      </w:pPr>
      <w:r>
        <w:t xml:space="preserve">Tutorial 5 — Sales Order Process</w:t>
      </w:r>
    </w:p>
    <w:tbl>
      <w:tblPr>
        <w:tblW w:type="dxa" w:w="9360"/>
        <w:tblBorders>
          <w:top w:val="single" w:color="EAF1FB" w:sz="2"/>
          <w:left w:val="single" w:color="2E5496" w:sz="24"/>
          <w:bottom w:val="single" w:color="EAF1FB" w:sz="2"/>
          <w:right w:val="single" w:color="EAF1FB" w:sz="2"/>
          <w:insideH w:val="single" w:color="auto" w:sz="4"/>
          <w:insideV w:val="single" w:color="auto" w:sz="4"/>
        </w:tblBorders>
      </w:tblPr>
      <w:tblGrid>
        <w:gridCol w:w="9360"/>
      </w:tblGrid>
      <w:tr>
        <w:tc>
          <w:tcPr>
            <w:tcW w:type="dxa" w:w="9360"/>
            <w:shd w:fill="EAF1FB" w:val="clear"/>
            <w:tcMar>
              <w:top w:type="dxa" w:w="120"/>
              <w:left w:type="dxa" w:w="200"/>
              <w:bottom w:type="dxa" w:w="120"/>
              <w:right w:type="dxa" w:w="160"/>
            </w:tcMar>
          </w:tcPr>
          <w:p>
            <w:pPr>
              <w:spacing w:after="60"/>
            </w:pPr>
            <w:r>
              <w:rPr>
                <w:b/>
                <w:bCs/>
                <w:color w:val="2E5496"/>
                <w:sz w:val="21"/>
                <w:szCs w:val="21"/>
              </w:rPr>
              <w:t xml:space="preserve">Teaching goal</w:t>
            </w:r>
          </w:p>
          <w:p>
            <w:r>
              <w:rPr>
                <w:sz w:val="21"/>
                <w:szCs w:val="21"/>
              </w:rPr>
              <w:t xml:space="preserve">Students should understand the typical sales order process, the problems an unintegrated process creates at Fitter Snacker, and how an ERP system removes them — then answer specific textbook exercises.</w:t>
            </w:r>
          </w:p>
        </w:tc>
      </w:tr>
    </w:tbl>
    <w:p>
      <w:pPr>
        <w:pStyle w:val="Heading3"/>
      </w:pPr>
      <w:r>
        <w:t xml:space="preserve">What students must produce</w:t>
      </w:r>
    </w:p>
    <w:p>
      <w:pPr>
        <w:pStyle w:val="ListParagraph"/>
        <w:numPr>
          <w:ilvl w:val="0"/>
          <w:numId w:val="2"/>
        </w:numPr>
        <w:spacing w:after="60" w:line="270"/>
      </w:pPr>
      <w:r>
        <w:rPr>
          <w:b/>
          <w:bCs/>
        </w:rPr>
        <w:t xml:space="preserve">Part A (individual): </w:t>
      </w:r>
      <w:r>
        <w:t xml:space="preserve">≤5 slides from the textbook, pp. 48–53 — Overview of Fitter Snacker and Problems with FS’s Sales Process.</w:t>
      </w:r>
    </w:p>
    <w:p>
      <w:pPr>
        <w:pStyle w:val="ListParagraph"/>
        <w:numPr>
          <w:ilvl w:val="0"/>
          <w:numId w:val="2"/>
        </w:numPr>
        <w:spacing w:after="60" w:line="270"/>
      </w:pPr>
      <w:r>
        <w:rPr>
          <w:b/>
          <w:bCs/>
        </w:rPr>
        <w:t xml:space="preserve">Part B (pairs/threes): </w:t>
      </w:r>
      <w:r>
        <w:t xml:space="preserve">answer Questions 1, 3 and 5 on textbook p. 74.</w:t>
      </w:r>
    </w:p>
    <w:p>
      <w:pPr>
        <w:pStyle w:val="Heading2"/>
      </w:pPr>
      <w:r>
        <w:t xml:space="preserve">Where the book helps</w:t>
      </w:r>
    </w:p>
    <w:p>
      <w:pPr>
        <w:spacing w:after="120" w:line="276"/>
      </w:pPr>
      <w:r>
        <w:rPr>
          <w:sz w:val="21"/>
          <w:szCs w:val="21"/>
        </w:rPr>
        <w:t xml:space="preserve">This is the most book-dependent tutorial of the eight — it cites exact page numbers. Your job is mainly to make sure students read the right pages and answer the right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4300"/>
        <w:gridCol w:w="1800"/>
      </w:tblGrid>
      <w:tr>
        <w:trPr>
          <w:tblHeader/>
        </w:trPr>
        <w:tc>
          <w:tcPr>
            <w:tcW w:type="dxa" w:w="3260"/>
            <w:shd w:fill="7B3F00" w:val="clear"/>
            <w:tcMar>
              <w:top w:type="dxa" w:w="80"/>
              <w:left w:type="dxa" w:w="120"/>
              <w:bottom w:type="dxa" w:w="80"/>
              <w:right w:type="dxa" w:w="120"/>
            </w:tcMar>
            <w:vAlign w:val="center"/>
          </w:tcPr>
          <w:p>
            <w:r>
              <w:rPr>
                <w:b/>
                <w:bCs/>
                <w:color w:val="FFFFFF"/>
                <w:sz w:val="19"/>
                <w:szCs w:val="19"/>
              </w:rPr>
              <w:t xml:space="preserve">What the tutorial asks</w:t>
            </w:r>
          </w:p>
        </w:tc>
        <w:tc>
          <w:tcPr>
            <w:tcW w:type="dxa" w:w="4300"/>
            <w:shd w:fill="7B3F00" w:val="clear"/>
            <w:tcMar>
              <w:top w:type="dxa" w:w="80"/>
              <w:left w:type="dxa" w:w="120"/>
              <w:bottom w:type="dxa" w:w="80"/>
              <w:right w:type="dxa" w:w="120"/>
            </w:tcMar>
            <w:vAlign w:val="center"/>
          </w:tcPr>
          <w:p>
            <w:r>
              <w:rPr>
                <w:b/>
                <w:bCs/>
                <w:color w:val="FFFFFF"/>
                <w:sz w:val="19"/>
                <w:szCs w:val="19"/>
              </w:rPr>
              <w:t xml:space="preserve">Where to find it in the book</w:t>
            </w:r>
          </w:p>
        </w:tc>
        <w:tc>
          <w:tcPr>
            <w:tcW w:type="dxa" w:w="1800"/>
            <w:shd w:fill="7B3F00" w:val="clear"/>
            <w:tcMar>
              <w:top w:type="dxa" w:w="80"/>
              <w:left w:type="dxa" w:w="120"/>
              <w:bottom w:type="dxa" w:w="80"/>
              <w:right w:type="dxa" w:w="120"/>
            </w:tcMar>
            <w:vAlign w:val="center"/>
          </w:tcPr>
          <w:p>
            <w:r>
              <w:rPr>
                <w:b/>
                <w:bCs/>
                <w:color w:val="FFFFFF"/>
                <w:sz w:val="19"/>
                <w:szCs w:val="19"/>
              </w:rPr>
              <w:t xml:space="preserve">Page / figure</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Part A content: who Fitter Snacker is</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Ch. 3 → Overview of Fitter Snacker</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p. 48</w:t>
            </w:r>
          </w:p>
        </w:tc>
      </w:tr>
      <w:tr>
        <w:tc>
          <w:tcPr>
            <w:tcW w:type="dxa" w:w="3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Part A content: what goes wrong in FS sales</w:t>
            </w:r>
          </w:p>
        </w:tc>
        <w:tc>
          <w:tcPr>
            <w:tcW w:type="dxa" w:w="43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Ch. 3 → Problems with Fitter Snacker’s Sales Process — Sales Quotations &amp; Orders; Order Filling; Accounting &amp; Invoicing; Payment &amp; Returns</w:t>
            </w:r>
          </w:p>
        </w:tc>
        <w:tc>
          <w:tcPr>
            <w:tcW w:type="dxa" w:w="18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pp. 49–53</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Contrast: how ERP fixes it (good for slide 5)</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Ch. 3 → Sales and Distribution in ERP (the six linked steps)</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pp. 54–55</w:t>
            </w:r>
          </w:p>
        </w:tc>
      </w:tr>
      <w:tr>
        <w:tc>
          <w:tcPr>
            <w:tcW w:type="dxa" w:w="3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Part B: the three questions to answer</w:t>
            </w:r>
          </w:p>
        </w:tc>
        <w:tc>
          <w:tcPr>
            <w:tcW w:type="dxa" w:w="43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Ch. 3 → Exercises 1, 3, 5</w:t>
            </w:r>
          </w:p>
        </w:tc>
        <w:tc>
          <w:tcPr>
            <w:tcW w:type="dxa" w:w="18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p. 74</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Reference for a ‘standard order’ walk-through</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Ch. 3 → A Standard Order in SAP ERP</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pp. 56–64</w:t>
            </w:r>
          </w:p>
        </w:tc>
      </w:tr>
    </w:tbl>
    <w:p>
      <w:pPr>
        <w:pStyle w:val="Heading2"/>
      </w:pPr>
      <w:r>
        <w:t xml:space="preserve">How to teach it with the book</w:t>
      </w:r>
    </w:p>
    <w:p>
      <w:pPr>
        <w:spacing w:after="120" w:line="276"/>
      </w:pPr>
      <w:r>
        <w:rPr>
          <w:b/>
          <w:bCs/>
        </w:rPr>
        <w:t xml:space="preserve">Frame Part A as a problem catalogue. </w:t>
      </w:r>
      <w:r>
        <w:t xml:space="preserve">Pages 49–53 organize FS’s troubles into four neat buckets — quotations &amp; orders, order filling, accounting &amp; invoicing, and payment &amp; returns. Tell students to make one slide per bucket (plus a title/overview slide), which lands them naturally at the five-slide limit. The recurring cause in every bucket is the same: information is not shared, so it is re-entered and goes stale.</w:t>
      </w:r>
    </w:p>
    <w:p>
      <w:pPr>
        <w:spacing w:after="120" w:line="276"/>
      </w:pPr>
      <w:r>
        <w:rPr>
          <w:b/>
          <w:bCs/>
        </w:rPr>
        <w:t xml:space="preserve">Give them the contrast for the final slide. </w:t>
      </w:r>
      <w:r>
        <w:t xml:space="preserve">The fix lives on pp. 54–55: in ERP the sale is one linked chain — pre-sales, sales-order processing, inventory sourcing, delivery, billing, payment — with every document connected so status is always visible. A before/after slide (FS problems → ERP chain) makes Part A land.</w:t>
      </w:r>
    </w:p>
    <w:p>
      <w:pPr>
        <w:spacing w:after="120" w:line="276"/>
      </w:pPr>
      <w:r>
        <w:rPr>
          <w:b/>
          <w:bCs/>
        </w:rPr>
        <w:t xml:space="preserve">Pre-brief the Part B exercises. </w:t>
      </w:r>
      <w:r>
        <w:t xml:space="preserve">The three p. 74 questions ask students to (1) describe taking and filling an order under the old FS process versus with ERP, (3) work through inter-divisional sales-order accounting, and (5) reason about consolidating sales divisions. All three are answerable directly from pp. 48–64, so confirm students have read that span before they attempt Part B.</w:t>
      </w:r>
    </w:p>
    <w:tbl>
      <w:tblPr>
        <w:tblW w:type="dxa" w:w="9360"/>
        <w:tblBorders>
          <w:top w:val="single" w:color="E2EFDA" w:sz="2"/>
          <w:left w:val="single" w:color="538135" w:sz="24"/>
          <w:bottom w:val="single" w:color="E2EFDA" w:sz="2"/>
          <w:right w:val="single" w:color="E2EFDA" w:sz="2"/>
          <w:insideH w:val="single" w:color="auto" w:sz="4"/>
          <w:insideV w:val="single" w:color="auto" w:sz="4"/>
        </w:tblBorders>
      </w:tblPr>
      <w:tblGrid>
        <w:gridCol w:w="9360"/>
      </w:tblGrid>
      <w:tr>
        <w:tc>
          <w:tcPr>
            <w:tcW w:type="dxa" w:w="9360"/>
            <w:shd w:fill="E2EFDA" w:val="clear"/>
            <w:tcMar>
              <w:top w:type="dxa" w:w="120"/>
              <w:left w:type="dxa" w:w="200"/>
              <w:bottom w:type="dxa" w:w="120"/>
              <w:right w:type="dxa" w:w="160"/>
            </w:tcMar>
          </w:tcPr>
          <w:p>
            <w:pPr>
              <w:spacing w:after="60"/>
            </w:pPr>
            <w:r>
              <w:rPr>
                <w:b/>
                <w:bCs/>
                <w:color w:val="538135"/>
                <w:sz w:val="21"/>
                <w:szCs w:val="21"/>
              </w:rPr>
              <w:t xml:space="preserve">LIFTED STRAIGHT FROM THE TEXTBOOK</w:t>
            </w:r>
          </w:p>
          <w:p>
            <w:r>
              <w:rPr>
                <w:sz w:val="21"/>
                <w:szCs w:val="21"/>
              </w:rPr>
              <w:t xml:space="preserve">Tutorial 5 is essentially “read these textbook pages and answer these textbook questions.” Your highest-value move is simply to ensure access to the book and to model one slide and one exercise answer so students see the expected depth.</w:t>
            </w:r>
          </w:p>
        </w:tc>
      </w:tr>
    </w:tbl>
    <w:p>
      <w:pPr>
        <w:pStyle w:val="Heading2"/>
      </w:pPr>
      <w:r>
        <w:t xml:space="preserve">Key terms to emphasize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538135" w:val="clear"/>
            <w:tcMar>
              <w:top w:type="dxa" w:w="80"/>
              <w:left w:type="dxa" w:w="120"/>
              <w:bottom w:type="dxa" w:w="80"/>
              <w:right w:type="dxa" w:w="120"/>
            </w:tcMar>
            <w:vAlign w:val="center"/>
          </w:tcPr>
          <w:p>
            <w:r>
              <w:rPr>
                <w:b/>
                <w:bCs/>
                <w:color w:val="FFFFFF"/>
                <w:sz w:val="19"/>
                <w:szCs w:val="19"/>
              </w:rPr>
              <w:t xml:space="preserve">Term</w:t>
            </w:r>
          </w:p>
        </w:tc>
        <w:tc>
          <w:tcPr>
            <w:tcW w:type="dxa" w:w="6460"/>
            <w:shd w:fill="538135" w:val="clear"/>
            <w:tcMar>
              <w:top w:type="dxa" w:w="80"/>
              <w:left w:type="dxa" w:w="120"/>
              <w:bottom w:type="dxa" w:w="80"/>
              <w:right w:type="dxa" w:w="120"/>
            </w:tcMar>
            <w:vAlign w:val="center"/>
          </w:tcPr>
          <w:p>
            <w:r>
              <w:rPr>
                <w:b/>
                <w:bCs/>
                <w:color w:val="FFFFFF"/>
                <w:sz w:val="19"/>
                <w:szCs w:val="19"/>
              </w:rPr>
              <w:t xml:space="preserve">What to tell students it means</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Sales order process</w:t>
            </w:r>
          </w:p>
        </w:tc>
        <w:tc>
          <w:tcPr>
            <w:tcW w:type="dxa" w:w="6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The flow from customer order through to delivery and payment.</w:t>
            </w:r>
          </w:p>
        </w:tc>
      </w:tr>
      <w:tr>
        <w:tc>
          <w:tcPr>
            <w:tcW w:type="dxa" w:w="29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Document flow</w:t>
            </w:r>
          </w:p>
        </w:tc>
        <w:tc>
          <w:tcPr>
            <w:tcW w:type="dxa" w:w="64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The chain of electronically linked documents that lets an order be tracked end to end.</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Sales quotation</w:t>
            </w:r>
          </w:p>
        </w:tc>
        <w:tc>
          <w:tcPr>
            <w:tcW w:type="dxa" w:w="6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A pre-sales offer; in FS the source of re-keyed, error-prone data.</w:t>
            </w:r>
          </w:p>
        </w:tc>
      </w:tr>
      <w:tr>
        <w:tc>
          <w:tcPr>
            <w:tcW w:type="dxa" w:w="29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Inventory sourcing / Available-to-Promise</w:t>
            </w:r>
          </w:p>
        </w:tc>
        <w:tc>
          <w:tcPr>
            <w:tcW w:type="dxa" w:w="64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Checking stock (or triggering production) to confirm a delivery date.</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Master data vs transaction data</w:t>
            </w:r>
          </w:p>
        </w:tc>
        <w:tc>
          <w:tcPr>
            <w:tcW w:type="dxa" w:w="6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Permanent records (customers, materials) vs temporary ones (orders, invoices).</w:t>
            </w:r>
          </w:p>
        </w:tc>
      </w:tr>
    </w:tbl>
    <w:tbl>
      <w:tblPr>
        <w:tblW w:type="dxa" w:w="9360"/>
        <w:tblBorders>
          <w:top w:val="single" w:color="FBE4E4" w:sz="2"/>
          <w:left w:val="single" w:color="C0504D" w:sz="24"/>
          <w:bottom w:val="single" w:color="FBE4E4" w:sz="2"/>
          <w:right w:val="single" w:color="FBE4E4" w:sz="2"/>
          <w:insideH w:val="single" w:color="auto" w:sz="4"/>
          <w:insideV w:val="single" w:color="auto" w:sz="4"/>
        </w:tblBorders>
      </w:tblPr>
      <w:tblGrid>
        <w:gridCol w:w="9360"/>
      </w:tblGrid>
      <w:tr>
        <w:tc>
          <w:tcPr>
            <w:tcW w:type="dxa" w:w="9360"/>
            <w:shd w:fill="FBE4E4" w:val="clear"/>
            <w:tcMar>
              <w:top w:type="dxa" w:w="120"/>
              <w:left w:type="dxa" w:w="200"/>
              <w:bottom w:type="dxa" w:w="120"/>
              <w:right w:type="dxa" w:w="160"/>
            </w:tcMar>
          </w:tcPr>
          <w:p>
            <w:pPr>
              <w:spacing w:after="60"/>
            </w:pPr>
            <w:r>
              <w:rPr>
                <w:b/>
                <w:bCs/>
                <w:color w:val="C0504D"/>
                <w:sz w:val="21"/>
                <w:szCs w:val="21"/>
              </w:rPr>
              <w:t xml:space="preserve">TIPS &amp; COMMON PITFALLS</w:t>
            </w:r>
          </w:p>
          <w:p>
            <w:pPr>
              <w:pStyle w:val="ListParagraph"/>
              <w:numPr>
                <w:ilvl w:val="0"/>
                <w:numId w:val="2"/>
              </w:numPr>
              <w:spacing w:after="60" w:line="270"/>
            </w:pPr>
            <w:r>
              <w:t xml:space="preserve">Part A slides that re-type whole paragraphs from the book. Require summarized bullets and one diagram, not a wall of text.</w:t>
            </w:r>
          </w:p>
          <w:p>
            <w:pPr>
              <w:pStyle w:val="ListParagraph"/>
              <w:numPr>
                <w:ilvl w:val="0"/>
                <w:numId w:val="2"/>
              </w:numPr>
              <w:spacing w:after="60" w:line="270"/>
            </w:pPr>
            <w:r>
              <w:t xml:space="preserve">Answering Part B from memory instead of the cited pages. Each answer should reference the FS specifics on pp. 48–64.</w:t>
            </w:r>
          </w:p>
          <w:p>
            <w:pPr>
              <w:pStyle w:val="ListParagraph"/>
              <w:numPr>
                <w:ilvl w:val="0"/>
                <w:numId w:val="2"/>
              </w:numPr>
              <w:spacing w:after="60" w:line="270"/>
            </w:pPr>
            <w:r>
              <w:t xml:space="preserve">Skipping the ERP contrast, leaving only complaints. The learning is in the before/after, so insist on pp. 54–55.</w:t>
            </w:r>
          </w:p>
        </w:tc>
      </w:tr>
    </w:tbl>
    <w:p>
      <w:r>
        <w:br w:type="page"/>
      </w:r>
    </w:p>
    <w:p>
      <w:pPr>
        <w:pStyle w:val="Heading1"/>
      </w:pPr>
      <w:r>
        <w:t xml:space="preserve">Tutorial 6 — Sales Forecast &amp; Sales and Operations Planning</w:t>
      </w:r>
    </w:p>
    <w:tbl>
      <w:tblPr>
        <w:tblW w:type="dxa" w:w="9360"/>
        <w:tblBorders>
          <w:top w:val="single" w:color="EAF1FB" w:sz="2"/>
          <w:left w:val="single" w:color="2E5496" w:sz="24"/>
          <w:bottom w:val="single" w:color="EAF1FB" w:sz="2"/>
          <w:right w:val="single" w:color="EAF1FB" w:sz="2"/>
          <w:insideH w:val="single" w:color="auto" w:sz="4"/>
          <w:insideV w:val="single" w:color="auto" w:sz="4"/>
        </w:tblBorders>
      </w:tblPr>
      <w:tblGrid>
        <w:gridCol w:w="9360"/>
      </w:tblGrid>
      <w:tr>
        <w:tc>
          <w:tcPr>
            <w:tcW w:type="dxa" w:w="9360"/>
            <w:shd w:fill="EAF1FB" w:val="clear"/>
            <w:tcMar>
              <w:top w:type="dxa" w:w="120"/>
              <w:left w:type="dxa" w:w="200"/>
              <w:bottom w:type="dxa" w:w="120"/>
              <w:right w:type="dxa" w:w="160"/>
            </w:tcMar>
          </w:tcPr>
          <w:p>
            <w:pPr>
              <w:spacing w:after="60"/>
            </w:pPr>
            <w:r>
              <w:rPr>
                <w:b/>
                <w:bCs/>
                <w:color w:val="2E5496"/>
                <w:sz w:val="21"/>
                <w:szCs w:val="21"/>
              </w:rPr>
              <w:t xml:space="preserve">Teaching goal</w:t>
            </w:r>
          </w:p>
          <w:p>
            <w:r>
              <w:rPr>
                <w:sz w:val="21"/>
                <w:szCs w:val="21"/>
              </w:rPr>
              <w:t xml:space="preserve">Students should be able to build a sales forecast and an SOP in Excel for Footloose Sport Shoes — the same method as Tutorial 3, now driven by formulas and a tighter (≤99%) utilization target.</w:t>
            </w:r>
          </w:p>
        </w:tc>
      </w:tr>
    </w:tbl>
    <w:p>
      <w:pPr>
        <w:pStyle w:val="Heading3"/>
      </w:pPr>
      <w:r>
        <w:t xml:space="preserve">What students must produce</w:t>
      </w:r>
    </w:p>
    <w:p>
      <w:pPr>
        <w:pStyle w:val="ListParagraph"/>
        <w:numPr>
          <w:ilvl w:val="0"/>
          <w:numId w:val="2"/>
        </w:numPr>
        <w:spacing w:after="60" w:line="270"/>
      </w:pPr>
      <w:r>
        <w:rPr>
          <w:b/>
          <w:bCs/>
        </w:rPr>
        <w:t xml:space="preserve">Activity 1: </w:t>
      </w:r>
      <w:r>
        <w:t xml:space="preserve">a completed 2023 sales forecast (3% growth; promotions in Jun/Nov/Dec).</w:t>
      </w:r>
    </w:p>
    <w:p>
      <w:pPr>
        <w:pStyle w:val="ListParagraph"/>
        <w:numPr>
          <w:ilvl w:val="0"/>
          <w:numId w:val="2"/>
        </w:numPr>
        <w:spacing w:after="60" w:line="270"/>
      </w:pPr>
      <w:r>
        <w:rPr>
          <w:b/>
          <w:bCs/>
        </w:rPr>
        <w:t xml:space="preserve">Activity 2: </w:t>
      </w:r>
      <w:r>
        <w:t xml:space="preserve">a completed SOP (max 40 shoes/hour × 8 hours × 20 days; safety stock 100; utilization ≤99%).</w:t>
      </w:r>
    </w:p>
    <w:p>
      <w:pPr>
        <w:pStyle w:val="ListParagraph"/>
        <w:numPr>
          <w:ilvl w:val="0"/>
          <w:numId w:val="2"/>
        </w:numPr>
        <w:spacing w:after="60" w:line="270"/>
      </w:pPr>
      <w:r>
        <w:t xml:space="preserve">Screenshots of both tables, ideally with live Excel formulas.</w:t>
      </w:r>
    </w:p>
    <w:p>
      <w:pPr>
        <w:pStyle w:val="Heading2"/>
      </w:pPr>
      <w:r>
        <w:t xml:space="preserve">Where the book helps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4300"/>
        <w:gridCol w:w="1800"/>
      </w:tblGrid>
      <w:tr>
        <w:trPr>
          <w:tblHeader/>
        </w:trPr>
        <w:tc>
          <w:tcPr>
            <w:tcW w:type="dxa" w:w="3260"/>
            <w:shd w:fill="7B3F00" w:val="clear"/>
            <w:tcMar>
              <w:top w:type="dxa" w:w="80"/>
              <w:left w:type="dxa" w:w="120"/>
              <w:bottom w:type="dxa" w:w="80"/>
              <w:right w:type="dxa" w:w="120"/>
            </w:tcMar>
            <w:vAlign w:val="center"/>
          </w:tcPr>
          <w:p>
            <w:r>
              <w:rPr>
                <w:b/>
                <w:bCs/>
                <w:color w:val="FFFFFF"/>
                <w:sz w:val="19"/>
                <w:szCs w:val="19"/>
              </w:rPr>
              <w:t xml:space="preserve">What the tutorial asks</w:t>
            </w:r>
          </w:p>
        </w:tc>
        <w:tc>
          <w:tcPr>
            <w:tcW w:type="dxa" w:w="4300"/>
            <w:shd w:fill="7B3F00" w:val="clear"/>
            <w:tcMar>
              <w:top w:type="dxa" w:w="80"/>
              <w:left w:type="dxa" w:w="120"/>
              <w:bottom w:type="dxa" w:w="80"/>
              <w:right w:type="dxa" w:w="120"/>
            </w:tcMar>
            <w:vAlign w:val="center"/>
          </w:tcPr>
          <w:p>
            <w:r>
              <w:rPr>
                <w:b/>
                <w:bCs/>
                <w:color w:val="FFFFFF"/>
                <w:sz w:val="19"/>
                <w:szCs w:val="19"/>
              </w:rPr>
              <w:t xml:space="preserve">Where to find it in the book</w:t>
            </w:r>
          </w:p>
        </w:tc>
        <w:tc>
          <w:tcPr>
            <w:tcW w:type="dxa" w:w="1800"/>
            <w:shd w:fill="7B3F00" w:val="clear"/>
            <w:tcMar>
              <w:top w:type="dxa" w:w="80"/>
              <w:left w:type="dxa" w:w="120"/>
              <w:bottom w:type="dxa" w:w="80"/>
              <w:right w:type="dxa" w:w="120"/>
            </w:tcMar>
            <w:vAlign w:val="center"/>
          </w:tcPr>
          <w:p>
            <w:r>
              <w:rPr>
                <w:b/>
                <w:bCs/>
                <w:color w:val="FFFFFF"/>
                <w:sz w:val="19"/>
                <w:szCs w:val="19"/>
              </w:rPr>
              <w:t xml:space="preserve">Page / figure</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Forecast method (previous year → base → growth → promo)</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Ch. 4 → Sales Forecasting — Figure 4-3</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pp. 84–85, Fig. 4-3</w:t>
            </w:r>
          </w:p>
        </w:tc>
      </w:tr>
      <w:tr>
        <w:tc>
          <w:tcPr>
            <w:tcW w:type="dxa" w:w="3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SOP method (capacity, utilization, inventory, product split)</w:t>
            </w:r>
          </w:p>
        </w:tc>
        <w:tc>
          <w:tcPr>
            <w:tcW w:type="dxa" w:w="43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Ch. 4 → Sales and Operations Planning — Figure 4-5</w:t>
            </w:r>
          </w:p>
        </w:tc>
        <w:tc>
          <w:tcPr>
            <w:tcW w:type="dxa" w:w="18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pp. 85–87, Fig. 4-5</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Where forecasting and SOP sit in the bigger picture</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Ch. 4 → The Production Planning Process (Figure 4-2)</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pp. 82–84, Fig. 4-2</w:t>
            </w:r>
          </w:p>
        </w:tc>
      </w:tr>
      <w:tr>
        <w:tc>
          <w:tcPr>
            <w:tcW w:type="dxa" w:w="3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Why opening inventory = safety stock</w:t>
            </w:r>
          </w:p>
        </w:tc>
        <w:tc>
          <w:tcPr>
            <w:tcW w:type="dxa" w:w="43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Ch. 4 → SOP narrative; Glossary ‘safety stock’</w:t>
            </w:r>
          </w:p>
        </w:tc>
        <w:tc>
          <w:tcPr>
            <w:tcW w:type="dxa" w:w="18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p. 86; Glossary</w:t>
            </w:r>
          </w:p>
        </w:tc>
      </w:tr>
    </w:tbl>
    <w:p>
      <w:pPr>
        <w:pStyle w:val="Heading2"/>
      </w:pPr>
      <w:r>
        <w:t xml:space="preserve">How to teach it with the book</w:t>
      </w:r>
    </w:p>
    <w:p>
      <w:pPr>
        <w:spacing w:after="120" w:line="276"/>
      </w:pPr>
      <w:r>
        <w:rPr>
          <w:sz w:val="21"/>
          <w:szCs w:val="21"/>
        </w:rPr>
        <w:t xml:space="preserve">The method is identical to Tutorial 3; what changes is that capacity now comes from an hourly rate and that the utilization ceiling is 99% rather than 95%. Teach the formulas once and both tutorials are covered.</w:t>
      </w:r>
    </w:p>
    <w:p>
      <w:pPr>
        <w:pStyle w:val="Heading3"/>
      </w:pPr>
      <w:r>
        <w:t xml:space="preserve">Forecast formulas (from Figure 4-3)</w:t>
      </w:r>
    </w:p>
    <w:p>
      <w:pPr>
        <w:pStyle w:val="ListParagraph"/>
        <w:numPr>
          <w:ilvl w:val="0"/>
          <w:numId w:val="3"/>
        </w:numPr>
        <w:spacing w:after="60" w:line="270"/>
      </w:pPr>
      <w:r>
        <w:t xml:space="preserve">Previous-year base = previous-year pairs − last year’s promotion for that month.</w:t>
      </w:r>
    </w:p>
    <w:p>
      <w:pPr>
        <w:pStyle w:val="ListParagraph"/>
        <w:numPr>
          <w:ilvl w:val="0"/>
          <w:numId w:val="3"/>
        </w:numPr>
        <w:spacing w:after="60" w:line="270"/>
      </w:pPr>
      <w:r>
        <w:t xml:space="preserve">Base projection = previous-year base × 1.03 (the 3% growth).</w:t>
      </w:r>
    </w:p>
    <w:p>
      <w:pPr>
        <w:pStyle w:val="ListParagraph"/>
        <w:numPr>
          <w:ilvl w:val="0"/>
          <w:numId w:val="3"/>
        </w:numPr>
        <w:spacing w:after="60" w:line="270"/>
      </w:pPr>
      <w:r>
        <w:t xml:space="preserve">Sales forecast = base projection + this year’s planned promotion (Nov +500, Dec +400).</w:t>
      </w:r>
    </w:p>
    <w:p>
      <w:pPr>
        <w:spacing w:after="120" w:line="276"/>
      </w:pPr>
      <w:r>
        <w:rPr>
          <w:sz w:val="21"/>
          <w:szCs w:val="21"/>
        </w:rPr>
        <w:t xml:space="preserve">In Excel, make 3% an input cell and reference it, so students can vary the growth assumption — exactly the spreadsheet discipline the tutorial asks for.</w:t>
      </w:r>
    </w:p>
    <w:p>
      <w:pPr>
        <w:pStyle w:val="Heading3"/>
      </w:pPr>
      <w:r>
        <w:t xml:space="preserve">SOP formulas (from Figure 4-5)</w:t>
      </w:r>
    </w:p>
    <w:p>
      <w:pPr>
        <w:pStyle w:val="ListParagraph"/>
        <w:numPr>
          <w:ilvl w:val="0"/>
          <w:numId w:val="3"/>
        </w:numPr>
        <w:spacing w:after="60" w:line="270"/>
      </w:pPr>
      <w:r>
        <w:rPr>
          <w:b/>
          <w:bCs/>
        </w:rPr>
        <w:t xml:space="preserve">Daily output </w:t>
      </w:r>
      <w:r>
        <w:t xml:space="preserve">= 40 shoes/hour × 8 hours = 320 shoes/day.</w:t>
      </w:r>
    </w:p>
    <w:p>
      <w:pPr>
        <w:pStyle w:val="ListParagraph"/>
        <w:numPr>
          <w:ilvl w:val="0"/>
          <w:numId w:val="3"/>
        </w:numPr>
        <w:spacing w:after="60" w:line="270"/>
      </w:pPr>
      <w:r>
        <w:rPr>
          <w:b/>
          <w:bCs/>
        </w:rPr>
        <w:t xml:space="preserve">Capacity (month) </w:t>
      </w:r>
      <w:r>
        <w:t xml:space="preserve">= 320 × working days that month.</w:t>
      </w:r>
    </w:p>
    <w:p>
      <w:pPr>
        <w:pStyle w:val="ListParagraph"/>
        <w:numPr>
          <w:ilvl w:val="0"/>
          <w:numId w:val="3"/>
        </w:numPr>
        <w:spacing w:after="60" w:line="270"/>
      </w:pPr>
      <w:r>
        <w:rPr>
          <w:b/>
          <w:bCs/>
        </w:rPr>
        <w:t xml:space="preserve">Utilization </w:t>
      </w:r>
      <w:r>
        <w:t xml:space="preserve">= (production plan ÷ capacity) × 100; adjust the plan until it is ≤99%.</w:t>
      </w:r>
    </w:p>
    <w:p>
      <w:pPr>
        <w:pStyle w:val="ListParagraph"/>
        <w:numPr>
          <w:ilvl w:val="0"/>
          <w:numId w:val="3"/>
        </w:numPr>
        <w:spacing w:after="60" w:line="270"/>
      </w:pPr>
      <w:r>
        <w:rPr>
          <w:b/>
          <w:bCs/>
        </w:rPr>
        <w:t xml:space="preserve">Ending inventory </w:t>
      </w:r>
      <w:r>
        <w:t xml:space="preserve">= opening inventory + production plan − sales forecast; opening inventory starts at the safety stock of 100, and the planner deliberately builds extra ahead of the June and December festive peaks.</w:t>
      </w:r>
    </w:p>
    <w:tbl>
      <w:tblPr>
        <w:tblW w:type="dxa" w:w="9360"/>
        <w:tblBorders>
          <w:top w:val="single" w:color="FFF2CC" w:sz="2"/>
          <w:left w:val="single" w:color="BF8F00" w:sz="24"/>
          <w:bottom w:val="single" w:color="FFF2CC" w:sz="2"/>
          <w:right w:val="single" w:color="FFF2CC" w:sz="2"/>
          <w:insideH w:val="single" w:color="auto" w:sz="4"/>
          <w:insideV w:val="single" w:color="auto" w:sz="4"/>
        </w:tblBorders>
      </w:tblPr>
      <w:tblGrid>
        <w:gridCol w:w="9360"/>
      </w:tblGrid>
      <w:tr>
        <w:tc>
          <w:tcPr>
            <w:tcW w:type="dxa" w:w="9360"/>
            <w:shd w:fill="FFF2CC" w:val="clear"/>
            <w:tcMar>
              <w:top w:type="dxa" w:w="120"/>
              <w:left w:type="dxa" w:w="200"/>
              <w:bottom w:type="dxa" w:w="120"/>
              <w:right w:type="dxa" w:w="160"/>
            </w:tcMar>
          </w:tcPr>
          <w:p>
            <w:pPr>
              <w:spacing w:after="60"/>
            </w:pPr>
            <w:r>
              <w:rPr>
                <w:b/>
                <w:bCs/>
                <w:color w:val="BF8F00"/>
                <w:sz w:val="21"/>
                <w:szCs w:val="21"/>
              </w:rPr>
              <w:t xml:space="preserve">TEACHING INSIGHT</w:t>
            </w:r>
          </w:p>
          <w:p>
            <w:r>
              <w:rPr>
                <w:sz w:val="21"/>
                <w:szCs w:val="21"/>
              </w:rPr>
              <w:t xml:space="preserve">The festive-peak hint (build inventory before June and December) is the book’s p. 85 point that planners must decide whether to pre-build inventory, add capacity, or subcontract to meet seasonal demand. Use it to explain why a good plan sometimes runs utilization high in the months before a peak.</w:t>
            </w:r>
          </w:p>
        </w:tc>
      </w:tr>
    </w:tbl>
    <w:tbl>
      <w:tblPr>
        <w:tblW w:type="dxa" w:w="9360"/>
        <w:tblBorders>
          <w:top w:val="single" w:color="E2EFDA" w:sz="2"/>
          <w:left w:val="single" w:color="538135" w:sz="24"/>
          <w:bottom w:val="single" w:color="E2EFDA" w:sz="2"/>
          <w:right w:val="single" w:color="E2EFDA" w:sz="2"/>
          <w:insideH w:val="single" w:color="auto" w:sz="4"/>
          <w:insideV w:val="single" w:color="auto" w:sz="4"/>
        </w:tblBorders>
      </w:tblPr>
      <w:tblGrid>
        <w:gridCol w:w="9360"/>
      </w:tblGrid>
      <w:tr>
        <w:tc>
          <w:tcPr>
            <w:tcW w:type="dxa" w:w="9360"/>
            <w:shd w:fill="E2EFDA" w:val="clear"/>
            <w:tcMar>
              <w:top w:type="dxa" w:w="120"/>
              <w:left w:type="dxa" w:w="200"/>
              <w:bottom w:type="dxa" w:w="120"/>
              <w:right w:type="dxa" w:w="160"/>
            </w:tcMar>
          </w:tcPr>
          <w:p>
            <w:pPr>
              <w:spacing w:after="60"/>
            </w:pPr>
            <w:r>
              <w:rPr>
                <w:b/>
                <w:bCs/>
                <w:color w:val="538135"/>
                <w:sz w:val="21"/>
                <w:szCs w:val="21"/>
              </w:rPr>
              <w:t xml:space="preserve">LIFTED STRAIGHT FROM THE TEXTBOOK</w:t>
            </w:r>
          </w:p>
          <w:p>
            <w:r>
              <w:rPr>
                <w:sz w:val="21"/>
                <w:szCs w:val="21"/>
              </w:rPr>
              <w:t xml:space="preserve">Footloose is Fitter Snacker with different numbers. Figures 4-3 and 4-5 are, line for line, the tables students are filling in. Project them next to the Excel sheet and the exercise becomes a guided fill-in.</w:t>
            </w:r>
          </w:p>
        </w:tc>
      </w:tr>
    </w:tbl>
    <w:p>
      <w:pPr>
        <w:pStyle w:val="Heading2"/>
      </w:pPr>
      <w:r>
        <w:t xml:space="preserve">Key terms to emphasize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538135" w:val="clear"/>
            <w:tcMar>
              <w:top w:type="dxa" w:w="80"/>
              <w:left w:type="dxa" w:w="120"/>
              <w:bottom w:type="dxa" w:w="80"/>
              <w:right w:type="dxa" w:w="120"/>
            </w:tcMar>
            <w:vAlign w:val="center"/>
          </w:tcPr>
          <w:p>
            <w:r>
              <w:rPr>
                <w:b/>
                <w:bCs/>
                <w:color w:val="FFFFFF"/>
                <w:sz w:val="19"/>
                <w:szCs w:val="19"/>
              </w:rPr>
              <w:t xml:space="preserve">Term</w:t>
            </w:r>
          </w:p>
        </w:tc>
        <w:tc>
          <w:tcPr>
            <w:tcW w:type="dxa" w:w="6460"/>
            <w:shd w:fill="538135" w:val="clear"/>
            <w:tcMar>
              <w:top w:type="dxa" w:w="80"/>
              <w:left w:type="dxa" w:w="120"/>
              <w:bottom w:type="dxa" w:w="80"/>
              <w:right w:type="dxa" w:w="120"/>
            </w:tcMar>
            <w:vAlign w:val="center"/>
          </w:tcPr>
          <w:p>
            <w:r>
              <w:rPr>
                <w:b/>
                <w:bCs/>
                <w:color w:val="FFFFFF"/>
                <w:sz w:val="19"/>
                <w:szCs w:val="19"/>
              </w:rPr>
              <w:t xml:space="preserve">What to tell students it means</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Sales forecast</w:t>
            </w:r>
          </w:p>
        </w:tc>
        <w:tc>
          <w:tcPr>
            <w:tcW w:type="dxa" w:w="6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Estimate of future demand, adjusted for growth and promotions.</w:t>
            </w:r>
          </w:p>
        </w:tc>
      </w:tr>
      <w:tr>
        <w:tc>
          <w:tcPr>
            <w:tcW w:type="dxa" w:w="29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Capacity</w:t>
            </w:r>
          </w:p>
        </w:tc>
        <w:tc>
          <w:tcPr>
            <w:tcW w:type="dxa" w:w="64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Maximum output for the period = daily output × working days.</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Utilization</w:t>
            </w:r>
          </w:p>
        </w:tc>
        <w:tc>
          <w:tcPr>
            <w:tcW w:type="dxa" w:w="6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Production plan as a percentage of capacity (target ≤99% here).</w:t>
            </w:r>
          </w:p>
        </w:tc>
      </w:tr>
      <w:tr>
        <w:tc>
          <w:tcPr>
            <w:tcW w:type="dxa" w:w="29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Safety stock</w:t>
            </w:r>
          </w:p>
        </w:tc>
        <w:tc>
          <w:tcPr>
            <w:tcW w:type="dxa" w:w="64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Buffer inventory; the starting inventory value of 100.</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Seasonality</w:t>
            </w:r>
          </w:p>
        </w:tc>
        <w:tc>
          <w:tcPr>
            <w:tcW w:type="dxa" w:w="6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Predictable demand peaks (June, December) that the plan must pre-empt.</w:t>
            </w:r>
          </w:p>
        </w:tc>
      </w:tr>
    </w:tbl>
    <w:tbl>
      <w:tblPr>
        <w:tblW w:type="dxa" w:w="9360"/>
        <w:tblBorders>
          <w:top w:val="single" w:color="FBE4E4" w:sz="2"/>
          <w:left w:val="single" w:color="C0504D" w:sz="24"/>
          <w:bottom w:val="single" w:color="FBE4E4" w:sz="2"/>
          <w:right w:val="single" w:color="FBE4E4" w:sz="2"/>
          <w:insideH w:val="single" w:color="auto" w:sz="4"/>
          <w:insideV w:val="single" w:color="auto" w:sz="4"/>
        </w:tblBorders>
      </w:tblPr>
      <w:tblGrid>
        <w:gridCol w:w="9360"/>
      </w:tblGrid>
      <w:tr>
        <w:tc>
          <w:tcPr>
            <w:tcW w:type="dxa" w:w="9360"/>
            <w:shd w:fill="FBE4E4" w:val="clear"/>
            <w:tcMar>
              <w:top w:type="dxa" w:w="120"/>
              <w:left w:type="dxa" w:w="200"/>
              <w:bottom w:type="dxa" w:w="120"/>
              <w:right w:type="dxa" w:w="160"/>
            </w:tcMar>
          </w:tcPr>
          <w:p>
            <w:pPr>
              <w:spacing w:after="60"/>
            </w:pPr>
            <w:r>
              <w:rPr>
                <w:b/>
                <w:bCs/>
                <w:color w:val="C0504D"/>
                <w:sz w:val="21"/>
                <w:szCs w:val="21"/>
              </w:rPr>
              <w:t xml:space="preserve">TIPS &amp; COMMON PITFALLS</w:t>
            </w:r>
          </w:p>
          <w:p>
            <w:pPr>
              <w:pStyle w:val="ListParagraph"/>
              <w:numPr>
                <w:ilvl w:val="0"/>
                <w:numId w:val="2"/>
              </w:numPr>
              <w:spacing w:after="60" w:line="270"/>
            </w:pPr>
            <w:r>
              <w:t xml:space="preserve">Hard-coding numbers instead of using formulas — the tutorial explicitly wants automated calculation. Make the 3% and the rate input cells.</w:t>
            </w:r>
          </w:p>
          <w:p>
            <w:pPr>
              <w:pStyle w:val="ListParagraph"/>
              <w:numPr>
                <w:ilvl w:val="0"/>
                <w:numId w:val="2"/>
              </w:numPr>
              <w:spacing w:after="60" w:line="270"/>
            </w:pPr>
            <w:r>
              <w:t xml:space="preserve">Letting inventory fall below the safety stock of 100. Production plan must keep ending inventory ≥ 100 every month.</w:t>
            </w:r>
          </w:p>
          <w:p>
            <w:pPr>
              <w:pStyle w:val="ListParagraph"/>
              <w:numPr>
                <w:ilvl w:val="0"/>
                <w:numId w:val="2"/>
              </w:numPr>
              <w:spacing w:after="60" w:line="270"/>
            </w:pPr>
            <w:r>
              <w:t xml:space="preserve">Treating 99% as a goal for every month rather than a ceiling. Some months will sit lower; the rule is never to exceed it.</w:t>
            </w:r>
          </w:p>
        </w:tc>
      </w:tr>
    </w:tbl>
    <w:p>
      <w:r>
        <w:br w:type="page"/>
      </w:r>
    </w:p>
    <w:p>
      <w:pPr>
        <w:pStyle w:val="Heading1"/>
      </w:pPr>
      <w:r>
        <w:t xml:space="preserve">Tutorial 7 — Supply Chain Management</w:t>
      </w:r>
    </w:p>
    <w:tbl>
      <w:tblPr>
        <w:tblW w:type="dxa" w:w="9360"/>
        <w:tblBorders>
          <w:top w:val="single" w:color="EAF1FB" w:sz="2"/>
          <w:left w:val="single" w:color="2E5496" w:sz="24"/>
          <w:bottom w:val="single" w:color="EAF1FB" w:sz="2"/>
          <w:right w:val="single" w:color="EAF1FB" w:sz="2"/>
          <w:insideH w:val="single" w:color="auto" w:sz="4"/>
          <w:insideV w:val="single" w:color="auto" w:sz="4"/>
        </w:tblBorders>
      </w:tblPr>
      <w:tblGrid>
        <w:gridCol w:w="9360"/>
      </w:tblGrid>
      <w:tr>
        <w:tc>
          <w:tcPr>
            <w:tcW w:type="dxa" w:w="9360"/>
            <w:shd w:fill="EAF1FB" w:val="clear"/>
            <w:tcMar>
              <w:top w:type="dxa" w:w="120"/>
              <w:left w:type="dxa" w:w="200"/>
              <w:bottom w:type="dxa" w:w="120"/>
              <w:right w:type="dxa" w:w="160"/>
            </w:tcMar>
          </w:tcPr>
          <w:p>
            <w:pPr>
              <w:spacing w:after="60"/>
            </w:pPr>
            <w:r>
              <w:rPr>
                <w:b/>
                <w:bCs/>
                <w:color w:val="2E5496"/>
                <w:sz w:val="21"/>
                <w:szCs w:val="21"/>
              </w:rPr>
              <w:t xml:space="preserve">Teaching goal</w:t>
            </w:r>
          </w:p>
          <w:p>
            <w:r>
              <w:rPr>
                <w:sz w:val="21"/>
                <w:szCs w:val="21"/>
              </w:rPr>
              <w:t xml:space="preserve">Students should be able to explain what SCM is, research a real SCM implementation (and how its success was measured), and compare SCM with CRM — then present and reflect.</w:t>
            </w:r>
          </w:p>
        </w:tc>
      </w:tr>
    </w:tbl>
    <w:p>
      <w:pPr>
        <w:pStyle w:val="Heading3"/>
      </w:pPr>
      <w:r>
        <w:t xml:space="preserve">What students must produce</w:t>
      </w:r>
    </w:p>
    <w:p>
      <w:pPr>
        <w:pStyle w:val="ListParagraph"/>
        <w:numPr>
          <w:ilvl w:val="0"/>
          <w:numId w:val="2"/>
        </w:numPr>
        <w:spacing w:after="60" w:line="270"/>
      </w:pPr>
      <w:r>
        <w:t xml:space="preserve">Sub-group Q1: a researched manufacturing company that implemented SCM — did it have ERP first? challenges? how was success measured?</w:t>
      </w:r>
    </w:p>
    <w:p>
      <w:pPr>
        <w:pStyle w:val="ListParagraph"/>
        <w:numPr>
          <w:ilvl w:val="0"/>
          <w:numId w:val="2"/>
        </w:numPr>
        <w:spacing w:after="60" w:line="270"/>
      </w:pPr>
      <w:r>
        <w:t xml:space="preserve">Sub-group Q2: a comparison of CRM and SCM — similarities, differences, interaction, and the technologies each uses.</w:t>
      </w:r>
    </w:p>
    <w:p>
      <w:pPr>
        <w:pStyle w:val="ListParagraph"/>
        <w:numPr>
          <w:ilvl w:val="0"/>
          <w:numId w:val="2"/>
        </w:numPr>
        <w:spacing w:after="60" w:line="270"/>
      </w:pPr>
      <w:r>
        <w:t xml:space="preserve">A short deck (&lt;5 slides) per sub-group and an individual reflection (&gt;½ page).</w:t>
      </w:r>
    </w:p>
    <w:p>
      <w:pPr>
        <w:pStyle w:val="Heading2"/>
      </w:pPr>
      <w:r>
        <w:t xml:space="preserve">Where the book helps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4300"/>
        <w:gridCol w:w="1800"/>
      </w:tblGrid>
      <w:tr>
        <w:trPr>
          <w:tblHeader/>
        </w:trPr>
        <w:tc>
          <w:tcPr>
            <w:tcW w:type="dxa" w:w="3260"/>
            <w:shd w:fill="7B3F00" w:val="clear"/>
            <w:tcMar>
              <w:top w:type="dxa" w:w="80"/>
              <w:left w:type="dxa" w:w="120"/>
              <w:bottom w:type="dxa" w:w="80"/>
              <w:right w:type="dxa" w:w="120"/>
            </w:tcMar>
            <w:vAlign w:val="center"/>
          </w:tcPr>
          <w:p>
            <w:r>
              <w:rPr>
                <w:b/>
                <w:bCs/>
                <w:color w:val="FFFFFF"/>
                <w:sz w:val="19"/>
                <w:szCs w:val="19"/>
              </w:rPr>
              <w:t xml:space="preserve">What the tutorial asks</w:t>
            </w:r>
          </w:p>
        </w:tc>
        <w:tc>
          <w:tcPr>
            <w:tcW w:type="dxa" w:w="4300"/>
            <w:shd w:fill="7B3F00" w:val="clear"/>
            <w:tcMar>
              <w:top w:type="dxa" w:w="80"/>
              <w:left w:type="dxa" w:w="120"/>
              <w:bottom w:type="dxa" w:w="80"/>
              <w:right w:type="dxa" w:w="120"/>
            </w:tcMar>
            <w:vAlign w:val="center"/>
          </w:tcPr>
          <w:p>
            <w:r>
              <w:rPr>
                <w:b/>
                <w:bCs/>
                <w:color w:val="FFFFFF"/>
                <w:sz w:val="19"/>
                <w:szCs w:val="19"/>
              </w:rPr>
              <w:t xml:space="preserve">Where to find it in the book</w:t>
            </w:r>
          </w:p>
        </w:tc>
        <w:tc>
          <w:tcPr>
            <w:tcW w:type="dxa" w:w="1800"/>
            <w:shd w:fill="7B3F00" w:val="clear"/>
            <w:tcMar>
              <w:top w:type="dxa" w:w="80"/>
              <w:left w:type="dxa" w:w="120"/>
              <w:bottom w:type="dxa" w:w="80"/>
              <w:right w:type="dxa" w:w="120"/>
            </w:tcMar>
            <w:vAlign w:val="center"/>
          </w:tcPr>
          <w:p>
            <w:r>
              <w:rPr>
                <w:b/>
                <w:bCs/>
                <w:color w:val="FFFFFF"/>
                <w:sz w:val="19"/>
                <w:szCs w:val="19"/>
              </w:rPr>
              <w:t xml:space="preserve">Page / figure</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What SCM is and why it matters</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Ch. 4 → ERP and Suppliers → The Traditional Supply Chain</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pp. 107–110</w:t>
            </w:r>
          </w:p>
        </w:tc>
      </w:tr>
      <w:tr>
        <w:tc>
          <w:tcPr>
            <w:tcW w:type="dxa" w:w="3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How to measure SCM success (Q1)</w:t>
            </w:r>
          </w:p>
        </w:tc>
        <w:tc>
          <w:tcPr>
            <w:tcW w:type="dxa" w:w="43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Ch. 4 → The Measures of Success (fill rate, cash-to-cash cycle time, on-time performance)</w:t>
            </w:r>
          </w:p>
        </w:tc>
        <w:tc>
          <w:tcPr>
            <w:tcW w:type="dxa" w:w="18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pp. 110–113</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Q1 itself — research a company that implemented SCM</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Ch. 4 → Exercise 3 (almost word-for-word the tutorial question)</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p. 114</w:t>
            </w:r>
          </w:p>
        </w:tc>
      </w:tr>
      <w:tr>
        <w:tc>
          <w:tcPr>
            <w:tcW w:type="dxa" w:w="3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Q2 itself — compare CRM and SCM</w:t>
            </w:r>
          </w:p>
        </w:tc>
        <w:tc>
          <w:tcPr>
            <w:tcW w:type="dxa" w:w="43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Ch. 4 → Exercise 6 (the exact comparison question)</w:t>
            </w:r>
          </w:p>
        </w:tc>
        <w:tc>
          <w:tcPr>
            <w:tcW w:type="dxa" w:w="18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p. 115</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The CRM side of the comparison</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Ch. 3 → Customer Relationship Management</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pp. 65–72</w:t>
            </w:r>
          </w:p>
        </w:tc>
      </w:tr>
      <w:tr>
        <w:tc>
          <w:tcPr>
            <w:tcW w:type="dxa" w:w="3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The bullwhip effect (a strong talking point)</w:t>
            </w:r>
          </w:p>
        </w:tc>
        <w:tc>
          <w:tcPr>
            <w:tcW w:type="dxa" w:w="43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Ch. 8 → e-commerce/SCM discussion; Glossary</w:t>
            </w:r>
          </w:p>
        </w:tc>
        <w:tc>
          <w:tcPr>
            <w:tcW w:type="dxa" w:w="18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Ch. 8; Glossary</w:t>
            </w:r>
          </w:p>
        </w:tc>
      </w:tr>
    </w:tbl>
    <w:p>
      <w:pPr>
        <w:pStyle w:val="Heading2"/>
      </w:pPr>
      <w:r>
        <w:t xml:space="preserve">How to teach it with the book</w:t>
      </w:r>
    </w:p>
    <w:tbl>
      <w:tblPr>
        <w:tblW w:type="dxa" w:w="9360"/>
        <w:tblBorders>
          <w:top w:val="single" w:color="E2EFDA" w:sz="2"/>
          <w:left w:val="single" w:color="538135" w:sz="24"/>
          <w:bottom w:val="single" w:color="E2EFDA" w:sz="2"/>
          <w:right w:val="single" w:color="E2EFDA" w:sz="2"/>
          <w:insideH w:val="single" w:color="auto" w:sz="4"/>
          <w:insideV w:val="single" w:color="auto" w:sz="4"/>
        </w:tblBorders>
      </w:tblPr>
      <w:tblGrid>
        <w:gridCol w:w="9360"/>
      </w:tblGrid>
      <w:tr>
        <w:tc>
          <w:tcPr>
            <w:tcW w:type="dxa" w:w="9360"/>
            <w:shd w:fill="E2EFDA" w:val="clear"/>
            <w:tcMar>
              <w:top w:type="dxa" w:w="120"/>
              <w:left w:type="dxa" w:w="200"/>
              <w:bottom w:type="dxa" w:w="120"/>
              <w:right w:type="dxa" w:w="160"/>
            </w:tcMar>
          </w:tcPr>
          <w:p>
            <w:pPr>
              <w:spacing w:after="60"/>
            </w:pPr>
            <w:r>
              <w:rPr>
                <w:b/>
                <w:bCs/>
                <w:color w:val="538135"/>
                <w:sz w:val="21"/>
                <w:szCs w:val="21"/>
              </w:rPr>
              <w:t xml:space="preserve">LIFTED STRAIGHT FROM THE TEXTBOOK</w:t>
            </w:r>
          </w:p>
          <w:p>
            <w:r>
              <w:rPr>
                <w:sz w:val="21"/>
                <w:szCs w:val="21"/>
              </w:rPr>
              <w:t xml:space="preserve">Both tutorial questions are Chapter 4 end-of-chapter exercises. Q1 is Exercise 3 (p. 114): “research a manufacturing company that has successfully implemented SCM — did it have ERP first, can it quantify benefits, how does it measure success?” Q2 is Exercise 6 (p. 115): “Compare CRM and SCM — how are they similar, different, where do they interact, what technologies?” You can assign the exact exercises and the activity is fully supported.</w:t>
            </w:r>
          </w:p>
        </w:tc>
      </w:tr>
    </w:tbl>
    <w:p>
      <w:pPr>
        <w:spacing w:after="120" w:line="276"/>
      </w:pPr>
      <w:r>
        <w:rPr>
          <w:b/>
          <w:bCs/>
        </w:rPr>
        <w:t xml:space="preserve">Give Q1 a success-metrics vocabulary. </w:t>
      </w:r>
      <w:r>
        <w:t xml:space="preserve">Students often research a company but cannot say how success was measured. The book’s “Measures of Success” (pp. 110–113) hands them the language: initial fill rate, initial order lead time, on-time performance, and cash-to-cash cycle time. Require at least one such metric in their answer.</w:t>
      </w:r>
    </w:p>
    <w:p>
      <w:pPr>
        <w:spacing w:after="120" w:line="276"/>
      </w:pPr>
      <w:r>
        <w:rPr>
          <w:b/>
          <w:bCs/>
        </w:rPr>
        <w:t xml:space="preserve">Structure the Q2 comparison with a grid. </w:t>
      </w:r>
      <w:r>
        <w:t xml:space="preserve">Have students build a small table — it forces real comparison rather than two separate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shd w:fill="1F3864" w:val="clear"/>
            <w:tcMar>
              <w:top w:type="dxa" w:w="80"/>
              <w:left w:type="dxa" w:w="120"/>
              <w:bottom w:type="dxa" w:w="80"/>
              <w:right w:type="dxa" w:w="120"/>
            </w:tcMar>
            <w:vAlign w:val="center"/>
          </w:tcPr>
          <w:p>
            <w:r>
              <w:rPr>
                <w:b/>
                <w:bCs/>
                <w:color w:val="FFFFFF"/>
                <w:sz w:val="19"/>
                <w:szCs w:val="19"/>
              </w:rPr>
              <w:t xml:space="preserve">Dimension</w:t>
            </w:r>
          </w:p>
        </w:tc>
        <w:tc>
          <w:tcPr>
            <w:tcW w:type="dxa" w:w="3830"/>
            <w:shd w:fill="1F3864" w:val="clear"/>
            <w:tcMar>
              <w:top w:type="dxa" w:w="80"/>
              <w:left w:type="dxa" w:w="120"/>
              <w:bottom w:type="dxa" w:w="80"/>
              <w:right w:type="dxa" w:w="120"/>
            </w:tcMar>
            <w:vAlign w:val="center"/>
          </w:tcPr>
          <w:p>
            <w:r>
              <w:rPr>
                <w:b/>
                <w:bCs/>
                <w:color w:val="FFFFFF"/>
                <w:sz w:val="19"/>
                <w:szCs w:val="19"/>
              </w:rPr>
              <w:t xml:space="preserve">CRM (Ch. 3, pp. 65–72)</w:t>
            </w:r>
          </w:p>
        </w:tc>
        <w:tc>
          <w:tcPr>
            <w:tcW w:type="dxa" w:w="3830"/>
            <w:shd w:fill="1F3864" w:val="clear"/>
            <w:tcMar>
              <w:top w:type="dxa" w:w="80"/>
              <w:left w:type="dxa" w:w="120"/>
              <w:bottom w:type="dxa" w:w="80"/>
              <w:right w:type="dxa" w:w="120"/>
            </w:tcMar>
            <w:vAlign w:val="center"/>
          </w:tcPr>
          <w:p>
            <w:r>
              <w:rPr>
                <w:b/>
                <w:bCs/>
                <w:color w:val="FFFFFF"/>
                <w:sz w:val="19"/>
                <w:szCs w:val="19"/>
              </w:rPr>
              <w:t xml:space="preserve">SCM (Ch. 4, pp. 107–113)</w:t>
            </w:r>
          </w:p>
        </w:tc>
      </w:tr>
      <w:tr>
        <w:tc>
          <w:tcPr>
            <w:tcW w:type="dxa" w:w="17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Faces…</w:t>
            </w:r>
          </w:p>
        </w:tc>
        <w:tc>
          <w:tcPr>
            <w:tcW w:type="dxa" w:w="383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the customer (downstream)</w:t>
            </w:r>
          </w:p>
        </w:tc>
        <w:tc>
          <w:tcPr>
            <w:tcW w:type="dxa" w:w="383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the suppliers (upstream)</w:t>
            </w:r>
          </w:p>
        </w:tc>
      </w:tr>
      <w:tr>
        <w:tc>
          <w:tcPr>
            <w:tcW w:type="dxa" w:w="17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Goal</w:t>
            </w:r>
          </w:p>
        </w:tc>
        <w:tc>
          <w:tcPr>
            <w:tcW w:type="dxa" w:w="383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grow, retain, and serve customers → revenue</w:t>
            </w:r>
          </w:p>
        </w:tc>
        <w:tc>
          <w:tcPr>
            <w:tcW w:type="dxa" w:w="383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coordinate supply → avoid stockouts &amp; excess inventory</w:t>
            </w:r>
          </w:p>
        </w:tc>
      </w:tr>
      <w:tr>
        <w:tc>
          <w:tcPr>
            <w:tcW w:type="dxa" w:w="17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Built on</w:t>
            </w:r>
          </w:p>
        </w:tc>
        <w:tc>
          <w:tcPr>
            <w:tcW w:type="dxa" w:w="383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ERP’s common database, extended to customer data</w:t>
            </w:r>
          </w:p>
        </w:tc>
        <w:tc>
          <w:tcPr>
            <w:tcW w:type="dxa" w:w="383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ERP/MRP, extended across firms in the chain</w:t>
            </w:r>
          </w:p>
        </w:tc>
      </w:tr>
      <w:tr>
        <w:tc>
          <w:tcPr>
            <w:tcW w:type="dxa" w:w="17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Measured by</w:t>
            </w:r>
          </w:p>
        </w:tc>
        <w:tc>
          <w:tcPr>
            <w:tcW w:type="dxa" w:w="383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retention, revenue, service levels</w:t>
            </w:r>
          </w:p>
        </w:tc>
        <w:tc>
          <w:tcPr>
            <w:tcW w:type="dxa" w:w="383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fill rate, on-time performance, cash-to-cash cycle</w:t>
            </w:r>
          </w:p>
        </w:tc>
      </w:tr>
      <w:tr>
        <w:tc>
          <w:tcPr>
            <w:tcW w:type="dxa" w:w="17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They interact at…</w:t>
            </w:r>
          </w:p>
        </w:tc>
        <w:tc>
          <w:tcPr>
            <w:tcW w:type="dxa" w:w="383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the order — customer demand (CRM) drives supply plans (SCM)</w:t>
            </w:r>
          </w:p>
        </w:tc>
        <w:tc>
          <w:tcPr>
            <w:tcW w:type="dxa" w:w="383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the same order, from the other side</w:t>
            </w:r>
          </w:p>
        </w:tc>
      </w:tr>
    </w:tbl>
    <w:p>
      <w:pPr>
        <w:spacing w:after="40"/>
      </w:pPr>
      <w:r>
        <w:t xml:space="preserve"/>
      </w:r>
    </w:p>
    <w:tbl>
      <w:tblPr>
        <w:tblW w:type="dxa" w:w="9360"/>
        <w:tblBorders>
          <w:top w:val="single" w:color="FFF2CC" w:sz="2"/>
          <w:left w:val="single" w:color="BF8F00" w:sz="24"/>
          <w:bottom w:val="single" w:color="FFF2CC" w:sz="2"/>
          <w:right w:val="single" w:color="FFF2CC" w:sz="2"/>
          <w:insideH w:val="single" w:color="auto" w:sz="4"/>
          <w:insideV w:val="single" w:color="auto" w:sz="4"/>
        </w:tblBorders>
      </w:tblPr>
      <w:tblGrid>
        <w:gridCol w:w="9360"/>
      </w:tblGrid>
      <w:tr>
        <w:tc>
          <w:tcPr>
            <w:tcW w:type="dxa" w:w="9360"/>
            <w:shd w:fill="FFF2CC" w:val="clear"/>
            <w:tcMar>
              <w:top w:type="dxa" w:w="120"/>
              <w:left w:type="dxa" w:w="200"/>
              <w:bottom w:type="dxa" w:w="120"/>
              <w:right w:type="dxa" w:w="160"/>
            </w:tcMar>
          </w:tcPr>
          <w:p>
            <w:pPr>
              <w:spacing w:after="60"/>
            </w:pPr>
            <w:r>
              <w:rPr>
                <w:b/>
                <w:bCs/>
                <w:color w:val="BF8F00"/>
                <w:sz w:val="21"/>
                <w:szCs w:val="21"/>
              </w:rPr>
              <w:t xml:space="preserve">TEACHING INSIGHT</w:t>
            </w:r>
          </w:p>
          <w:p>
            <w:r>
              <w:rPr>
                <w:sz w:val="21"/>
                <w:szCs w:val="21"/>
              </w:rPr>
              <w:t xml:space="preserve">The cleanest way to show where CRM and SCM interact is the order itself: a customer order captured on the CRM/sales side becomes the demand signal that drives the production and supply plan on the SCM side. That single sentence answers the ‘where do they interact’ part of Q2.</w:t>
            </w:r>
          </w:p>
        </w:tc>
      </w:tr>
    </w:tbl>
    <w:p>
      <w:pPr>
        <w:pStyle w:val="Heading2"/>
      </w:pPr>
      <w:r>
        <w:t xml:space="preserve">Key terms to emphasize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538135" w:val="clear"/>
            <w:tcMar>
              <w:top w:type="dxa" w:w="80"/>
              <w:left w:type="dxa" w:w="120"/>
              <w:bottom w:type="dxa" w:w="80"/>
              <w:right w:type="dxa" w:w="120"/>
            </w:tcMar>
            <w:vAlign w:val="center"/>
          </w:tcPr>
          <w:p>
            <w:r>
              <w:rPr>
                <w:b/>
                <w:bCs/>
                <w:color w:val="FFFFFF"/>
                <w:sz w:val="19"/>
                <w:szCs w:val="19"/>
              </w:rPr>
              <w:t xml:space="preserve">Term</w:t>
            </w:r>
          </w:p>
        </w:tc>
        <w:tc>
          <w:tcPr>
            <w:tcW w:type="dxa" w:w="6460"/>
            <w:shd w:fill="538135" w:val="clear"/>
            <w:tcMar>
              <w:top w:type="dxa" w:w="80"/>
              <w:left w:type="dxa" w:w="120"/>
              <w:bottom w:type="dxa" w:w="80"/>
              <w:right w:type="dxa" w:w="120"/>
            </w:tcMar>
            <w:vAlign w:val="center"/>
          </w:tcPr>
          <w:p>
            <w:r>
              <w:rPr>
                <w:b/>
                <w:bCs/>
                <w:color w:val="FFFFFF"/>
                <w:sz w:val="19"/>
                <w:szCs w:val="19"/>
              </w:rPr>
              <w:t xml:space="preserve">What to tell students it means</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Supply chain</w:t>
            </w:r>
          </w:p>
        </w:tc>
        <w:tc>
          <w:tcPr>
            <w:tcW w:type="dxa" w:w="6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All activities from raw-material sourcing to the finished product on the shelf.</w:t>
            </w:r>
          </w:p>
        </w:tc>
      </w:tr>
      <w:tr>
        <w:tc>
          <w:tcPr>
            <w:tcW w:type="dxa" w:w="29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Supply chain management (SCM)</w:t>
            </w:r>
          </w:p>
        </w:tc>
        <w:tc>
          <w:tcPr>
            <w:tcW w:type="dxa" w:w="64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Sharing long-range schedules with suppliers to avoid stockouts and excess inventory.</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Fill rate / on-time performance</w:t>
            </w:r>
          </w:p>
        </w:tc>
        <w:tc>
          <w:tcPr>
            <w:tcW w:type="dxa" w:w="6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Core supplier-performance metrics for measuring SCM success.</w:t>
            </w:r>
          </w:p>
        </w:tc>
      </w:tr>
      <w:tr>
        <w:tc>
          <w:tcPr>
            <w:tcW w:type="dxa" w:w="29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Cash-to-cash cycle time</w:t>
            </w:r>
          </w:p>
        </w:tc>
        <w:tc>
          <w:tcPr>
            <w:tcW w:type="dxa" w:w="64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Time from paying for materials to collecting from customers; a headline SCM metric.</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Bullwhip effect</w:t>
            </w:r>
          </w:p>
        </w:tc>
        <w:tc>
          <w:tcPr>
            <w:tcW w:type="dxa" w:w="6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Small demand swings amplifying upstream when information is not shared.</w:t>
            </w:r>
          </w:p>
        </w:tc>
      </w:tr>
    </w:tbl>
    <w:tbl>
      <w:tblPr>
        <w:tblW w:type="dxa" w:w="9360"/>
        <w:tblBorders>
          <w:top w:val="single" w:color="FBE4E4" w:sz="2"/>
          <w:left w:val="single" w:color="C0504D" w:sz="24"/>
          <w:bottom w:val="single" w:color="FBE4E4" w:sz="2"/>
          <w:right w:val="single" w:color="FBE4E4" w:sz="2"/>
          <w:insideH w:val="single" w:color="auto" w:sz="4"/>
          <w:insideV w:val="single" w:color="auto" w:sz="4"/>
        </w:tblBorders>
      </w:tblPr>
      <w:tblGrid>
        <w:gridCol w:w="9360"/>
      </w:tblGrid>
      <w:tr>
        <w:tc>
          <w:tcPr>
            <w:tcW w:type="dxa" w:w="9360"/>
            <w:shd w:fill="FBE4E4" w:val="clear"/>
            <w:tcMar>
              <w:top w:type="dxa" w:w="120"/>
              <w:left w:type="dxa" w:w="200"/>
              <w:bottom w:type="dxa" w:w="120"/>
              <w:right w:type="dxa" w:w="160"/>
            </w:tcMar>
          </w:tcPr>
          <w:p>
            <w:pPr>
              <w:spacing w:after="60"/>
            </w:pPr>
            <w:r>
              <w:rPr>
                <w:b/>
                <w:bCs/>
                <w:color w:val="C0504D"/>
                <w:sz w:val="21"/>
                <w:szCs w:val="21"/>
              </w:rPr>
              <w:t xml:space="preserve">TIPS &amp; COMMON PITFALLS</w:t>
            </w:r>
          </w:p>
          <w:p>
            <w:pPr>
              <w:pStyle w:val="ListParagraph"/>
              <w:numPr>
                <w:ilvl w:val="0"/>
                <w:numId w:val="2"/>
              </w:numPr>
              <w:spacing w:after="60" w:line="270"/>
            </w:pPr>
            <w:r>
              <w:t xml:space="preserve">Q1 answers that describe a company but never name a success metric. Insist on at least one measure from pp. 110–113.</w:t>
            </w:r>
          </w:p>
          <w:p>
            <w:pPr>
              <w:pStyle w:val="ListParagraph"/>
              <w:numPr>
                <w:ilvl w:val="0"/>
                <w:numId w:val="2"/>
              </w:numPr>
              <w:spacing w:after="60" w:line="270"/>
            </w:pPr>
            <w:r>
              <w:t xml:space="preserve">Q2 answers that describe CRM and SCM separately without comparing. Require the grid and an explicit ‘where they interact’ line.</w:t>
            </w:r>
          </w:p>
          <w:p>
            <w:pPr>
              <w:pStyle w:val="ListParagraph"/>
              <w:numPr>
                <w:ilvl w:val="0"/>
                <w:numId w:val="2"/>
              </w:numPr>
              <w:spacing w:after="60" w:line="270"/>
            </w:pPr>
            <w:r>
              <w:t xml:space="preserve">Confusing SCM (upstream, suppliers) with CRM (downstream, customers). The direction is the simplest distinguishing test.</w:t>
            </w:r>
          </w:p>
        </w:tc>
      </w:tr>
    </w:tbl>
    <w:p>
      <w:r>
        <w:br w:type="page"/>
      </w:r>
    </w:p>
    <w:p>
      <w:pPr>
        <w:pStyle w:val="Heading1"/>
      </w:pPr>
      <w:r>
        <w:t xml:space="preserve">Tutorial 8 — Human Resources &amp; Process Modelling</w:t>
      </w:r>
    </w:p>
    <w:tbl>
      <w:tblPr>
        <w:tblW w:type="dxa" w:w="9360"/>
        <w:tblBorders>
          <w:top w:val="single" w:color="EAF1FB" w:sz="2"/>
          <w:left w:val="single" w:color="2E5496" w:sz="24"/>
          <w:bottom w:val="single" w:color="EAF1FB" w:sz="2"/>
          <w:right w:val="single" w:color="EAF1FB" w:sz="2"/>
          <w:insideH w:val="single" w:color="auto" w:sz="4"/>
          <w:insideV w:val="single" w:color="auto" w:sz="4"/>
        </w:tblBorders>
      </w:tblPr>
      <w:tblGrid>
        <w:gridCol w:w="9360"/>
      </w:tblGrid>
      <w:tr>
        <w:tc>
          <w:tcPr>
            <w:tcW w:type="dxa" w:w="9360"/>
            <w:shd w:fill="EAF1FB" w:val="clear"/>
            <w:tcMar>
              <w:top w:type="dxa" w:w="120"/>
              <w:left w:type="dxa" w:w="200"/>
              <w:bottom w:type="dxa" w:w="120"/>
              <w:right w:type="dxa" w:w="160"/>
            </w:tcMar>
          </w:tcPr>
          <w:p>
            <w:pPr>
              <w:spacing w:after="60"/>
            </w:pPr>
            <w:r>
              <w:rPr>
                <w:b/>
                <w:bCs/>
                <w:color w:val="2E5496"/>
                <w:sz w:val="21"/>
                <w:szCs w:val="21"/>
              </w:rPr>
              <w:t xml:space="preserve">Teaching goal</w:t>
            </w:r>
          </w:p>
          <w:p>
            <w:r>
              <w:rPr>
                <w:sz w:val="21"/>
                <w:szCs w:val="21"/>
              </w:rPr>
              <w:t xml:space="preserve">Students should understand HR’s role in recruitment (what data and skills a role needs), spot where a recruitment process fails a candidate, and model that process as both a flowchart and a swimlane diagram.</w:t>
            </w:r>
          </w:p>
        </w:tc>
      </w:tr>
    </w:tbl>
    <w:p>
      <w:pPr>
        <w:pStyle w:val="Heading3"/>
      </w:pPr>
      <w:r>
        <w:t xml:space="preserve">What students must produce</w:t>
      </w:r>
    </w:p>
    <w:p>
      <w:pPr>
        <w:pStyle w:val="ListParagraph"/>
        <w:numPr>
          <w:ilvl w:val="0"/>
          <w:numId w:val="2"/>
        </w:numPr>
        <w:spacing w:after="60" w:line="270"/>
      </w:pPr>
      <w:r>
        <w:rPr>
          <w:b/>
          <w:bCs/>
        </w:rPr>
        <w:t xml:space="preserve">Activity 1: </w:t>
      </w:r>
      <w:r>
        <w:t xml:space="preserve">describe a desired position; list the information needed to assess a candidate and the skills the role requires.</w:t>
      </w:r>
    </w:p>
    <w:p>
      <w:pPr>
        <w:pStyle w:val="ListParagraph"/>
        <w:numPr>
          <w:ilvl w:val="0"/>
          <w:numId w:val="2"/>
        </w:numPr>
        <w:spacing w:after="60" w:line="270"/>
      </w:pPr>
      <w:r>
        <w:rPr>
          <w:b/>
          <w:bCs/>
        </w:rPr>
        <w:t xml:space="preserve">Activity 2: </w:t>
      </w:r>
      <w:r>
        <w:t xml:space="preserve">for ABC Company’s recruitment scenario, identify problems that could sour a candidate’s view, explain how an information system would help, and draw a flowchart and a swimlane diagram.</w:t>
      </w:r>
    </w:p>
    <w:p>
      <w:pPr>
        <w:pStyle w:val="Heading2"/>
      </w:pPr>
      <w:r>
        <w:t xml:space="preserve">Where the book helps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4300"/>
        <w:gridCol w:w="1800"/>
      </w:tblGrid>
      <w:tr>
        <w:trPr>
          <w:tblHeader/>
        </w:trPr>
        <w:tc>
          <w:tcPr>
            <w:tcW w:type="dxa" w:w="3260"/>
            <w:shd w:fill="7B3F00" w:val="clear"/>
            <w:tcMar>
              <w:top w:type="dxa" w:w="80"/>
              <w:left w:type="dxa" w:w="120"/>
              <w:bottom w:type="dxa" w:w="80"/>
              <w:right w:type="dxa" w:w="120"/>
            </w:tcMar>
            <w:vAlign w:val="center"/>
          </w:tcPr>
          <w:p>
            <w:r>
              <w:rPr>
                <w:b/>
                <w:bCs/>
                <w:color w:val="FFFFFF"/>
                <w:sz w:val="19"/>
                <w:szCs w:val="19"/>
              </w:rPr>
              <w:t xml:space="preserve">What the tutorial asks</w:t>
            </w:r>
          </w:p>
        </w:tc>
        <w:tc>
          <w:tcPr>
            <w:tcW w:type="dxa" w:w="4300"/>
            <w:shd w:fill="7B3F00" w:val="clear"/>
            <w:tcMar>
              <w:top w:type="dxa" w:w="80"/>
              <w:left w:type="dxa" w:w="120"/>
              <w:bottom w:type="dxa" w:w="80"/>
              <w:right w:type="dxa" w:w="120"/>
            </w:tcMar>
            <w:vAlign w:val="center"/>
          </w:tcPr>
          <w:p>
            <w:r>
              <w:rPr>
                <w:b/>
                <w:bCs/>
                <w:color w:val="FFFFFF"/>
                <w:sz w:val="19"/>
                <w:szCs w:val="19"/>
              </w:rPr>
              <w:t xml:space="preserve">Where to find it in the book</w:t>
            </w:r>
          </w:p>
        </w:tc>
        <w:tc>
          <w:tcPr>
            <w:tcW w:type="dxa" w:w="1800"/>
            <w:shd w:fill="7B3F00" w:val="clear"/>
            <w:tcMar>
              <w:top w:type="dxa" w:w="80"/>
              <w:left w:type="dxa" w:w="120"/>
              <w:bottom w:type="dxa" w:w="80"/>
              <w:right w:type="dxa" w:w="120"/>
            </w:tcMar>
            <w:vAlign w:val="center"/>
          </w:tcPr>
          <w:p>
            <w:r>
              <w:rPr>
                <w:b/>
                <w:bCs/>
                <w:color w:val="FFFFFF"/>
                <w:sz w:val="19"/>
                <w:szCs w:val="19"/>
              </w:rPr>
              <w:t xml:space="preserve">Page / figure</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Activity 1 — desired position, info to collect, skills required</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Ch. 6 → Exercise 1 (the exact prompt); HR concepts: job, position, qualifications, requirements</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p. 176; pp. 165–169</w:t>
            </w:r>
          </w:p>
        </w:tc>
      </w:tr>
      <w:tr>
        <w:tc>
          <w:tcPr>
            <w:tcW w:type="dxa" w:w="3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Activity 2 part 1 — problems in recruiting + how an IS helps</w:t>
            </w:r>
          </w:p>
        </w:tc>
        <w:tc>
          <w:tcPr>
            <w:tcW w:type="dxa" w:w="43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Ch. 6 → Exercise 4 (the exact prompt); Problems with FS’s HR Processes (Recruiting; Interviewing &amp; Hiring)</w:t>
            </w:r>
          </w:p>
        </w:tc>
        <w:tc>
          <w:tcPr>
            <w:tcW w:type="dxa" w:w="18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p. 176; pp. 159–162</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HR with ERP (why an integrated IS helps)</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Ch. 6 → Human Resources with ERP Software</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pp. 165–169</w:t>
            </w:r>
          </w:p>
        </w:tc>
      </w:tr>
      <w:tr>
        <w:tc>
          <w:tcPr>
            <w:tcW w:type="dxa" w:w="3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Activity 2 part 2 — how to draw a flowchart</w:t>
            </w:r>
          </w:p>
        </w:tc>
        <w:tc>
          <w:tcPr>
            <w:tcW w:type="dxa" w:w="43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Ch. 7 → Process Modeling → Flowcharting Process Models; FS Expense-Report example</w:t>
            </w:r>
          </w:p>
        </w:tc>
        <w:tc>
          <w:tcPr>
            <w:tcW w:type="dxa" w:w="18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pp. 180–183</w:t>
            </w:r>
          </w:p>
        </w:tc>
      </w:tr>
      <w:tr>
        <w:tc>
          <w:tcPr>
            <w:tcW w:type="dxa" w:w="32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Activity 2 part 2 — how to draw a swimlane diagram</w:t>
            </w:r>
          </w:p>
        </w:tc>
        <w:tc>
          <w:tcPr>
            <w:tcW w:type="dxa" w:w="4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Ch. 7 → deployment (swimlane) flowcharting — Figure 7-4</w:t>
            </w:r>
          </w:p>
        </w:tc>
        <w:tc>
          <w:tcPr>
            <w:tcW w:type="dxa" w:w="1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pp. 183–184, Fig. 7-4</w:t>
            </w:r>
          </w:p>
        </w:tc>
      </w:tr>
      <w:tr>
        <w:tc>
          <w:tcPr>
            <w:tcW w:type="dxa" w:w="32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Optional richer notation (EPC)</w:t>
            </w:r>
          </w:p>
        </w:tc>
        <w:tc>
          <w:tcPr>
            <w:tcW w:type="dxa" w:w="43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Ch. 7 → Event Process Chain (EPC) Diagrams</w:t>
            </w:r>
          </w:p>
        </w:tc>
        <w:tc>
          <w:tcPr>
            <w:tcW w:type="dxa" w:w="18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pp. 184–191</w:t>
            </w:r>
          </w:p>
        </w:tc>
      </w:tr>
    </w:tbl>
    <w:p>
      <w:pPr>
        <w:pStyle w:val="Heading2"/>
      </w:pPr>
      <w:r>
        <w:t xml:space="preserve">How to teach it with the book</w:t>
      </w:r>
    </w:p>
    <w:tbl>
      <w:tblPr>
        <w:tblW w:type="dxa" w:w="9360"/>
        <w:tblBorders>
          <w:top w:val="single" w:color="E2EFDA" w:sz="2"/>
          <w:left w:val="single" w:color="538135" w:sz="24"/>
          <w:bottom w:val="single" w:color="E2EFDA" w:sz="2"/>
          <w:right w:val="single" w:color="E2EFDA" w:sz="2"/>
          <w:insideH w:val="single" w:color="auto" w:sz="4"/>
          <w:insideV w:val="single" w:color="auto" w:sz="4"/>
        </w:tblBorders>
      </w:tblPr>
      <w:tblGrid>
        <w:gridCol w:w="9360"/>
      </w:tblGrid>
      <w:tr>
        <w:tc>
          <w:tcPr>
            <w:tcW w:type="dxa" w:w="9360"/>
            <w:shd w:fill="E2EFDA" w:val="clear"/>
            <w:tcMar>
              <w:top w:type="dxa" w:w="120"/>
              <w:left w:type="dxa" w:w="200"/>
              <w:bottom w:type="dxa" w:w="120"/>
              <w:right w:type="dxa" w:w="160"/>
            </w:tcMar>
          </w:tcPr>
          <w:p>
            <w:pPr>
              <w:spacing w:after="60"/>
            </w:pPr>
            <w:r>
              <w:rPr>
                <w:b/>
                <w:bCs/>
                <w:color w:val="538135"/>
                <w:sz w:val="21"/>
                <w:szCs w:val="21"/>
              </w:rPr>
              <w:t xml:space="preserve">LIFTED STRAIGHT FROM THE TEXTBOOK</w:t>
            </w:r>
          </w:p>
          <w:p>
            <w:r>
              <w:rPr>
                <w:sz w:val="21"/>
                <w:szCs w:val="21"/>
              </w:rPr>
              <w:t xml:space="preserve">Both activities trace to Chapter 6 exercises. Activity 1 is Exercise 1 (p. 176): “Describe a position you would like to have — what information must be collected to judge a candidate, and what skills are required?” Activity 2’s first half is Exercise 4 (p. 176): “List the steps in a typical recruiting process … identify problems that might give a candidate a negative opinion … how might an effective information system reduce them?” Assign those pages and the activity supports itself.</w:t>
            </w:r>
          </w:p>
        </w:tc>
      </w:tr>
    </w:tbl>
    <w:p>
      <w:pPr>
        <w:spacing w:after="120" w:line="276"/>
      </w:pPr>
      <w:r>
        <w:rPr>
          <w:b/>
          <w:bCs/>
        </w:rPr>
        <w:t xml:space="preserve">Give Activity 1 the book’s HR vocabulary. </w:t>
      </w:r>
      <w:r>
        <w:t xml:space="preserve">Chapter 6 distinguishes a job (generic responsibilities), a position (a specific instance of a job), the person who holds it, requirements (skills tied to the position) and qualifications (skills a candidate actually has). Recruiting is the act of matching qualifications to requirements. Framing Activity 1 this way turns a vague “list some skills” into a precise requirements-versus-qualifications analysis.</w:t>
      </w:r>
    </w:p>
    <w:p>
      <w:pPr>
        <w:spacing w:after="120" w:line="276"/>
      </w:pPr>
      <w:r>
        <w:rPr>
          <w:b/>
          <w:bCs/>
        </w:rPr>
        <w:t xml:space="preserve">Source the ‘candidate problems’ from pp. 159–162. </w:t>
      </w:r>
      <w:r>
        <w:t xml:space="preserve">The book’s account of FS’s broken recruiting and interviewing/hiring process is a ready list of pain points: lost or duplicated applications, slow responses, no single record of a candidate, poor communication. Then pp. 165–169 supply the fix — an integrated HR system gives one controlled record, automated access, and faster, consistent communication. That is precisely “how an information system reduces the problems.”</w:t>
      </w:r>
    </w:p>
    <w:p>
      <w:pPr>
        <w:spacing w:after="120" w:line="276"/>
      </w:pPr>
      <w:r>
        <w:rPr>
          <w:b/>
          <w:bCs/>
        </w:rPr>
        <w:t xml:space="preserve">Teach the two diagram types from Chapter 7. </w:t>
      </w:r>
      <w:r>
        <w:t xml:space="preserve">The Fitter Snacker expense-report example (pp. 181–184) is the book’s model for both notations, so reuse its structure for ABC’s recruitment:</w:t>
      </w:r>
    </w:p>
    <w:p>
      <w:pPr>
        <w:pStyle w:val="ListParagraph"/>
        <w:numPr>
          <w:ilvl w:val="0"/>
          <w:numId w:val="2"/>
        </w:numPr>
        <w:spacing w:after="60" w:line="270"/>
      </w:pPr>
      <w:r>
        <w:rPr>
          <w:b/>
          <w:bCs/>
        </w:rPr>
        <w:t xml:space="preserve">Flowchart </w:t>
      </w:r>
      <w:r>
        <w:t xml:space="preserve">(pp. 180–183): a single top-to-bottom sequence of steps with decision diamonds (e.g., “Shortlisted? → yes/no,” “Interview passed? → yes/no”).</w:t>
      </w:r>
    </w:p>
    <w:p>
      <w:pPr>
        <w:pStyle w:val="ListParagraph"/>
        <w:numPr>
          <w:ilvl w:val="0"/>
          <w:numId w:val="2"/>
        </w:numPr>
        <w:spacing w:after="60" w:line="270"/>
      </w:pPr>
      <w:r>
        <w:rPr>
          <w:b/>
          <w:bCs/>
        </w:rPr>
        <w:t xml:space="preserve">Swimlane / deployment flowchart </w:t>
      </w:r>
      <w:r>
        <w:t xml:space="preserve">(Figure 7-4): the same steps, but each placed in the lane of whoever performs it — Sarah (Marketing Manager), HR, the candidate. This makes hand-offs and bottlenecks visible, which directly supports the ‘where does it fail the candidate’ question.</w:t>
      </w:r>
    </w:p>
    <w:p>
      <w:pPr>
        <w:spacing w:after="120" w:line="276"/>
      </w:pPr>
      <w:r>
        <w:rPr>
          <w:sz w:val="21"/>
          <w:szCs w:val="21"/>
        </w:rPr>
        <w:t xml:space="preserve">Map the ABC scenario onto lanes before drawing: Sarah submits the hiring request → HR does job analysis and posts → candidates apply → HR screens and shortlists → Sarah + HR interview → skills assessment → reference/background checks → offer to Emily. Each verb belongs to a lane.</w:t>
      </w:r>
    </w:p>
    <w:tbl>
      <w:tblPr>
        <w:tblW w:type="dxa" w:w="9360"/>
        <w:tblBorders>
          <w:top w:val="single" w:color="FFF2CC" w:sz="2"/>
          <w:left w:val="single" w:color="BF8F00" w:sz="24"/>
          <w:bottom w:val="single" w:color="FFF2CC" w:sz="2"/>
          <w:right w:val="single" w:color="FFF2CC" w:sz="2"/>
          <w:insideH w:val="single" w:color="auto" w:sz="4"/>
          <w:insideV w:val="single" w:color="auto" w:sz="4"/>
        </w:tblBorders>
      </w:tblPr>
      <w:tblGrid>
        <w:gridCol w:w="9360"/>
      </w:tblGrid>
      <w:tr>
        <w:tc>
          <w:tcPr>
            <w:tcW w:type="dxa" w:w="9360"/>
            <w:shd w:fill="FFF2CC" w:val="clear"/>
            <w:tcMar>
              <w:top w:type="dxa" w:w="120"/>
              <w:left w:type="dxa" w:w="200"/>
              <w:bottom w:type="dxa" w:w="120"/>
              <w:right w:type="dxa" w:w="160"/>
            </w:tcMar>
          </w:tcPr>
          <w:p>
            <w:pPr>
              <w:spacing w:after="60"/>
            </w:pPr>
            <w:r>
              <w:rPr>
                <w:b/>
                <w:bCs/>
                <w:color w:val="BF8F00"/>
                <w:sz w:val="21"/>
                <w:szCs w:val="21"/>
              </w:rPr>
              <w:t xml:space="preserve">TEACHING INSIGHT</w:t>
            </w:r>
          </w:p>
          <w:p>
            <w:r>
              <w:rPr>
                <w:sz w:val="21"/>
                <w:szCs w:val="21"/>
              </w:rPr>
              <w:t xml:space="preserve">The swimlane diagram is the analytical payoff: the moments a candidate forms a negative opinion are almost always the hand-offs between lanes — the silence after applying, the delay between interview and assessment. Drawing the lanes makes those gaps obvious, which is exactly what the ‘identify problems’ question rewards.</w:t>
            </w:r>
          </w:p>
        </w:tc>
      </w:tr>
    </w:tbl>
    <w:p>
      <w:pPr>
        <w:pStyle w:val="Heading2"/>
      </w:pPr>
      <w:r>
        <w:t xml:space="preserve">Key terms to emphasize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538135" w:val="clear"/>
            <w:tcMar>
              <w:top w:type="dxa" w:w="80"/>
              <w:left w:type="dxa" w:w="120"/>
              <w:bottom w:type="dxa" w:w="80"/>
              <w:right w:type="dxa" w:w="120"/>
            </w:tcMar>
            <w:vAlign w:val="center"/>
          </w:tcPr>
          <w:p>
            <w:r>
              <w:rPr>
                <w:b/>
                <w:bCs/>
                <w:color w:val="FFFFFF"/>
                <w:sz w:val="19"/>
                <w:szCs w:val="19"/>
              </w:rPr>
              <w:t xml:space="preserve">Term</w:t>
            </w:r>
          </w:p>
        </w:tc>
        <w:tc>
          <w:tcPr>
            <w:tcW w:type="dxa" w:w="6460"/>
            <w:shd w:fill="538135" w:val="clear"/>
            <w:tcMar>
              <w:top w:type="dxa" w:w="80"/>
              <w:left w:type="dxa" w:w="120"/>
              <w:bottom w:type="dxa" w:w="80"/>
              <w:right w:type="dxa" w:w="120"/>
            </w:tcMar>
            <w:vAlign w:val="center"/>
          </w:tcPr>
          <w:p>
            <w:r>
              <w:rPr>
                <w:b/>
                <w:bCs/>
                <w:color w:val="FFFFFF"/>
                <w:sz w:val="19"/>
                <w:szCs w:val="19"/>
              </w:rPr>
              <w:t xml:space="preserve">What to tell students it means</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Job vs Position</w:t>
            </w:r>
          </w:p>
        </w:tc>
        <w:tc>
          <w:tcPr>
            <w:tcW w:type="dxa" w:w="6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A job is generic responsibilities; a position is a specific instance of that job in a department.</w:t>
            </w:r>
          </w:p>
        </w:tc>
      </w:tr>
      <w:tr>
        <w:tc>
          <w:tcPr>
            <w:tcW w:type="dxa" w:w="29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Requirements vs Qualifications</w:t>
            </w:r>
          </w:p>
        </w:tc>
        <w:tc>
          <w:tcPr>
            <w:tcW w:type="dxa" w:w="64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Skills the position needs vs skills the candidate has; recruiting matches the two.</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Process model / flowchart</w:t>
            </w:r>
          </w:p>
        </w:tc>
        <w:tc>
          <w:tcPr>
            <w:tcW w:type="dxa" w:w="6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A graphical representation of the steps in a process.</w:t>
            </w:r>
          </w:p>
        </w:tc>
      </w:tr>
      <w:tr>
        <w:tc>
          <w:tcPr>
            <w:tcW w:type="dxa" w:w="29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Swimlane (deployment) flowchart</w:t>
            </w:r>
          </w:p>
        </w:tc>
        <w:tc>
          <w:tcPr>
            <w:tcW w:type="dxa" w:w="64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A flowchart with each participant in their own lane, exposing hand-offs (Figure 7-4).</w:t>
            </w:r>
          </w:p>
        </w:tc>
      </w:tr>
      <w:tr>
        <w:tc>
          <w:tcPr>
            <w:tcW w:type="dxa" w:w="29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Event process chain (EPC)</w:t>
            </w:r>
          </w:p>
        </w:tc>
        <w:tc>
          <w:tcPr>
            <w:tcW w:type="dxa" w:w="64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SAP’s two-symbol (events + functions) modelling notation — optional extra rigor.</w:t>
            </w:r>
          </w:p>
        </w:tc>
      </w:tr>
    </w:tbl>
    <w:tbl>
      <w:tblPr>
        <w:tblW w:type="dxa" w:w="9360"/>
        <w:tblBorders>
          <w:top w:val="single" w:color="FBE4E4" w:sz="2"/>
          <w:left w:val="single" w:color="C0504D" w:sz="24"/>
          <w:bottom w:val="single" w:color="FBE4E4" w:sz="2"/>
          <w:right w:val="single" w:color="FBE4E4" w:sz="2"/>
          <w:insideH w:val="single" w:color="auto" w:sz="4"/>
          <w:insideV w:val="single" w:color="auto" w:sz="4"/>
        </w:tblBorders>
      </w:tblPr>
      <w:tblGrid>
        <w:gridCol w:w="9360"/>
      </w:tblGrid>
      <w:tr>
        <w:tc>
          <w:tcPr>
            <w:tcW w:type="dxa" w:w="9360"/>
            <w:shd w:fill="FBE4E4" w:val="clear"/>
            <w:tcMar>
              <w:top w:type="dxa" w:w="120"/>
              <w:left w:type="dxa" w:w="200"/>
              <w:bottom w:type="dxa" w:w="120"/>
              <w:right w:type="dxa" w:w="160"/>
            </w:tcMar>
          </w:tcPr>
          <w:p>
            <w:pPr>
              <w:spacing w:after="60"/>
            </w:pPr>
            <w:r>
              <w:rPr>
                <w:b/>
                <w:bCs/>
                <w:color w:val="C0504D"/>
                <w:sz w:val="21"/>
                <w:szCs w:val="21"/>
              </w:rPr>
              <w:t xml:space="preserve">TIPS &amp; COMMON PITFALLS</w:t>
            </w:r>
          </w:p>
          <w:p>
            <w:pPr>
              <w:pStyle w:val="ListParagraph"/>
              <w:numPr>
                <w:ilvl w:val="0"/>
                <w:numId w:val="2"/>
              </w:numPr>
              <w:spacing w:after="60" w:line="270"/>
            </w:pPr>
            <w:r>
              <w:t xml:space="preserve">Activity 1 lists skills but no ‘information to collect.’ Remind them: résumé data, references, assessment results, background checks — the evidence that proves qualifications meet requirements.</w:t>
            </w:r>
          </w:p>
          <w:p>
            <w:pPr>
              <w:pStyle w:val="ListParagraph"/>
              <w:numPr>
                <w:ilvl w:val="0"/>
                <w:numId w:val="2"/>
              </w:numPr>
              <w:spacing w:after="60" w:line="270"/>
            </w:pPr>
            <w:r>
              <w:t xml:space="preserve">Flowchart and swimlane drawn identically. The difference is the lanes; if there are no lanes, it is not a swimlane diagram.</w:t>
            </w:r>
          </w:p>
          <w:p>
            <w:pPr>
              <w:pStyle w:val="ListParagraph"/>
              <w:numPr>
                <w:ilvl w:val="0"/>
                <w:numId w:val="2"/>
              </w:numPr>
              <w:spacing w:after="60" w:line="270"/>
            </w:pPr>
            <w:r>
              <w:t xml:space="preserve">Listing process steps but never naming a candidate-facing problem. Tie each problem to a specific hand-off or delay in the diagram.</w:t>
            </w:r>
          </w:p>
        </w:tc>
      </w:tr>
    </w:tbl>
    <w:p>
      <w:r>
        <w:br w:type="page"/>
      </w:r>
    </w:p>
    <w:p>
      <w:pPr>
        <w:pStyle w:val="Heading1"/>
      </w:pPr>
      <w:r>
        <w:t xml:space="preserve">Appendix A — Forecasting &amp; SOP Formula Reference (for T3 and T6)</w:t>
      </w:r>
    </w:p>
    <w:p>
      <w:pPr>
        <w:spacing w:after="120" w:line="276"/>
      </w:pPr>
      <w:r>
        <w:rPr>
          <w:sz w:val="21"/>
          <w:szCs w:val="21"/>
        </w:rPr>
        <w:t xml:space="preserve">Both calculation tutorials use the same method, taken from Figures 4-3 and 4-5 of the textbook. Keep this page open while marking.</w:t>
      </w:r>
    </w:p>
    <w:p>
      <w:pPr>
        <w:pStyle w:val="Heading2"/>
      </w:pPr>
      <w:r>
        <w:t xml:space="preserve">Sales forecast (Figure 4-3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shd w:fill="1F3864" w:val="clear"/>
            <w:tcMar>
              <w:top w:type="dxa" w:w="80"/>
              <w:left w:type="dxa" w:w="120"/>
              <w:bottom w:type="dxa" w:w="80"/>
              <w:right w:type="dxa" w:w="120"/>
            </w:tcMar>
            <w:vAlign w:val="center"/>
          </w:tcPr>
          <w:p>
            <w:r>
              <w:rPr>
                <w:b/>
                <w:bCs/>
                <w:color w:val="FFFFFF"/>
                <w:sz w:val="19"/>
                <w:szCs w:val="19"/>
              </w:rPr>
              <w:t xml:space="preserve">Row</w:t>
            </w:r>
          </w:p>
        </w:tc>
        <w:tc>
          <w:tcPr>
            <w:tcW w:type="dxa" w:w="4360"/>
            <w:shd w:fill="1F3864" w:val="clear"/>
            <w:tcMar>
              <w:top w:type="dxa" w:w="80"/>
              <w:left w:type="dxa" w:w="120"/>
              <w:bottom w:type="dxa" w:w="80"/>
              <w:right w:type="dxa" w:w="120"/>
            </w:tcMar>
            <w:vAlign w:val="center"/>
          </w:tcPr>
          <w:p>
            <w:r>
              <w:rPr>
                <w:b/>
                <w:bCs/>
                <w:color w:val="FFFFFF"/>
                <w:sz w:val="19"/>
                <w:szCs w:val="19"/>
              </w:rPr>
              <w:t xml:space="preserve">Formula</w:t>
            </w:r>
          </w:p>
        </w:tc>
        <w:tc>
          <w:tcPr>
            <w:tcW w:type="dxa" w:w="2500"/>
            <w:shd w:fill="1F3864" w:val="clear"/>
            <w:tcMar>
              <w:top w:type="dxa" w:w="80"/>
              <w:left w:type="dxa" w:w="120"/>
              <w:bottom w:type="dxa" w:w="80"/>
              <w:right w:type="dxa" w:w="120"/>
            </w:tcMar>
            <w:vAlign w:val="center"/>
          </w:tcPr>
          <w:p>
            <w:r>
              <w:rPr>
                <w:b/>
                <w:bCs/>
                <w:color w:val="FFFFFF"/>
                <w:sz w:val="19"/>
                <w:szCs w:val="19"/>
              </w:rPr>
              <w:t xml:space="preserve">Note</w:t>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Previous-year base</w:t>
            </w:r>
          </w:p>
        </w:tc>
        <w:tc>
          <w:tcPr>
            <w:tcW w:type="dxa" w:w="4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previous-year sales − last year’s promotion</w:t>
            </w:r>
          </w:p>
        </w:tc>
        <w:tc>
          <w:tcPr>
            <w:tcW w:type="dxa" w:w="2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Strip one-off promotions before applying growth.</w:t>
            </w:r>
          </w:p>
        </w:tc>
      </w:tr>
      <w:tr>
        <w:tc>
          <w:tcPr>
            <w:tcW w:type="dxa" w:w="25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Base projection</w:t>
            </w:r>
          </w:p>
        </w:tc>
        <w:tc>
          <w:tcPr>
            <w:tcW w:type="dxa" w:w="43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previous-year base × (1 + growth %)</w:t>
            </w:r>
          </w:p>
        </w:tc>
        <w:tc>
          <w:tcPr>
            <w:tcW w:type="dxa" w:w="25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Growth is 3% in both tutorials → × 1.03.</w:t>
            </w:r>
          </w:p>
        </w:tc>
      </w:tr>
      <w:tr>
        <w:tc>
          <w:tcPr>
            <w:tcW w:type="dxa" w:w="2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Sales forecast</w:t>
            </w:r>
          </w:p>
        </w:tc>
        <w:tc>
          <w:tcPr>
            <w:tcW w:type="dxa" w:w="4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base projection + this year’s promotion</w:t>
            </w:r>
          </w:p>
        </w:tc>
        <w:tc>
          <w:tcPr>
            <w:tcW w:type="dxa" w:w="2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Add the current year’s planned promo months.</w:t>
            </w:r>
          </w:p>
        </w:tc>
      </w:tr>
    </w:tbl>
    <w:p>
      <w:pPr>
        <w:spacing w:after="40"/>
      </w:pPr>
      <w:r>
        <w:t xml:space="preserve"/>
      </w:r>
    </w:p>
    <w:p>
      <w:pPr>
        <w:pStyle w:val="Heading2"/>
      </w:pPr>
      <w:r>
        <w:t xml:space="preserve">Sales &amp; operations plan (Figure 4-5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560"/>
        <w:gridCol w:w="2500"/>
      </w:tblGrid>
      <w:tr>
        <w:trPr>
          <w:tblHeader/>
        </w:trPr>
        <w:tc>
          <w:tcPr>
            <w:tcW w:type="dxa" w:w="2300"/>
            <w:shd w:fill="1F3864" w:val="clear"/>
            <w:tcMar>
              <w:top w:type="dxa" w:w="80"/>
              <w:left w:type="dxa" w:w="120"/>
              <w:bottom w:type="dxa" w:w="80"/>
              <w:right w:type="dxa" w:w="120"/>
            </w:tcMar>
            <w:vAlign w:val="center"/>
          </w:tcPr>
          <w:p>
            <w:r>
              <w:rPr>
                <w:b/>
                <w:bCs/>
                <w:color w:val="FFFFFF"/>
                <w:sz w:val="19"/>
                <w:szCs w:val="19"/>
              </w:rPr>
              <w:t xml:space="preserve">Row</w:t>
            </w:r>
          </w:p>
        </w:tc>
        <w:tc>
          <w:tcPr>
            <w:tcW w:type="dxa" w:w="4560"/>
            <w:shd w:fill="1F3864" w:val="clear"/>
            <w:tcMar>
              <w:top w:type="dxa" w:w="80"/>
              <w:left w:type="dxa" w:w="120"/>
              <w:bottom w:type="dxa" w:w="80"/>
              <w:right w:type="dxa" w:w="120"/>
            </w:tcMar>
            <w:vAlign w:val="center"/>
          </w:tcPr>
          <w:p>
            <w:r>
              <w:rPr>
                <w:b/>
                <w:bCs/>
                <w:color w:val="FFFFFF"/>
                <w:sz w:val="19"/>
                <w:szCs w:val="19"/>
              </w:rPr>
              <w:t xml:space="preserve">Formula</w:t>
            </w:r>
          </w:p>
        </w:tc>
        <w:tc>
          <w:tcPr>
            <w:tcW w:type="dxa" w:w="2500"/>
            <w:shd w:fill="1F3864" w:val="clear"/>
            <w:tcMar>
              <w:top w:type="dxa" w:w="80"/>
              <w:left w:type="dxa" w:w="120"/>
              <w:bottom w:type="dxa" w:w="80"/>
              <w:right w:type="dxa" w:w="120"/>
            </w:tcMar>
            <w:vAlign w:val="center"/>
          </w:tcPr>
          <w:p>
            <w:r>
              <w:rPr>
                <w:b/>
                <w:bCs/>
                <w:color w:val="FFFFFF"/>
                <w:sz w:val="19"/>
                <w:szCs w:val="19"/>
              </w:rPr>
              <w:t xml:space="preserve">Target / note</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Capacity</w:t>
            </w:r>
          </w:p>
        </w:tc>
        <w:tc>
          <w:tcPr>
            <w:tcW w:type="dxa" w:w="4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items per day × working days in month</w:t>
            </w:r>
          </w:p>
        </w:tc>
        <w:tc>
          <w:tcPr>
            <w:tcW w:type="dxa" w:w="2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T6: 40/hr × 8 hr = 320/day.</w:t>
            </w:r>
          </w:p>
        </w:tc>
      </w:tr>
      <w:tr>
        <w:tc>
          <w:tcPr>
            <w:tcW w:type="dxa" w:w="23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Utilization</w:t>
            </w:r>
          </w:p>
        </w:tc>
        <w:tc>
          <w:tcPr>
            <w:tcW w:type="dxa" w:w="45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(production plan ÷ capacity) × 100</w:t>
            </w:r>
          </w:p>
        </w:tc>
        <w:tc>
          <w:tcPr>
            <w:tcW w:type="dxa" w:w="25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T3 target 90–95%; T6 ceiling ≤99%.</w:t>
            </w:r>
          </w:p>
        </w:tc>
      </w:tr>
      <w:tr>
        <w:tc>
          <w:tcPr>
            <w:tcW w:type="dxa" w:w="2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Ending inventory</w:t>
            </w:r>
          </w:p>
        </w:tc>
        <w:tc>
          <w:tcPr>
            <w:tcW w:type="dxa" w:w="4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opening inventory + production plan − sales forecast</w:t>
            </w:r>
          </w:p>
        </w:tc>
        <w:tc>
          <w:tcPr>
            <w:tcW w:type="dxa" w:w="2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Never let it fall below safety stock (100).</w:t>
            </w:r>
          </w:p>
        </w:tc>
      </w:tr>
      <w:tr>
        <w:tc>
          <w:tcPr>
            <w:tcW w:type="dxa" w:w="23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Product split</w:t>
            </w:r>
          </w:p>
        </w:tc>
        <w:tc>
          <w:tcPr>
            <w:tcW w:type="dxa" w:w="45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production plan × each product’s %</w:t>
            </w:r>
          </w:p>
        </w:tc>
        <w:tc>
          <w:tcPr>
            <w:tcW w:type="dxa" w:w="25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Split the plan (not the forecast), e.g. 70/30.</w:t>
            </w:r>
          </w:p>
        </w:tc>
      </w:tr>
    </w:tbl>
    <w:p>
      <w:pPr>
        <w:spacing w:after="60"/>
      </w:pPr>
      <w:r>
        <w:t xml:space="preserve"/>
      </w:r>
    </w:p>
    <w:tbl>
      <w:tblPr>
        <w:tblW w:type="dxa" w:w="9360"/>
        <w:tblBorders>
          <w:top w:val="single" w:color="DCE6F1" w:sz="2"/>
          <w:left w:val="single" w:color="2E75B6" w:sz="24"/>
          <w:bottom w:val="single" w:color="DCE6F1" w:sz="2"/>
          <w:right w:val="single" w:color="DCE6F1" w:sz="2"/>
          <w:insideH w:val="single" w:color="auto" w:sz="4"/>
          <w:insideV w:val="single" w:color="auto" w:sz="4"/>
        </w:tblBorders>
      </w:tblPr>
      <w:tblGrid>
        <w:gridCol w:w="9360"/>
      </w:tblGrid>
      <w:tr>
        <w:tc>
          <w:tcPr>
            <w:tcW w:type="dxa" w:w="9360"/>
            <w:shd w:fill="DCE6F1" w:val="clear"/>
            <w:tcMar>
              <w:top w:type="dxa" w:w="120"/>
              <w:left w:type="dxa" w:w="200"/>
              <w:bottom w:type="dxa" w:w="120"/>
              <w:right w:type="dxa" w:w="160"/>
            </w:tcMar>
          </w:tcPr>
          <w:p>
            <w:pPr>
              <w:spacing w:after="60"/>
            </w:pPr>
            <w:r>
              <w:rPr>
                <w:b/>
                <w:bCs/>
                <w:color w:val="2E75B6"/>
                <w:sz w:val="21"/>
                <w:szCs w:val="21"/>
              </w:rPr>
              <w:t xml:space="preserve">Setting the production plan</w:t>
            </w:r>
          </w:p>
          <w:p>
            <w:r>
              <w:rPr>
                <w:sz w:val="21"/>
                <w:szCs w:val="21"/>
              </w:rPr>
              <w:t xml:space="preserve">There is no single ‘correct’ production plan. Students choose it by trial and error — raising or lowering it until utilization sits in the target band AND ending inventory stays at or above the safety stock every month. This is exactly how the Fitter Snacker planner works on textbook p. 86.</w:t>
            </w:r>
          </w:p>
        </w:tc>
      </w:tr>
    </w:tbl>
    <w:p>
      <w:pPr>
        <w:pStyle w:val="Heading1"/>
      </w:pPr>
      <w:r>
        <w:t xml:space="preserve">Appendix B — Key Figures to Project in Class</w:t>
      </w:r>
    </w:p>
    <w:p>
      <w:pPr>
        <w:spacing w:after="120" w:line="276"/>
      </w:pPr>
      <w:r>
        <w:rPr>
          <w:sz w:val="21"/>
          <w:szCs w:val="21"/>
        </w:rPr>
        <w:t xml:space="preserve">These figures from the textbook map one-to-one onto tutorial deliverables. Displaying them is the fastest way to teach the matching tutorial.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tblHeader/>
        </w:trPr>
        <w:tc>
          <w:tcPr>
            <w:tcW w:type="dxa" w:w="1500"/>
            <w:shd w:fill="1F3864" w:val="clear"/>
            <w:tcMar>
              <w:top w:type="dxa" w:w="80"/>
              <w:left w:type="dxa" w:w="120"/>
              <w:bottom w:type="dxa" w:w="80"/>
              <w:right w:type="dxa" w:w="120"/>
            </w:tcMar>
            <w:vAlign w:val="center"/>
          </w:tcPr>
          <w:p>
            <w:r>
              <w:rPr>
                <w:b/>
                <w:bCs/>
                <w:color w:val="FFFFFF"/>
                <w:sz w:val="19"/>
                <w:szCs w:val="19"/>
              </w:rPr>
              <w:t xml:space="preserve">Figure</w:t>
            </w:r>
          </w:p>
        </w:tc>
        <w:tc>
          <w:tcPr>
            <w:tcW w:type="dxa" w:w="4860"/>
            <w:shd w:fill="1F3864" w:val="clear"/>
            <w:tcMar>
              <w:top w:type="dxa" w:w="80"/>
              <w:left w:type="dxa" w:w="120"/>
              <w:bottom w:type="dxa" w:w="80"/>
              <w:right w:type="dxa" w:w="120"/>
            </w:tcMar>
            <w:vAlign w:val="center"/>
          </w:tcPr>
          <w:p>
            <w:r>
              <w:rPr>
                <w:b/>
                <w:bCs/>
                <w:color w:val="FFFFFF"/>
                <w:sz w:val="19"/>
                <w:szCs w:val="19"/>
              </w:rPr>
              <w:t xml:space="preserve">What it shows</w:t>
            </w:r>
          </w:p>
        </w:tc>
        <w:tc>
          <w:tcPr>
            <w:tcW w:type="dxa" w:w="3000"/>
            <w:shd w:fill="1F3864" w:val="clear"/>
            <w:tcMar>
              <w:top w:type="dxa" w:w="80"/>
              <w:left w:type="dxa" w:w="120"/>
              <w:bottom w:type="dxa" w:w="80"/>
              <w:right w:type="dxa" w:w="120"/>
            </w:tcMar>
            <w:vAlign w:val="center"/>
          </w:tcPr>
          <w:p>
            <w:r>
              <w:rPr>
                <w:b/>
                <w:bCs/>
                <w:color w:val="FFFFFF"/>
                <w:sz w:val="19"/>
                <w:szCs w:val="19"/>
              </w:rPr>
              <w:t xml:space="preserve">Use it for</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Figure 1-1</w:t>
            </w:r>
          </w:p>
        </w:tc>
        <w:tc>
          <w:tcPr>
            <w:tcW w:type="dxa" w:w="48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Functional areas and their inputs/outputs</w:t>
            </w:r>
          </w:p>
        </w:tc>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Tutorial 1 — the functions table and info-flow diagram</w:t>
            </w:r>
          </w:p>
        </w:tc>
      </w:tr>
      <w:tr>
        <w:tc>
          <w:tcPr>
            <w:tcW w:type="dxa" w:w="15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Figure 2-4</w:t>
            </w:r>
          </w:p>
        </w:tc>
        <w:tc>
          <w:tcPr>
            <w:tcW w:type="dxa" w:w="48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Data flow within an integrated information system</w:t>
            </w:r>
          </w:p>
        </w:tc>
        <w:tc>
          <w:tcPr>
            <w:tcW w:type="dxa" w:w="30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Tutorial 1 &amp; 2 — the integration benefit</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Figure 2-5</w:t>
            </w:r>
          </w:p>
        </w:tc>
        <w:tc>
          <w:tcPr>
            <w:tcW w:type="dxa" w:w="48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The SAP ERP modules</w:t>
            </w:r>
          </w:p>
        </w:tc>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Tutorial 2 — what an ERP system actually contains</w:t>
            </w:r>
          </w:p>
        </w:tc>
      </w:tr>
      <w:tr>
        <w:tc>
          <w:tcPr>
            <w:tcW w:type="dxa" w:w="15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Figure 4-2</w:t>
            </w:r>
          </w:p>
        </w:tc>
        <w:tc>
          <w:tcPr>
            <w:tcW w:type="dxa" w:w="48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The production planning process</w:t>
            </w:r>
          </w:p>
        </w:tc>
        <w:tc>
          <w:tcPr>
            <w:tcW w:type="dxa" w:w="30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Tutorial 3 &amp; 6 — where forecasting and SOP fit</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Figure 4-3</w:t>
            </w:r>
          </w:p>
        </w:tc>
        <w:tc>
          <w:tcPr>
            <w:tcW w:type="dxa" w:w="48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Fitter Snacker sales forecast table</w:t>
            </w:r>
          </w:p>
        </w:tc>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Tutorial 3 &amp; 6 — the forecast method</w:t>
            </w:r>
          </w:p>
        </w:tc>
      </w:tr>
      <w:tr>
        <w:tc>
          <w:tcPr>
            <w:tcW w:type="dxa" w:w="15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b/>
                <w:bCs/>
                <w:color w:val="2E5496"/>
                <w:sz w:val="19"/>
                <w:szCs w:val="19"/>
              </w:rPr>
              <w:t xml:space="preserve">Figure 4-5</w:t>
            </w:r>
          </w:p>
        </w:tc>
        <w:tc>
          <w:tcPr>
            <w:tcW w:type="dxa" w:w="486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Fitter Snacker sales &amp; operations plan</w:t>
            </w:r>
          </w:p>
        </w:tc>
        <w:tc>
          <w:tcPr>
            <w:tcW w:type="dxa" w:w="3000"/>
            <w:tcBorders>
              <w:top w:val="single" w:color="BFBFBF" w:sz="1"/>
              <w:left w:val="single" w:color="BFBFBF" w:sz="1"/>
              <w:bottom w:val="single" w:color="BFBFBF" w:sz="1"/>
              <w:right w:val="single" w:color="BFBFBF" w:sz="1"/>
            </w:tcBorders>
            <w:shd w:fill="F2F6FB" w:val="clear"/>
            <w:tcMar>
              <w:top w:type="dxa" w:w="70"/>
              <w:left w:type="dxa" w:w="120"/>
              <w:bottom w:type="dxa" w:w="70"/>
              <w:right w:type="dxa" w:w="120"/>
            </w:tcMar>
            <w:vAlign w:val="center"/>
          </w:tcPr>
          <w:p>
            <w:pPr>
              <w:spacing w:after="0" w:line="260"/>
            </w:pPr>
            <w:r>
              <w:rPr>
                <w:sz w:val="19"/>
                <w:szCs w:val="19"/>
              </w:rPr>
              <w:t xml:space="preserve">Tutorial 3 &amp; 6 — the SOP method</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b/>
                <w:bCs/>
                <w:color w:val="2E5496"/>
                <w:sz w:val="19"/>
                <w:szCs w:val="19"/>
              </w:rPr>
              <w:t xml:space="preserve">Figure 7-4</w:t>
            </w:r>
          </w:p>
        </w:tc>
        <w:tc>
          <w:tcPr>
            <w:tcW w:type="dxa" w:w="48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Deployment (swimlane) flowchart of the FS expense report</w:t>
            </w:r>
          </w:p>
        </w:tc>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spacing w:after="0" w:line="260"/>
            </w:pPr>
            <w:r>
              <w:rPr>
                <w:sz w:val="19"/>
                <w:szCs w:val="19"/>
              </w:rPr>
              <w:t xml:space="preserve">Tutorial 8 — the swimlane diagram model</w:t>
            </w:r>
          </w:p>
        </w:tc>
      </w:tr>
    </w:tbl>
    <w:p>
      <w:pPr>
        <w:spacing w:after="160"/>
      </w:pPr>
      <w:r>
        <w:t xml:space="preserve"/>
      </w:r>
    </w:p>
    <w:p>
      <w:pPr>
        <w:pBdr>
          <w:top w:val="single" w:color="2E75B6" w:sz="8" w:space="8"/>
        </w:pBdr>
        <w:spacing w:before="200"/>
        <w:jc w:val="center"/>
      </w:pPr>
      <w:r>
        <w:rPr>
          <w:i/>
          <w:iCs/>
          <w:color w:val="595959"/>
          <w:sz w:val="18"/>
          <w:szCs w:val="18"/>
        </w:rPr>
        <w:t xml:space="preserve">End of teaching companion · Tutorials mapped to Concepts in Enterprise Resource Planning, 3rd Edition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Teaching Companion — 8 Tutorials × the ERP Textbook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6"/>
      </w:pBdr>
      <w:spacing w:after="15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90" w:before="200"/>
      <w:outlineLvl w:val="1"/>
    </w:pPr>
    <w:rPr>
      <w:rFonts w:ascii="Calibri" w:cs="Calibri" w:eastAsia="Calibri" w:hAnsi="Calibri"/>
      <w:b/>
      <w:bCs/>
      <w:color w:val="2E5496"/>
      <w:sz w:val="25"/>
      <w:szCs w:val="25"/>
    </w:rPr>
  </w:style>
  <w:style w:type="paragraph" w:styleId="Heading3">
    <w:name w:val="Heading 3"/>
    <w:basedOn w:val="Normal"/>
    <w:next w:val="Normal"/>
    <w:qFormat/>
    <w:pPr>
      <w:spacing w:after="70" w:before="13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Instructor's Teaching Companion — 8 Tutorials Mapped to the Textbook</dc:title>
  <dc:creator>Tutorial Teaching Companion</dc:creator>
  <cp:lastModifiedBy>Un-named</cp:lastModifiedBy>
  <cp:revision>1</cp:revision>
  <dcterms:created xsi:type="dcterms:W3CDTF">2026-06-23T07:11:02.392Z</dcterms:created>
  <dcterms:modified xsi:type="dcterms:W3CDTF">2026-06-23T07:11:02.393Z</dcterms:modified>
</cp:coreProperties>
</file>

<file path=docProps/custom.xml><?xml version="1.0" encoding="utf-8"?>
<Properties xmlns="http://schemas.openxmlformats.org/officeDocument/2006/custom-properties" xmlns:vt="http://schemas.openxmlformats.org/officeDocument/2006/docPropsVTypes"/>
</file>