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40"/>
        <w:jc w:val="center"/>
      </w:pPr>
      <w:r>
        <w:rPr>
          <w:b/>
          <w:bCs/>
          <w:color w:val="1F3864"/>
          <w:sz w:val="46"/>
          <w:szCs w:val="46"/>
        </w:rPr>
        <w:t xml:space="preserve">TUTORIAL 6 — STEP-BY-STEP SOLUTION</w:t>
      </w:r>
    </w:p>
    <w:p>
      <w:pPr>
        <w:spacing w:after="60"/>
        <w:jc w:val="center"/>
      </w:pPr>
      <w:r>
        <w:rPr>
          <w:i/>
          <w:iCs/>
          <w:color w:val="C55A11"/>
          <w:sz w:val="30"/>
          <w:szCs w:val="30"/>
        </w:rPr>
        <w:t xml:space="preserve">Sales Forecast and Sales &amp; Operations Planning</w:t>
      </w:r>
    </w:p>
    <w:p>
      <w:pPr>
        <w:spacing w:after="200"/>
        <w:jc w:val="center"/>
      </w:pPr>
      <w:r>
        <w:rPr>
          <w:color w:val="595959"/>
          <w:sz w:val="22"/>
          <w:szCs w:val="22"/>
        </w:rPr>
        <w:t xml:space="preserve">Detailed Student Edition — aligned with the official answer key</w:t>
      </w:r>
    </w:p>
    <w:p>
      <w:pPr>
        <w:pBdr>
          <w:top w:val="single" w:color="C55A11" w:sz="6" w:space="6"/>
          <w:bottom w:val="single" w:color="C55A11" w:sz="6" w:space="6"/>
        </w:pBdr>
        <w:spacing w:after="120" w:before="120"/>
        <w:jc w:val="center"/>
      </w:pPr>
      <w:r>
        <w:rPr>
          <w:b/>
          <w:bCs/>
          <w:color w:val="2E5496"/>
          <w:sz w:val="28"/>
          <w:szCs w:val="28"/>
        </w:rPr>
        <w:t xml:space="preserve">Footloose Sport Shoes — Production Plan for 2023</w:t>
      </w:r>
    </w:p>
    <w:p>
      <w:pPr>
        <w:spacing w:after="40" w:before="200"/>
        <w:jc w:val="center"/>
      </w:pPr>
      <w:r>
        <w:rPr>
          <w:color w:val="595959"/>
          <w:sz w:val="22"/>
          <w:szCs w:val="22"/>
        </w:rPr>
        <w:t xml:space="preserve">Method based on Chapter 4 of</w:t>
      </w:r>
    </w:p>
    <w:p>
      <w:pPr>
        <w:jc w:val="center"/>
      </w:pPr>
      <w:r>
        <w:rPr>
          <w:i/>
          <w:iCs/>
          <w:color w:val="595959"/>
          <w:sz w:val="22"/>
          <w:szCs w:val="22"/>
        </w:rPr>
        <w:t xml:space="preserve">Concepts in Enterprise Resource Planning, 3rd ed. (Monk &amp; Wagner)</w:t>
      </w:r>
    </w:p>
    <w:p>
      <w:pPr>
        <w:pStyle w:val="Heading1"/>
        <w:pageBreakBefore/>
      </w:pPr>
      <w:r>
        <w:t xml:space="preserve">How to use this guide</w:t>
      </w:r>
    </w:p>
    <w:p>
      <w:pPr>
        <w:spacing w:after="120" w:line="278"/>
      </w:pPr>
      <w:r>
        <w:t xml:space="preserve">This document solves the two tutorial activities and explains every step as if you have never built a forecast or a production plan before. Read it top to bottom the first time. After that, the coloured boxes are quick reference: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F2F6FB" w:sz="1"/>
              <w:left w:val="single" w:color="2E5496" w:sz="20"/>
              <w:bottom w:val="single" w:color="F2F6FB" w:sz="1"/>
              <w:right w:val="single" w:color="F2F6FB" w:sz="1"/>
            </w:tcBorders>
            <w:shd w:fill="F2F6FB" w:val="clear"/>
            <w:tcMar>
              <w:top w:type="dxa" w:w="140"/>
              <w:left w:type="dxa" w:w="200"/>
              <w:bottom w:type="dxa" w:w="140"/>
              <w:right w:type="dxa" w:w="200"/>
            </w:tcMar>
          </w:tcPr>
          <w:p>
            <w:pPr>
              <w:spacing w:after="70"/>
            </w:pPr>
            <w:r>
              <w:rPr>
                <w:b/>
                <w:bCs/>
                <w:color w:val="21364F"/>
              </w:rPr>
              <w:t xml:space="preserve">The coloured boxes</w:t>
            </w:r>
          </w:p>
          <w:p>
            <w:pPr>
              <w:spacing w:after="60" w:line="268"/>
            </w:pPr>
            <w:r>
              <w:rPr>
                <w:b/>
                <w:bCs/>
                <w:color w:val="21364F"/>
              </w:rPr>
              <w:t xml:space="preserve">Orange “Worked example” boxes  </w:t>
            </w:r>
            <w:r>
              <w:rPr>
                <w:i/>
                <w:iCs/>
                <w:color w:val="21364F"/>
              </w:rPr>
              <w:t xml:space="preserve">   show the full arithmetic for one month, line by line.</w:t>
            </w:r>
          </w:p>
          <w:p>
            <w:pPr>
              <w:spacing w:after="60" w:line="268"/>
            </w:pPr>
            <w:r>
              <w:rPr>
                <w:b/>
                <w:bCs/>
                <w:color w:val="21364F"/>
              </w:rPr>
              <w:t xml:space="preserve">Blue “Key idea” boxes  </w:t>
            </w:r>
            <w:r>
              <w:rPr>
                <w:i/>
                <w:iCs/>
                <w:color w:val="21364F"/>
              </w:rPr>
              <w:t xml:space="preserve">   hold the single most important point of a section.</w:t>
            </w:r>
          </w:p>
          <w:p>
            <w:pPr>
              <w:spacing w:after="60" w:line="268"/>
            </w:pPr>
            <w:r>
              <w:rPr>
                <w:b/>
                <w:bCs/>
                <w:color w:val="21364F"/>
              </w:rPr>
              <w:t xml:space="preserve">Green “Check” boxes  </w:t>
            </w:r>
            <w:r>
              <w:rPr>
                <w:i/>
                <w:iCs/>
                <w:color w:val="21364F"/>
              </w:rPr>
              <w:t xml:space="preserve">   prove a rule is satisfied (e.g. inventory never below the safety stock).</w:t>
            </w:r>
          </w:p>
          <w:p>
            <w:pPr>
              <w:spacing w:after="0" w:line="268"/>
            </w:pPr>
            <w:r>
              <w:rPr>
                <w:b/>
                <w:bCs/>
                <w:color w:val="21364F"/>
              </w:rPr>
              <w:t xml:space="preserve">Red “Watch out” boxes  </w:t>
            </w:r>
            <w:r>
              <w:rPr>
                <w:i/>
                <w:iCs/>
                <w:color w:val="21364F"/>
              </w:rPr>
              <w:t xml:space="preserve">   are the mistakes students most often make.</w:t>
            </w:r>
          </w:p>
        </w:tc>
      </w:tr>
    </w:tbl>
    <w:p>
      <w:pPr>
        <w:spacing w:after="4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E7F2E7" w:sz="1"/>
              <w:left w:val="single" w:color="2E7D32" w:sz="20"/>
              <w:bottom w:val="single" w:color="E7F2E7" w:sz="1"/>
              <w:right w:val="single" w:color="E7F2E7" w:sz="1"/>
            </w:tcBorders>
            <w:shd w:fill="E7F2E7" w:val="clear"/>
            <w:tcMar>
              <w:top w:type="dxa" w:w="140"/>
              <w:left w:type="dxa" w:w="200"/>
              <w:bottom w:type="dxa" w:w="140"/>
              <w:right w:type="dxa" w:w="200"/>
            </w:tcMar>
          </w:tcPr>
          <w:p>
            <w:pPr>
              <w:spacing w:after="70"/>
            </w:pPr>
            <w:r>
              <w:rPr>
                <w:b/>
                <w:bCs/>
                <w:color w:val="1E4620"/>
              </w:rPr>
              <w:t xml:space="preserve">This version matches the official answer key</w:t>
            </w:r>
          </w:p>
          <w:p>
            <w:pPr>
              <w:spacing w:after="60" w:line="268"/>
            </w:pPr>
            <w:r>
              <w:rPr>
                <w:color w:val="1E4620"/>
              </w:rPr>
              <w:t xml:space="preserve">All numbers here line up with your tutorial’s answer key, including the production plan and the unrounded August value (5,922.5).</w:t>
            </w:r>
          </w:p>
          <w:p>
            <w:pPr>
              <w:spacing w:after="0" w:line="268"/>
            </w:pPr>
            <w:r>
              <w:rPr>
                <w:color w:val="1E4620"/>
              </w:rPr>
              <w:t xml:space="preserve">Two things are flagged where they come up: the answer key’s January capacity is a typo (it should be 5,760, not 5,580), and the production plan is only one of several valid answers (explained in section 3.8).</w:t>
            </w:r>
          </w:p>
        </w:tc>
      </w:tr>
    </w:tbl>
    <w:p>
      <w:pPr>
        <w:spacing w:after="40"/>
      </w:pPr>
    </w:p>
    <w:p>
      <w:pPr>
        <w:pStyle w:val="Heading2"/>
      </w:pPr>
      <w:r>
        <w:t xml:space="preserve">The vocabulary you need (read this first)</w:t>
      </w:r>
    </w:p>
    <w:p>
      <w:pPr>
        <w:spacing w:after="120" w:line="278"/>
      </w:pPr>
      <w:r>
        <w:t xml:space="preserve">Six words appear again and again. If these make sense, the whole tutorial makes sense.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100"/>
        <w:gridCol w:w="10580"/>
      </w:tblGrid>
      <w:tr>
        <w:trPr>
          <w:tblHeader/>
        </w:trPr>
        <w:tc>
          <w:tcPr>
            <w:tcW w:type="dxa" w:w="3100"/>
            <w:tcBorders>
              <w:top w:val="single" w:color="B4C6E7" w:sz="1"/>
              <w:left w:val="single" w:color="B4C6E7" w:sz="1"/>
              <w:bottom w:val="single" w:color="B4C6E7" w:sz="1"/>
              <w:right w:val="single" w:color="B4C6E7" w:sz="1"/>
            </w:tcBorders>
            <w:shd w:fill="1F3864" w:val="clear"/>
            <w:tcMar>
              <w:top w:type="dxa" w:w="50"/>
              <w:left w:type="dxa" w:w="90"/>
              <w:bottom w:type="dxa" w:w="50"/>
              <w:right w:type="dxa" w:w="90"/>
            </w:tcMar>
          </w:tcPr>
          <w:p>
            <w:r>
              <w:rPr>
                <w:b/>
                <w:bCs/>
                <w:color w:val="FFFFFF"/>
                <w:sz w:val="18"/>
                <w:szCs w:val="18"/>
              </w:rPr>
              <w:t xml:space="preserve">Word</w:t>
            </w:r>
          </w:p>
        </w:tc>
        <w:tc>
          <w:tcPr>
            <w:tcW w:type="dxa" w:w="10580"/>
            <w:tcBorders>
              <w:top w:val="single" w:color="B4C6E7" w:sz="1"/>
              <w:left w:val="single" w:color="B4C6E7" w:sz="1"/>
              <w:bottom w:val="single" w:color="B4C6E7" w:sz="1"/>
              <w:right w:val="single" w:color="B4C6E7" w:sz="1"/>
            </w:tcBorders>
            <w:shd w:fill="1F3864" w:val="clear"/>
            <w:tcMar>
              <w:top w:type="dxa" w:w="50"/>
              <w:left w:type="dxa" w:w="90"/>
              <w:bottom w:type="dxa" w:w="50"/>
              <w:right w:type="dxa" w:w="90"/>
            </w:tcMar>
          </w:tcPr>
          <w:p>
            <w:r>
              <w:rPr>
                <w:b/>
                <w:bCs/>
                <w:color w:val="FFFFFF"/>
                <w:sz w:val="18"/>
                <w:szCs w:val="18"/>
              </w:rPr>
              <w:t xml:space="preserve">What it means (in plain English)</w:t>
            </w:r>
          </w:p>
        </w:tc>
      </w:tr>
      <w:tr>
        <w:tc>
          <w:tcPr>
            <w:tcW w:type="dxa" w:w="310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b/>
                <w:bCs/>
                <w:color w:val="1F3864"/>
                <w:sz w:val="18"/>
                <w:szCs w:val="18"/>
              </w:rPr>
              <w:t xml:space="preserve">Sales forecast</w:t>
            </w:r>
          </w:p>
        </w:tc>
        <w:tc>
          <w:tcPr>
            <w:tcW w:type="dxa" w:w="1058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sz w:val="18"/>
                <w:szCs w:val="18"/>
              </w:rPr>
              <w:t xml:space="preserve">Our best guess of how many pairs of shoes customers will buy each month. We are predicting the future from last year’s sales.</w:t>
            </w:r>
          </w:p>
        </w:tc>
      </w:tr>
      <w:tr>
        <w:tc>
          <w:tcPr>
            <w:tcW w:type="dxa" w:w="310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b/>
                <w:bCs/>
                <w:color w:val="1F3864"/>
                <w:sz w:val="18"/>
                <w:szCs w:val="18"/>
              </w:rPr>
              <w:t xml:space="preserve">Promotion</w:t>
            </w:r>
          </w:p>
        </w:tc>
        <w:tc>
          <w:tcPr>
            <w:tcW w:type="dxa" w:w="1058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sz w:val="18"/>
                <w:szCs w:val="18"/>
              </w:rPr>
              <w:t xml:space="preserve">A special marketing push (a sale, an advert) that temporarily lifts demand above its normal level. We treat promotion sales separately from “normal” sales.</w:t>
            </w:r>
          </w:p>
        </w:tc>
      </w:tr>
      <w:tr>
        <w:tc>
          <w:tcPr>
            <w:tcW w:type="dxa" w:w="310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b/>
                <w:bCs/>
                <w:color w:val="1F3864"/>
                <w:sz w:val="18"/>
                <w:szCs w:val="18"/>
              </w:rPr>
              <w:t xml:space="preserve">Base (or base demand)</w:t>
            </w:r>
          </w:p>
        </w:tc>
        <w:tc>
          <w:tcPr>
            <w:tcW w:type="dxa" w:w="1058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sz w:val="18"/>
                <w:szCs w:val="18"/>
              </w:rPr>
              <w:t xml:space="preserve">The “normal,” repeatable level of sales with the one-off promotion bumps stripped out. Growth is applied to this clean number, not to a promotion spike.</w:t>
            </w:r>
          </w:p>
        </w:tc>
      </w:tr>
      <w:tr>
        <w:tc>
          <w:tcPr>
            <w:tcW w:type="dxa" w:w="310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b/>
                <w:bCs/>
                <w:color w:val="1F3864"/>
                <w:sz w:val="18"/>
                <w:szCs w:val="18"/>
              </w:rPr>
              <w:t xml:space="preserve">Capacity</w:t>
            </w:r>
          </w:p>
        </w:tc>
        <w:tc>
          <w:tcPr>
            <w:tcW w:type="dxa" w:w="1058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sz w:val="18"/>
                <w:szCs w:val="18"/>
              </w:rPr>
              <w:t xml:space="preserve">The most pairs the factory can physically make in a month if it runs flat out: pairs-per-hour × hours-per-day × working-days.</w:t>
            </w:r>
          </w:p>
        </w:tc>
      </w:tr>
      <w:tr>
        <w:tc>
          <w:tcPr>
            <w:tcW w:type="dxa" w:w="310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b/>
                <w:bCs/>
                <w:color w:val="1F3864"/>
                <w:sz w:val="18"/>
                <w:szCs w:val="18"/>
              </w:rPr>
              <w:t xml:space="preserve">Utilization</w:t>
            </w:r>
          </w:p>
        </w:tc>
        <w:tc>
          <w:tcPr>
            <w:tcW w:type="dxa" w:w="1058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sz w:val="18"/>
                <w:szCs w:val="18"/>
              </w:rPr>
              <w:t xml:space="preserve">How hard the factory is working = production ÷ capacity, written as a %. We keep it at 99% or less so there is room for breakdowns and changeovers.</w:t>
            </w:r>
          </w:p>
        </w:tc>
      </w:tr>
      <w:tr>
        <w:tc>
          <w:tcPr>
            <w:tcW w:type="dxa" w:w="310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b/>
                <w:bCs/>
                <w:color w:val="1F3864"/>
                <w:sz w:val="18"/>
                <w:szCs w:val="18"/>
              </w:rPr>
              <w:t xml:space="preserve">Inventory</w:t>
            </w:r>
          </w:p>
        </w:tc>
        <w:tc>
          <w:tcPr>
            <w:tcW w:type="dxa" w:w="1058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sz w:val="18"/>
                <w:szCs w:val="18"/>
              </w:rPr>
              <w:t xml:space="preserve">Finished shoes sitting in the warehouse, ready to sell. It goes up when we make more than we sell, and down when we sell more than we make.</w:t>
            </w:r>
          </w:p>
        </w:tc>
      </w:tr>
      <w:tr>
        <w:tc>
          <w:tcPr>
            <w:tcW w:type="dxa" w:w="310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b/>
                <w:bCs/>
                <w:color w:val="1F3864"/>
                <w:sz w:val="18"/>
                <w:szCs w:val="18"/>
              </w:rPr>
              <w:t xml:space="preserve">Safety stock</w:t>
            </w:r>
          </w:p>
        </w:tc>
        <w:tc>
          <w:tcPr>
            <w:tcW w:type="dxa" w:w="1058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sz w:val="18"/>
                <w:szCs w:val="18"/>
              </w:rPr>
              <w:t xml:space="preserve">A minimum cushion of inventory (here, 100 pairs) we always try to keep, so a surprise in demand does not cause a “stockout” (running out).</w:t>
            </w:r>
          </w:p>
        </w:tc>
      </w:tr>
      <w:tr>
        <w:tc>
          <w:tcPr>
            <w:tcW w:type="dxa" w:w="310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b/>
                <w:bCs/>
                <w:color w:val="1F3864"/>
                <w:sz w:val="18"/>
                <w:szCs w:val="18"/>
              </w:rPr>
              <w:t xml:space="preserve">Production plan</w:t>
            </w:r>
          </w:p>
        </w:tc>
        <w:tc>
          <w:tcPr>
            <w:tcW w:type="dxa" w:w="1058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sz w:val="18"/>
                <w:szCs w:val="18"/>
              </w:rPr>
              <w:t xml:space="preserve">Our decision of how many pairs to actually make each month — balancing demand, capacity and inventory.</w:t>
            </w:r>
          </w:p>
        </w:tc>
      </w:tr>
    </w:tbl>
    <w:p>
      <w:pPr>
        <w:pStyle w:val="Heading1"/>
        <w:pageBreakBefore/>
      </w:pPr>
      <w:r>
        <w:t xml:space="preserve">1.  The big picture — where this fits in the book</w:t>
      </w:r>
    </w:p>
    <w:p>
      <w:pPr>
        <w:spacing w:after="120" w:line="278"/>
      </w:pPr>
      <w:r>
        <w:t xml:space="preserve">Chapter 4 of the textbook describes how a manufacturer plans production as a chain of steps:</w:t>
      </w:r>
    </w:p>
    <w:p>
      <w:pPr>
        <w:spacing w:after="120" w:before="60"/>
        <w:jc w:val="center"/>
      </w:pPr>
      <w:r>
        <w:rPr>
          <w:b/>
          <w:bCs/>
          <w:color w:val="2E5496"/>
          <w:sz w:val="22"/>
          <w:szCs w:val="22"/>
        </w:rPr>
        <w:t xml:space="preserve">Sales forecasting  →  Sales &amp; operations planning (S&amp;OP)  →  Demand management  →  MRP  →  Detailed scheduling  →  Production</w:t>
      </w:r>
    </w:p>
    <w:p>
      <w:pPr>
        <w:spacing w:after="120" w:line="278"/>
      </w:pPr>
      <w:r>
        <w:t xml:space="preserve">This tutorial covers only the first two steps. In the book these are taught with a snack-bar company called Fitter Snacker; Footloose Sports is the very same problem with shoe numbers, so we copy the book’s method exactly.</w:t>
      </w:r>
    </w:p>
    <w:p>
      <w:pPr>
        <w:pStyle w:val="ListParagraph"/>
        <w:numPr>
          <w:ilvl w:val="0"/>
          <w:numId w:val="2"/>
        </w:numPr>
        <w:spacing w:after="80" w:line="272"/>
      </w:pPr>
      <w:r>
        <w:rPr>
          <w:b/>
          <w:bCs/>
        </w:rPr>
        <w:t xml:space="preserve">Step 1 — Sales forecasting</w:t>
      </w:r>
      <w:r>
        <w:t xml:space="preserve">  answers “how many shoes will we sell each month next year?” We start from last year’s sales, remove last year’s promotion bumps to get a clean base, grow that base by an expected percentage, then add the promotions planned for this year.</w:t>
      </w:r>
    </w:p>
    <w:p>
      <w:pPr>
        <w:pStyle w:val="ListParagraph"/>
        <w:numPr>
          <w:ilvl w:val="0"/>
          <w:numId w:val="2"/>
        </w:numPr>
        <w:spacing w:after="80" w:line="272"/>
      </w:pPr>
      <w:r>
        <w:rPr>
          <w:b/>
          <w:bCs/>
        </w:rPr>
        <w:t xml:space="preserve">Step 2 — Sales &amp; operations planning</w:t>
      </w:r>
      <w:r>
        <w:t xml:space="preserve">  answers “how many shoes should we make each month, and can the factory keep up?” We turn the forecast into a production plan that meets demand, respects capacity, and keeps a safety-stock cushion.</w:t>
      </w:r>
    </w:p>
    <w:p>
      <w:pPr>
        <w:spacing w:after="4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2E5496" w:sz="1"/>
              <w:left w:val="single" w:color="C55A11" w:sz="20"/>
              <w:bottom w:val="single" w:color="2E5496" w:sz="1"/>
              <w:right w:val="single" w:color="2E5496" w:sz="1"/>
            </w:tcBorders>
            <w:shd w:fill="2E5496" w:val="clear"/>
            <w:tcMar>
              <w:top w:type="dxa" w:w="140"/>
              <w:left w:type="dxa" w:w="200"/>
              <w:bottom w:type="dxa" w:w="140"/>
              <w:right w:type="dxa" w:w="200"/>
            </w:tcMar>
          </w:tcPr>
          <w:p>
            <w:pPr>
              <w:spacing w:after="70"/>
            </w:pPr>
            <w:r>
              <w:rPr>
                <w:b/>
                <w:bCs/>
                <w:color w:val="FFFFFF"/>
              </w:rPr>
              <w:t xml:space="preserve">The single most important idea in this whole tutorial</w:t>
            </w:r>
          </w:p>
          <w:p>
            <w:pPr>
              <w:spacing w:after="60" w:line="268"/>
            </w:pPr>
            <w:r>
              <w:rPr>
                <w:color w:val="FFFFFF"/>
              </w:rPr>
              <w:t xml:space="preserve">You cannot just “make exactly what you forecast” every month. The factory has a fixed capacity, and demand is seasonal (higher around festive periods).</w:t>
            </w:r>
          </w:p>
          <w:p>
            <w:pPr>
              <w:spacing w:after="60" w:line="268"/>
            </w:pPr>
            <w:r>
              <w:rPr>
                <w:color w:val="FFFFFF"/>
              </w:rPr>
              <w:t xml:space="preserve">When a busy month needs more shoes than the factory can make that month, you must make extra shoes earlier, in the quiet months, and store them as inventory.</w:t>
            </w:r>
          </w:p>
          <w:p>
            <w:pPr>
              <w:spacing w:after="0" w:line="268"/>
            </w:pPr>
            <w:r>
              <w:rPr>
                <w:color w:val="FFFFFF"/>
              </w:rPr>
              <w:t xml:space="preserve">That is exactly Footloose’s December problem: forecast demand is 6,477 pairs, but the December factory can only make 5,702 pairs at 99% — less than demand. The gap is covered from inventory built up earlier in the year.</w:t>
            </w:r>
          </w:p>
        </w:tc>
      </w:tr>
    </w:tbl>
    <w:p>
      <w:pPr>
        <w:spacing w:after="60"/>
      </w:pPr>
    </w:p>
    <w:p>
      <w:pPr>
        <w:pStyle w:val="Heading2"/>
        <w:pageBreakBefore/>
      </w:pPr>
      <w:r>
        <w:t xml:space="preserve">The information the tutorial gave us</w:t>
      </w:r>
    </w:p>
    <w:p>
      <w:pPr>
        <w:spacing w:after="120" w:line="278"/>
      </w:pPr>
      <w:r>
        <w:t xml:space="preserve">Before calculating, let us list every fact from the question in one place. Everything below comes straight from the tutorial sheet.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100"/>
        <w:gridCol w:w="10580"/>
      </w:tblGrid>
      <w:tr>
        <w:trPr>
          <w:tblHeader/>
        </w:trPr>
        <w:tc>
          <w:tcPr>
            <w:tcW w:type="dxa" w:w="3100"/>
            <w:tcBorders>
              <w:top w:val="single" w:color="B4C6E7" w:sz="1"/>
              <w:left w:val="single" w:color="B4C6E7" w:sz="1"/>
              <w:bottom w:val="single" w:color="B4C6E7" w:sz="1"/>
              <w:right w:val="single" w:color="B4C6E7" w:sz="1"/>
            </w:tcBorders>
            <w:shd w:fill="1F3864" w:val="clear"/>
            <w:tcMar>
              <w:top w:type="dxa" w:w="50"/>
              <w:left w:type="dxa" w:w="90"/>
              <w:bottom w:type="dxa" w:w="50"/>
              <w:right w:type="dxa" w:w="90"/>
            </w:tcMar>
          </w:tcPr>
          <w:p>
            <w:r>
              <w:rPr>
                <w:b/>
                <w:bCs/>
                <w:color w:val="FFFFFF"/>
                <w:sz w:val="18"/>
                <w:szCs w:val="18"/>
              </w:rPr>
              <w:t xml:space="preserve">Word</w:t>
            </w:r>
          </w:p>
        </w:tc>
        <w:tc>
          <w:tcPr>
            <w:tcW w:type="dxa" w:w="10580"/>
            <w:tcBorders>
              <w:top w:val="single" w:color="B4C6E7" w:sz="1"/>
              <w:left w:val="single" w:color="B4C6E7" w:sz="1"/>
              <w:bottom w:val="single" w:color="B4C6E7" w:sz="1"/>
              <w:right w:val="single" w:color="B4C6E7" w:sz="1"/>
            </w:tcBorders>
            <w:shd w:fill="1F3864" w:val="clear"/>
            <w:tcMar>
              <w:top w:type="dxa" w:w="50"/>
              <w:left w:type="dxa" w:w="90"/>
              <w:bottom w:type="dxa" w:w="50"/>
              <w:right w:type="dxa" w:w="90"/>
            </w:tcMar>
          </w:tcPr>
          <w:p>
            <w:r>
              <w:rPr>
                <w:b/>
                <w:bCs/>
                <w:color w:val="FFFFFF"/>
                <w:sz w:val="18"/>
                <w:szCs w:val="18"/>
              </w:rPr>
              <w:t xml:space="preserve">What it means (in plain English)</w:t>
            </w:r>
          </w:p>
        </w:tc>
      </w:tr>
      <w:tr>
        <w:tc>
          <w:tcPr>
            <w:tcW w:type="dxa" w:w="310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b/>
                <w:bCs/>
                <w:color w:val="1F3864"/>
                <w:sz w:val="18"/>
                <w:szCs w:val="18"/>
              </w:rPr>
              <w:t xml:space="preserve">Last year’s sales (2022)</w:t>
            </w:r>
          </w:p>
        </w:tc>
        <w:tc>
          <w:tcPr>
            <w:tcW w:type="dxa" w:w="1058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sz w:val="18"/>
                <w:szCs w:val="18"/>
              </w:rPr>
              <w:t xml:space="preserve">Given month-by-month in the “Previous Year” row (4,000 in Jan rising to 6,300 in Dec).</w:t>
            </w:r>
          </w:p>
        </w:tc>
      </w:tr>
      <w:tr>
        <w:tc>
          <w:tcPr>
            <w:tcW w:type="dxa" w:w="310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b/>
                <w:bCs/>
                <w:color w:val="1F3864"/>
                <w:sz w:val="18"/>
                <w:szCs w:val="18"/>
              </w:rPr>
              <w:t xml:space="preserve">Last year’s promotions</w:t>
            </w:r>
          </w:p>
        </w:tc>
        <w:tc>
          <w:tcPr>
            <w:tcW w:type="dxa" w:w="1058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sz w:val="18"/>
                <w:szCs w:val="18"/>
              </w:rPr>
              <w:t xml:space="preserve">+200 pairs in June, +400 in November, +400 in December.</w:t>
            </w:r>
          </w:p>
        </w:tc>
      </w:tr>
      <w:tr>
        <w:tc>
          <w:tcPr>
            <w:tcW w:type="dxa" w:w="310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b/>
                <w:bCs/>
                <w:color w:val="1F3864"/>
                <w:sz w:val="18"/>
                <w:szCs w:val="18"/>
              </w:rPr>
              <w:t xml:space="preserve">Expected growth</w:t>
            </w:r>
          </w:p>
        </w:tc>
        <w:tc>
          <w:tcPr>
            <w:tcW w:type="dxa" w:w="1058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sz w:val="18"/>
                <w:szCs w:val="18"/>
              </w:rPr>
              <w:t xml:space="preserve">3% more than last year.</w:t>
            </w:r>
          </w:p>
        </w:tc>
      </w:tr>
      <w:tr>
        <w:tc>
          <w:tcPr>
            <w:tcW w:type="dxa" w:w="310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b/>
                <w:bCs/>
                <w:color w:val="1F3864"/>
                <w:sz w:val="18"/>
                <w:szCs w:val="18"/>
              </w:rPr>
              <w:t xml:space="preserve">This year’s promotions</w:t>
            </w:r>
          </w:p>
        </w:tc>
        <w:tc>
          <w:tcPr>
            <w:tcW w:type="dxa" w:w="1058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sz w:val="18"/>
                <w:szCs w:val="18"/>
              </w:rPr>
              <w:t xml:space="preserve">A holiday promotion: +500 pairs in November and +400 in December. (Important: there is NO June promotion this year.)</w:t>
            </w:r>
          </w:p>
        </w:tc>
      </w:tr>
      <w:tr>
        <w:tc>
          <w:tcPr>
            <w:tcW w:type="dxa" w:w="310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b/>
                <w:bCs/>
                <w:color w:val="1F3864"/>
                <w:sz w:val="18"/>
                <w:szCs w:val="18"/>
              </w:rPr>
              <w:t xml:space="preserve">Factory speed</w:t>
            </w:r>
          </w:p>
        </w:tc>
        <w:tc>
          <w:tcPr>
            <w:tcW w:type="dxa" w:w="1058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sz w:val="18"/>
                <w:szCs w:val="18"/>
              </w:rPr>
              <w:t xml:space="preserve">40 pairs per hour, 8 hours per working day.</w:t>
            </w:r>
          </w:p>
        </w:tc>
      </w:tr>
      <w:tr>
        <w:tc>
          <w:tcPr>
            <w:tcW w:type="dxa" w:w="310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b/>
                <w:bCs/>
                <w:color w:val="1F3864"/>
                <w:sz w:val="18"/>
                <w:szCs w:val="18"/>
              </w:rPr>
              <w:t xml:space="preserve">Working days</w:t>
            </w:r>
          </w:p>
        </w:tc>
        <w:tc>
          <w:tcPr>
            <w:tcW w:type="dxa" w:w="1058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sz w:val="18"/>
                <w:szCs w:val="18"/>
              </w:rPr>
              <w:t xml:space="preserve">Vary by month (16 to 22) — given in the spreadsheet.</w:t>
            </w:r>
          </w:p>
        </w:tc>
      </w:tr>
      <w:tr>
        <w:tc>
          <w:tcPr>
            <w:tcW w:type="dxa" w:w="310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b/>
                <w:bCs/>
                <w:color w:val="1F3864"/>
                <w:sz w:val="18"/>
                <w:szCs w:val="18"/>
              </w:rPr>
              <w:t xml:space="preserve">Opening inventory</w:t>
            </w:r>
          </w:p>
        </w:tc>
        <w:tc>
          <w:tcPr>
            <w:tcW w:type="dxa" w:w="1058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sz w:val="18"/>
                <w:szCs w:val="18"/>
              </w:rPr>
              <w:t xml:space="preserve">500 pairs already in the warehouse at the start (end of the prior December).</w:t>
            </w:r>
          </w:p>
        </w:tc>
      </w:tr>
      <w:tr>
        <w:tc>
          <w:tcPr>
            <w:tcW w:type="dxa" w:w="310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b/>
                <w:bCs/>
                <w:color w:val="1F3864"/>
                <w:sz w:val="18"/>
                <w:szCs w:val="18"/>
              </w:rPr>
              <w:t xml:space="preserve">Safety stock</w:t>
            </w:r>
          </w:p>
        </w:tc>
        <w:tc>
          <w:tcPr>
            <w:tcW w:type="dxa" w:w="1058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sz w:val="18"/>
                <w:szCs w:val="18"/>
              </w:rPr>
              <w:t xml:space="preserve">100 pairs minimum at all times.</w:t>
            </w:r>
          </w:p>
        </w:tc>
      </w:tr>
      <w:tr>
        <w:tc>
          <w:tcPr>
            <w:tcW w:type="dxa" w:w="310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b/>
                <w:bCs/>
                <w:color w:val="1F3864"/>
                <w:sz w:val="18"/>
                <w:szCs w:val="18"/>
              </w:rPr>
              <w:t xml:space="preserve">Capacity rule</w:t>
            </w:r>
          </w:p>
        </w:tc>
        <w:tc>
          <w:tcPr>
            <w:tcW w:type="dxa" w:w="1058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sz w:val="18"/>
                <w:szCs w:val="18"/>
              </w:rPr>
              <w:t xml:space="preserve">Keep utilization at 99% or less.</w:t>
            </w:r>
          </w:p>
        </w:tc>
      </w:tr>
      <w:tr>
        <w:tc>
          <w:tcPr>
            <w:tcW w:type="dxa" w:w="310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b/>
                <w:bCs/>
                <w:color w:val="1F3864"/>
                <w:sz w:val="18"/>
                <w:szCs w:val="18"/>
              </w:rPr>
              <w:t xml:space="preserve">Festive note</w:t>
            </w:r>
          </w:p>
        </w:tc>
        <w:tc>
          <w:tcPr>
            <w:tcW w:type="dxa" w:w="10580"/>
            <w:tcBorders>
              <w:top w:val="single" w:color="B4C6E7" w:sz="1"/>
              <w:left w:val="single" w:color="B4C6E7" w:sz="1"/>
              <w:bottom w:val="single" w:color="B4C6E7" w:sz="1"/>
              <w:right w:val="single" w:color="B4C6E7" w:sz="1"/>
            </w:tcBorders>
            <w:shd w:fill="FFFFFF" w:val="clear"/>
            <w:tcMar>
              <w:top w:type="dxa" w:w="46"/>
              <w:left w:type="dxa" w:w="90"/>
              <w:bottom w:type="dxa" w:w="46"/>
              <w:right w:type="dxa" w:w="90"/>
            </w:tcMar>
          </w:tcPr>
          <w:p>
            <w:r>
              <w:rPr>
                <w:sz w:val="18"/>
                <w:szCs w:val="18"/>
              </w:rPr>
              <w:t xml:space="preserve">Expect higher demand around June and December, so plan a buffer.</w:t>
            </w:r>
          </w:p>
        </w:tc>
      </w:tr>
      <w:tr>
        <w:tc>
          <w:tcPr>
            <w:tcW w:type="dxa" w:w="310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b/>
                <w:bCs/>
                <w:color w:val="1F3864"/>
                <w:sz w:val="18"/>
                <w:szCs w:val="18"/>
              </w:rPr>
              <w:t xml:space="preserve">Product mix</w:t>
            </w:r>
          </w:p>
        </w:tc>
        <w:tc>
          <w:tcPr>
            <w:tcW w:type="dxa" w:w="10580"/>
            <w:tcBorders>
              <w:top w:val="single" w:color="B4C6E7" w:sz="1"/>
              <w:left w:val="single" w:color="B4C6E7" w:sz="1"/>
              <w:bottom w:val="single" w:color="B4C6E7" w:sz="1"/>
              <w:right w:val="single" w:color="B4C6E7" w:sz="1"/>
            </w:tcBorders>
            <w:shd w:fill="EAF0F8" w:val="clear"/>
            <w:tcMar>
              <w:top w:type="dxa" w:w="46"/>
              <w:left w:type="dxa" w:w="90"/>
              <w:bottom w:type="dxa" w:w="46"/>
              <w:right w:type="dxa" w:w="90"/>
            </w:tcMar>
          </w:tcPr>
          <w:p>
            <w:r>
              <w:rPr>
                <w:sz w:val="18"/>
                <w:szCs w:val="18"/>
              </w:rPr>
              <w:t xml:space="preserve">Three shoe models share production: Air Storm 50%, Sky High 30%, Gravity Kicks 20%.</w:t>
            </w:r>
          </w:p>
        </w:tc>
      </w:tr>
    </w:tbl>
    <w:p>
      <w:pPr>
        <w:pStyle w:val="Heading1"/>
        <w:pageBreakBefore/>
      </w:pPr>
      <w:r>
        <w:t xml:space="preserve">2.  Activity 1 — Building the Sales Forecast</w:t>
      </w:r>
    </w:p>
    <w:p>
      <w:pPr>
        <w:spacing w:after="120" w:line="278"/>
      </w:pPr>
      <w:r>
        <w:t xml:space="preserve">We fill in five new rows underneath the data we were given. Think of it as a little pipeline: each row takes the row above it and changes it slightly, until the last row is our forecast. Here is the plan of attack:</w:t>
      </w:r>
    </w:p>
    <w:p>
      <w:pPr>
        <w:spacing w:after="120" w:before="60"/>
        <w:jc w:val="center"/>
      </w:pPr>
      <w:r>
        <w:rPr>
          <w:b/>
          <w:bCs/>
          <w:color w:val="2E5496"/>
          <w:sz w:val="22"/>
          <w:szCs w:val="22"/>
        </w:rPr>
        <w:t xml:space="preserve">Previous year  −  last-year promotion  =  Base   →   ×3% growth   →   Base projection  +  this-year promotion  =  FORECAST</w:t>
      </w:r>
    </w:p>
    <w:p>
      <w:pPr>
        <w:spacing w:after="40" w:before="170"/>
        <w:jc w:val="center"/>
      </w:pPr>
      <w:r>
        <w:drawing>
          <wp:inline distT="0" distB="0" distL="0" distR="0">
            <wp:extent cx="6286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1743075"/>
                    </a:xfrm>
                    <a:prstGeom prst="rect">
                      <a:avLst/>
                    </a:prstGeom>
                  </pic:spPr>
                </pic:pic>
              </a:graphicData>
            </a:graphic>
          </wp:inline>
        </w:drawing>
      </w:r>
    </w:p>
    <w:p>
      <w:pPr>
        <w:spacing w:after="170"/>
        <w:jc w:val="center"/>
      </w:pPr>
      <w:r>
        <w:rPr>
          <w:i/>
          <w:iCs/>
          <w:color w:val="595959"/>
          <w:sz w:val="18"/>
          <w:szCs w:val="18"/>
        </w:rPr>
        <w:t xml:space="preserve">Figure 1 — The forecast as a pipeline: take last year’s number, remove its old promotion, grow it 3%, then add this year’s promotion (November shown).</w:t>
      </w:r>
    </w:p>
    <w:p>
      <w:pPr>
        <w:pStyle w:val="Heading2"/>
      </w:pPr>
      <w:r>
        <w:t xml:space="preserve">2.1  What each row means, and why we need it</w:t>
      </w:r>
    </w:p>
    <w:p>
      <w:pPr>
        <w:pStyle w:val="ListParagraph"/>
        <w:numPr>
          <w:ilvl w:val="0"/>
          <w:numId w:val="3"/>
        </w:numPr>
        <w:spacing w:after="80" w:line="272"/>
      </w:pPr>
      <w:r>
        <w:rPr>
          <w:b/>
          <w:bCs/>
          <w:color w:val="1F3864"/>
        </w:rPr>
        <w:t xml:space="preserve">Previous Year base = Previous Year − last year’s promotion.</w:t>
      </w:r>
      <w:r>
        <w:t xml:space="preserve">  Why subtract? Last year a promotion artificially boosted June, November and December. If we grew those inflated numbers, we would be assuming the promotion happens again at the same time — double-counting it. So we strip the promotion out first to reveal the “normal” demand.</w:t>
      </w:r>
    </w:p>
    <w:p>
      <w:pPr>
        <w:pStyle w:val="ListParagraph"/>
        <w:numPr>
          <w:ilvl w:val="0"/>
          <w:numId w:val="3"/>
        </w:numPr>
        <w:spacing w:after="80" w:line="272"/>
      </w:pPr>
      <w:r>
        <w:rPr>
          <w:b/>
          <w:bCs/>
          <w:color w:val="1F3864"/>
        </w:rPr>
        <w:t xml:space="preserve">Growth [3%] = base × 3%.</w:t>
      </w:r>
      <w:r>
        <w:t xml:space="preserve">  The company expects 3% more customers than last year (from trade research). We apply that 3% to the clean base. 3% as a decimal is 0.03.</w:t>
      </w:r>
    </w:p>
    <w:p>
      <w:pPr>
        <w:pStyle w:val="ListParagraph"/>
        <w:numPr>
          <w:ilvl w:val="0"/>
          <w:numId w:val="3"/>
        </w:numPr>
        <w:spacing w:after="80" w:line="272"/>
      </w:pPr>
      <w:r>
        <w:rPr>
          <w:b/>
          <w:bCs/>
          <w:color w:val="1F3864"/>
        </w:rPr>
        <w:t xml:space="preserve">Base projection = base + growth.</w:t>
      </w:r>
      <w:r>
        <w:t xml:space="preserve">  This is the expected normal demand for 2023, before any promotion.</w:t>
      </w:r>
    </w:p>
    <w:p>
      <w:pPr>
        <w:pStyle w:val="ListParagraph"/>
        <w:numPr>
          <w:ilvl w:val="0"/>
          <w:numId w:val="3"/>
        </w:numPr>
        <w:spacing w:after="80" w:line="272"/>
      </w:pPr>
      <w:r>
        <w:rPr>
          <w:b/>
          <w:bCs/>
          <w:color w:val="1F3864"/>
        </w:rPr>
        <w:t xml:space="preserve">Promotion (this year).</w:t>
      </w:r>
      <w:r>
        <w:t xml:space="preserve">  We now add back the promotions the company actually plans for 2023: +500 in November, +400 in December. Nothing in June this year.</w:t>
      </w:r>
    </w:p>
    <w:p>
      <w:pPr>
        <w:pStyle w:val="ListParagraph"/>
        <w:numPr>
          <w:ilvl w:val="0"/>
          <w:numId w:val="3"/>
        </w:numPr>
        <w:spacing w:after="80" w:line="272"/>
      </w:pPr>
      <w:r>
        <w:rPr>
          <w:b/>
          <w:bCs/>
          <w:color w:val="1F3864"/>
        </w:rPr>
        <w:t xml:space="preserve">Sales forecast = base projection + this year’s promotion.</w:t>
      </w:r>
      <w:r>
        <w:t xml:space="preserve">  The final answer. In months with no promotion, the forecast is simply the base projection.</w:t>
      </w:r>
    </w:p>
    <w:p>
      <w:pPr>
        <w:spacing w:after="40"/>
      </w:pPr>
    </w:p>
    <w:p>
      <w:pPr>
        <w:pStyle w:val="Heading2"/>
      </w:pPr>
      <w:r>
        <w:t xml:space="preserve">2.2  A full worked example — let us do November end-to-end</w:t>
      </w:r>
    </w:p>
    <w:p>
      <w:pPr>
        <w:spacing w:after="120" w:line="278"/>
      </w:pPr>
      <w:r>
        <w:t xml:space="preserve">November is the most interesting month because it has both a last-year promotion (which we remove) and a this-year promotion (which we add). Follow all five steps: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FFF4E8" w:sz="1"/>
              <w:left w:val="single" w:color="C55A11" w:sz="20"/>
              <w:bottom w:val="single" w:color="FFF4E8" w:sz="1"/>
              <w:right w:val="single" w:color="FFF4E8" w:sz="1"/>
            </w:tcBorders>
            <w:shd w:fill="FFF4E8" w:val="clear"/>
            <w:tcMar>
              <w:top w:type="dxa" w:w="140"/>
              <w:left w:type="dxa" w:w="200"/>
              <w:bottom w:type="dxa" w:w="140"/>
              <w:right w:type="dxa" w:w="200"/>
            </w:tcMar>
          </w:tcPr>
          <w:p>
            <w:pPr>
              <w:spacing w:after="70"/>
            </w:pPr>
            <w:r>
              <w:rPr>
                <w:b/>
                <w:bCs/>
                <w:color w:val="5A3210"/>
              </w:rPr>
              <w:t xml:space="preserve">November, step by step</w:t>
            </w:r>
          </w:p>
          <w:p>
            <w:pPr>
              <w:spacing w:after="60" w:line="268"/>
            </w:pPr>
            <w:r>
              <w:rPr>
                <w:b/>
                <w:bCs/>
                <w:color w:val="5A3210"/>
              </w:rPr>
              <w:t xml:space="preserve">Start: last year’s November sales  </w:t>
            </w:r>
            <w:r>
              <w:rPr>
                <w:rFonts w:ascii="Consolas" w:cs="Consolas" w:eastAsia="Consolas" w:hAnsi="Consolas"/>
                <w:color w:val="5A3210"/>
              </w:rPr>
              <w:t xml:space="preserve">= 6,200 pairs</w:t>
            </w:r>
          </w:p>
          <w:p>
            <w:pPr>
              <w:spacing w:after="60" w:line="268"/>
            </w:pPr>
            <w:r>
              <w:rPr>
                <w:b/>
                <w:bCs/>
                <w:color w:val="5A3210"/>
              </w:rPr>
              <w:t xml:space="preserve">Step 1 — remove last year’s promo:  </w:t>
            </w:r>
            <w:r>
              <w:rPr>
                <w:rFonts w:ascii="Consolas" w:cs="Consolas" w:eastAsia="Consolas" w:hAnsi="Consolas"/>
                <w:color w:val="5A3210"/>
              </w:rPr>
              <w:t xml:space="preserve">6,200 − 400 = 5,800  (this is the base)</w:t>
            </w:r>
          </w:p>
          <w:p>
            <w:pPr>
              <w:spacing w:after="60" w:line="268"/>
            </w:pPr>
            <w:r>
              <w:rPr>
                <w:b/>
                <w:bCs/>
                <w:color w:val="5A3210"/>
              </w:rPr>
              <w:t xml:space="preserve">Step 2 — apply 3% growth:  </w:t>
            </w:r>
            <w:r>
              <w:rPr>
                <w:rFonts w:ascii="Consolas" w:cs="Consolas" w:eastAsia="Consolas" w:hAnsi="Consolas"/>
                <w:color w:val="5A3210"/>
              </w:rPr>
              <w:t xml:space="preserve">5,800 × 0.03 = 174  (the growth in pairs)</w:t>
            </w:r>
          </w:p>
          <w:p>
            <w:pPr>
              <w:spacing w:after="60" w:line="268"/>
            </w:pPr>
            <w:r>
              <w:rPr>
                <w:b/>
                <w:bCs/>
                <w:color w:val="5A3210"/>
              </w:rPr>
              <w:t xml:space="preserve">Step 3 — base projection:  </w:t>
            </w:r>
            <w:r>
              <w:rPr>
                <w:rFonts w:ascii="Consolas" w:cs="Consolas" w:eastAsia="Consolas" w:hAnsi="Consolas"/>
                <w:color w:val="5A3210"/>
              </w:rPr>
              <w:t xml:space="preserve">5,800 + 174 = 5,974</w:t>
            </w:r>
          </w:p>
          <w:p>
            <w:pPr>
              <w:spacing w:after="60" w:line="268"/>
            </w:pPr>
            <w:r>
              <w:rPr>
                <w:b/>
                <w:bCs/>
                <w:color w:val="5A3210"/>
              </w:rPr>
              <w:t xml:space="preserve">Step 4 — this year’s promo:  </w:t>
            </w:r>
            <w:r>
              <w:rPr>
                <w:rFonts w:ascii="Consolas" w:cs="Consolas" w:eastAsia="Consolas" w:hAnsi="Consolas"/>
                <w:color w:val="5A3210"/>
              </w:rPr>
              <w:t xml:space="preserve">+ 500 pairs (planned holiday promotion)</w:t>
            </w:r>
          </w:p>
          <w:p>
            <w:pPr>
              <w:spacing w:after="0" w:line="268"/>
            </w:pPr>
            <w:r>
              <w:rPr>
                <w:b/>
                <w:bCs/>
                <w:color w:val="5A3210"/>
              </w:rPr>
              <w:t xml:space="preserve">Step 5 — sales forecast:  </w:t>
            </w:r>
            <w:r>
              <w:rPr>
                <w:rFonts w:ascii="Consolas" w:cs="Consolas" w:eastAsia="Consolas" w:hAnsi="Consolas"/>
                <w:color w:val="5A3210"/>
              </w:rPr>
              <w:t xml:space="preserve">5,974 + 500 = 6,474 pairs</w:t>
            </w:r>
          </w:p>
        </w:tc>
      </w:tr>
    </w:tbl>
    <w:p>
      <w:pPr>
        <w:spacing w:after="40"/>
      </w:pPr>
    </w:p>
    <w:p>
      <w:pPr>
        <w:spacing w:after="120" w:line="278"/>
      </w:pPr>
      <w:r>
        <w:t xml:space="preserve">Two quick contrast examples so the pattern is clear: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FFF4E8" w:sz="1"/>
              <w:left w:val="single" w:color="C55A11" w:sz="20"/>
              <w:bottom w:val="single" w:color="FFF4E8" w:sz="1"/>
              <w:right w:val="single" w:color="FFF4E8" w:sz="1"/>
            </w:tcBorders>
            <w:shd w:fill="FFF4E8" w:val="clear"/>
            <w:tcMar>
              <w:top w:type="dxa" w:w="140"/>
              <w:left w:type="dxa" w:w="200"/>
              <w:bottom w:type="dxa" w:w="140"/>
              <w:right w:type="dxa" w:w="200"/>
            </w:tcMar>
          </w:tcPr>
          <w:p>
            <w:pPr>
              <w:spacing w:after="70"/>
            </w:pPr>
            <w:r>
              <w:rPr>
                <w:b/>
                <w:bCs/>
                <w:color w:val="5A3210"/>
              </w:rPr>
              <w:t xml:space="preserve">January (a plain month — no promotion either year)</w:t>
            </w:r>
          </w:p>
          <w:p>
            <w:pPr>
              <w:spacing w:after="60" w:line="268"/>
            </w:pPr>
            <w:r>
              <w:rPr>
                <w:b/>
                <w:bCs/>
                <w:color w:val="5A3210"/>
              </w:rPr>
              <w:t xml:space="preserve">Base:  </w:t>
            </w:r>
            <w:r>
              <w:rPr>
                <w:rFonts w:ascii="Consolas" w:cs="Consolas" w:eastAsia="Consolas" w:hAnsi="Consolas"/>
                <w:color w:val="5A3210"/>
              </w:rPr>
              <w:t xml:space="preserve">4,000 − 0 = 4,000</w:t>
            </w:r>
          </w:p>
          <w:p>
            <w:pPr>
              <w:spacing w:after="60" w:line="268"/>
            </w:pPr>
            <w:r>
              <w:rPr>
                <w:b/>
                <w:bCs/>
                <w:color w:val="5A3210"/>
              </w:rPr>
              <w:t xml:space="preserve">Growth:  </w:t>
            </w:r>
            <w:r>
              <w:rPr>
                <w:rFonts w:ascii="Consolas" w:cs="Consolas" w:eastAsia="Consolas" w:hAnsi="Consolas"/>
                <w:color w:val="5A3210"/>
              </w:rPr>
              <w:t xml:space="preserve">4,000 × 0.03 = 120</w:t>
            </w:r>
          </w:p>
          <w:p>
            <w:pPr>
              <w:spacing w:after="60" w:line="268"/>
            </w:pPr>
            <w:r>
              <w:rPr>
                <w:b/>
                <w:bCs/>
                <w:color w:val="5A3210"/>
              </w:rPr>
              <w:t xml:space="preserve">Base projection:  </w:t>
            </w:r>
            <w:r>
              <w:rPr>
                <w:rFonts w:ascii="Consolas" w:cs="Consolas" w:eastAsia="Consolas" w:hAnsi="Consolas"/>
                <w:color w:val="5A3210"/>
              </w:rPr>
              <w:t xml:space="preserve">4,000 + 120 = 4,120</w:t>
            </w:r>
          </w:p>
          <w:p>
            <w:pPr>
              <w:spacing w:after="0" w:line="268"/>
            </w:pPr>
            <w:r>
              <w:rPr>
                <w:b/>
                <w:bCs/>
                <w:color w:val="5A3210"/>
              </w:rPr>
              <w:t xml:space="preserve">Forecast:  </w:t>
            </w:r>
            <w:r>
              <w:rPr>
                <w:rFonts w:ascii="Consolas" w:cs="Consolas" w:eastAsia="Consolas" w:hAnsi="Consolas"/>
                <w:color w:val="5A3210"/>
              </w:rPr>
              <w:t xml:space="preserve">4,120 + 0 = 4,120  (no promo, so forecast = base projection)</w:t>
            </w:r>
          </w:p>
        </w:tc>
      </w:tr>
    </w:tbl>
    <w:p>
      <w:pPr>
        <w:spacing w:after="3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FFF4E8" w:sz="1"/>
              <w:left w:val="single" w:color="C55A11" w:sz="20"/>
              <w:bottom w:val="single" w:color="FFF4E8" w:sz="1"/>
              <w:right w:val="single" w:color="FFF4E8" w:sz="1"/>
            </w:tcBorders>
            <w:shd w:fill="FFF4E8" w:val="clear"/>
            <w:tcMar>
              <w:top w:type="dxa" w:w="140"/>
              <w:left w:type="dxa" w:w="200"/>
              <w:bottom w:type="dxa" w:w="140"/>
              <w:right w:type="dxa" w:w="200"/>
            </w:tcMar>
          </w:tcPr>
          <w:p>
            <w:pPr>
              <w:spacing w:after="70"/>
            </w:pPr>
            <w:r>
              <w:rPr>
                <w:b/>
                <w:bCs/>
                <w:color w:val="5A3210"/>
              </w:rPr>
              <w:t xml:space="preserve">June (had a promo LAST year, none THIS year)</w:t>
            </w:r>
          </w:p>
          <w:p>
            <w:pPr>
              <w:spacing w:after="60" w:line="268"/>
            </w:pPr>
            <w:r>
              <w:rPr>
                <w:b/>
                <w:bCs/>
                <w:color w:val="5A3210"/>
              </w:rPr>
              <w:t xml:space="preserve">Base:  </w:t>
            </w:r>
            <w:r>
              <w:rPr>
                <w:rFonts w:ascii="Consolas" w:cs="Consolas" w:eastAsia="Consolas" w:hAnsi="Consolas"/>
                <w:color w:val="5A3210"/>
              </w:rPr>
              <w:t xml:space="preserve">5,500 − 200 = 5,300   (we remove last year’s +200 June promo)</w:t>
            </w:r>
          </w:p>
          <w:p>
            <w:pPr>
              <w:spacing w:after="60" w:line="268"/>
            </w:pPr>
            <w:r>
              <w:rPr>
                <w:b/>
                <w:bCs/>
                <w:color w:val="5A3210"/>
              </w:rPr>
              <w:t xml:space="preserve">Growth:  </w:t>
            </w:r>
            <w:r>
              <w:rPr>
                <w:rFonts w:ascii="Consolas" w:cs="Consolas" w:eastAsia="Consolas" w:hAnsi="Consolas"/>
                <w:color w:val="5A3210"/>
              </w:rPr>
              <w:t xml:space="preserve">5,300 × 0.03 = 159</w:t>
            </w:r>
          </w:p>
          <w:p>
            <w:pPr>
              <w:spacing w:after="60" w:line="268"/>
            </w:pPr>
            <w:r>
              <w:rPr>
                <w:b/>
                <w:bCs/>
                <w:color w:val="5A3210"/>
              </w:rPr>
              <w:t xml:space="preserve">Base projection:  </w:t>
            </w:r>
            <w:r>
              <w:rPr>
                <w:rFonts w:ascii="Consolas" w:cs="Consolas" w:eastAsia="Consolas" w:hAnsi="Consolas"/>
                <w:color w:val="5A3210"/>
              </w:rPr>
              <w:t xml:space="preserve">5,300 + 159 = 5,459</w:t>
            </w:r>
          </w:p>
          <w:p>
            <w:pPr>
              <w:spacing w:after="0" w:line="268"/>
            </w:pPr>
            <w:r>
              <w:rPr>
                <w:b/>
                <w:bCs/>
                <w:color w:val="5A3210"/>
              </w:rPr>
              <w:t xml:space="preserve">Forecast:  </w:t>
            </w:r>
            <w:r>
              <w:rPr>
                <w:rFonts w:ascii="Consolas" w:cs="Consolas" w:eastAsia="Consolas" w:hAnsi="Consolas"/>
                <w:color w:val="5A3210"/>
              </w:rPr>
              <w:t xml:space="preserve">5,459 + 0 = 5,459   (no June promo planned this year)</w:t>
            </w:r>
          </w:p>
        </w:tc>
      </w:tr>
    </w:tbl>
    <w:p>
      <w:pPr>
        <w:spacing w:after="4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F2F6FB" w:sz="1"/>
              <w:left w:val="single" w:color="2E5496" w:sz="20"/>
              <w:bottom w:val="single" w:color="F2F6FB" w:sz="1"/>
              <w:right w:val="single" w:color="F2F6FB" w:sz="1"/>
            </w:tcBorders>
            <w:shd w:fill="F2F6FB" w:val="clear"/>
            <w:tcMar>
              <w:top w:type="dxa" w:w="140"/>
              <w:left w:type="dxa" w:w="200"/>
              <w:bottom w:type="dxa" w:w="140"/>
              <w:right w:type="dxa" w:w="200"/>
            </w:tcMar>
          </w:tcPr>
          <w:p>
            <w:pPr>
              <w:spacing w:after="70"/>
            </w:pPr>
            <w:r>
              <w:rPr>
                <w:b/>
                <w:bCs/>
                <w:color w:val="21364F"/>
              </w:rPr>
              <w:t xml:space="preserve">About August — the half-pair (matches the answer key)</w:t>
            </w:r>
          </w:p>
          <w:p>
            <w:pPr>
              <w:spacing w:after="60" w:line="268"/>
            </w:pPr>
            <w:r>
              <w:rPr>
                <w:color w:val="21364F"/>
              </w:rPr>
              <w:t xml:space="preserve">August base is 5,750. Growth = 5,750 × 0.03 = 172.5 pairs — a half-pair.</w:t>
            </w:r>
          </w:p>
          <w:p>
            <w:pPr>
              <w:spacing w:after="60" w:line="268"/>
            </w:pPr>
            <w:r>
              <w:rPr>
                <w:color w:val="21364F"/>
              </w:rPr>
              <w:t xml:space="preserve">The official answer key leaves this UNROUNDED, so August’s forecast is 5,922.5. This guide matches the key and keeps 5,922.5 throughout.</w:t>
            </w:r>
          </w:p>
          <w:p>
            <w:pPr>
              <w:spacing w:after="0" w:line="268"/>
            </w:pPr>
            <w:r>
              <w:rPr>
                <w:color w:val="21364F"/>
              </w:rPr>
              <w:t xml:space="preserve">In real life you cannot make half a shoe, so you would round to 173 (forecast 5,923). Both are accepted — but use 5,922.5 to match the key.</w:t>
            </w:r>
          </w:p>
        </w:tc>
      </w:tr>
    </w:tbl>
    <w:p>
      <w:pPr>
        <w:pStyle w:val="Heading2"/>
      </w:pPr>
      <w:r>
        <w:t xml:space="preserve">2.3  Every month’s calculation in one table</w:t>
      </w:r>
    </w:p>
    <w:p>
      <w:pPr>
        <w:spacing w:after="120" w:line="278"/>
      </w:pPr>
      <w:r>
        <w:t xml:space="preserve">The table below repeats the five steps for all twelve months, so you can see exactly how each forecast number was produced. Read each row left to right; the last column is the answer. (November and December are highlighted because they carry the new promotions.)</w:t>
      </w:r>
    </w:p>
    <w:tbl>
      <w:tblPr>
        <w:tblW w:type="dxa" w:w="1194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320"/>
        <w:gridCol w:w="1320"/>
        <w:gridCol w:w="1280"/>
        <w:gridCol w:w="1280"/>
        <w:gridCol w:w="1280"/>
        <w:gridCol w:w="1420"/>
        <w:gridCol w:w="1380"/>
        <w:gridCol w:w="1560"/>
      </w:tblGrid>
      <w:tr>
        <w:trPr>
          <w:tblHeader/>
        </w:trPr>
        <w:tc>
          <w:tcPr>
            <w:tcW w:type="dxa" w:w="11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left"/>
            </w:pPr>
            <w:r>
              <w:rPr>
                <w:b/>
                <w:bCs/>
                <w:color w:val="FFFFFF"/>
                <w:sz w:val="18"/>
                <w:szCs w:val="18"/>
              </w:rPr>
              <w:t xml:space="preserve">Month</w:t>
            </w:r>
          </w:p>
        </w:tc>
        <w:tc>
          <w:tcPr>
            <w:tcW w:type="dxa" w:w="132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Prev. year</w:t>
            </w:r>
          </w:p>
        </w:tc>
        <w:tc>
          <w:tcPr>
            <w:tcW w:type="dxa" w:w="132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 LY promo</w:t>
            </w:r>
          </w:p>
        </w:tc>
        <w:tc>
          <w:tcPr>
            <w:tcW w:type="dxa" w:w="128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 Base</w:t>
            </w:r>
          </w:p>
        </w:tc>
        <w:tc>
          <w:tcPr>
            <w:tcW w:type="dxa" w:w="128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Base × 3%</w:t>
            </w:r>
          </w:p>
        </w:tc>
        <w:tc>
          <w:tcPr>
            <w:tcW w:type="dxa" w:w="128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 Growth</w:t>
            </w:r>
          </w:p>
        </w:tc>
        <w:tc>
          <w:tcPr>
            <w:tcW w:type="dxa" w:w="142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 Base proj.</w:t>
            </w:r>
          </w:p>
        </w:tc>
        <w:tc>
          <w:tcPr>
            <w:tcW w:type="dxa" w:w="138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 TY promo</w:t>
            </w:r>
          </w:p>
        </w:tc>
        <w:tc>
          <w:tcPr>
            <w:tcW w:type="dxa" w:w="156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 FORECAST</w:t>
            </w:r>
          </w:p>
        </w:tc>
      </w:tr>
      <w:tr>
        <w:tc>
          <w:tcPr>
            <w:tcW w:type="dxa" w:w="11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Jan</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4,000</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0</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4,000</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120</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120</w:t>
            </w:r>
          </w:p>
        </w:tc>
        <w:tc>
          <w:tcPr>
            <w:tcW w:type="dxa" w:w="14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4,120</w:t>
            </w:r>
          </w:p>
        </w:tc>
        <w:tc>
          <w:tcPr>
            <w:tcW w:type="dxa" w:w="13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0</w:t>
            </w:r>
          </w:p>
        </w:tc>
        <w:tc>
          <w:tcPr>
            <w:tcW w:type="dxa" w:w="156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4,120</w:t>
            </w:r>
          </w:p>
        </w:tc>
      </w:tr>
      <w:tr>
        <w:tc>
          <w:tcPr>
            <w:tcW w:type="dxa" w:w="11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Feb</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4,000</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0</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4,000</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120</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120</w:t>
            </w:r>
          </w:p>
        </w:tc>
        <w:tc>
          <w:tcPr>
            <w:tcW w:type="dxa" w:w="14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4,120</w:t>
            </w:r>
          </w:p>
        </w:tc>
        <w:tc>
          <w:tcPr>
            <w:tcW w:type="dxa" w:w="13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0</w:t>
            </w:r>
          </w:p>
        </w:tc>
        <w:tc>
          <w:tcPr>
            <w:tcW w:type="dxa" w:w="156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4,120</w:t>
            </w:r>
          </w:p>
        </w:tc>
      </w:tr>
      <w:tr>
        <w:tc>
          <w:tcPr>
            <w:tcW w:type="dxa" w:w="11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Mar</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4,500</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0</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4,500</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135</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135</w:t>
            </w:r>
          </w:p>
        </w:tc>
        <w:tc>
          <w:tcPr>
            <w:tcW w:type="dxa" w:w="14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4,635</w:t>
            </w:r>
          </w:p>
        </w:tc>
        <w:tc>
          <w:tcPr>
            <w:tcW w:type="dxa" w:w="13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0</w:t>
            </w:r>
          </w:p>
        </w:tc>
        <w:tc>
          <w:tcPr>
            <w:tcW w:type="dxa" w:w="156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4,635</w:t>
            </w:r>
          </w:p>
        </w:tc>
      </w:tr>
      <w:tr>
        <w:tc>
          <w:tcPr>
            <w:tcW w:type="dxa" w:w="11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Apr</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5,000</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0</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5,000</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150</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150</w:t>
            </w:r>
          </w:p>
        </w:tc>
        <w:tc>
          <w:tcPr>
            <w:tcW w:type="dxa" w:w="14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5,150</w:t>
            </w:r>
          </w:p>
        </w:tc>
        <w:tc>
          <w:tcPr>
            <w:tcW w:type="dxa" w:w="13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0</w:t>
            </w:r>
          </w:p>
        </w:tc>
        <w:tc>
          <w:tcPr>
            <w:tcW w:type="dxa" w:w="156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5,150</w:t>
            </w:r>
          </w:p>
        </w:tc>
      </w:tr>
      <w:tr>
        <w:tc>
          <w:tcPr>
            <w:tcW w:type="dxa" w:w="11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May</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5,000</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0</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5,000</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150</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150</w:t>
            </w:r>
          </w:p>
        </w:tc>
        <w:tc>
          <w:tcPr>
            <w:tcW w:type="dxa" w:w="14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5,150</w:t>
            </w:r>
          </w:p>
        </w:tc>
        <w:tc>
          <w:tcPr>
            <w:tcW w:type="dxa" w:w="13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0</w:t>
            </w:r>
          </w:p>
        </w:tc>
        <w:tc>
          <w:tcPr>
            <w:tcW w:type="dxa" w:w="156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5,150</w:t>
            </w:r>
          </w:p>
        </w:tc>
      </w:tr>
      <w:tr>
        <w:tc>
          <w:tcPr>
            <w:tcW w:type="dxa" w:w="11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June</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5,500</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200</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5,300</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159</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159</w:t>
            </w:r>
          </w:p>
        </w:tc>
        <w:tc>
          <w:tcPr>
            <w:tcW w:type="dxa" w:w="14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5,459</w:t>
            </w:r>
          </w:p>
        </w:tc>
        <w:tc>
          <w:tcPr>
            <w:tcW w:type="dxa" w:w="13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0</w:t>
            </w:r>
          </w:p>
        </w:tc>
        <w:tc>
          <w:tcPr>
            <w:tcW w:type="dxa" w:w="156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5,459</w:t>
            </w:r>
          </w:p>
        </w:tc>
      </w:tr>
      <w:tr>
        <w:tc>
          <w:tcPr>
            <w:tcW w:type="dxa" w:w="11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July</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5,500</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0</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5,500</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165</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165</w:t>
            </w:r>
          </w:p>
        </w:tc>
        <w:tc>
          <w:tcPr>
            <w:tcW w:type="dxa" w:w="14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5,665</w:t>
            </w:r>
          </w:p>
        </w:tc>
        <w:tc>
          <w:tcPr>
            <w:tcW w:type="dxa" w:w="13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0</w:t>
            </w:r>
          </w:p>
        </w:tc>
        <w:tc>
          <w:tcPr>
            <w:tcW w:type="dxa" w:w="156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5,665</w:t>
            </w:r>
          </w:p>
        </w:tc>
      </w:tr>
      <w:tr>
        <w:tc>
          <w:tcPr>
            <w:tcW w:type="dxa" w:w="11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Aug</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5,750</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0</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5,750</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172.5</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172.5</w:t>
            </w:r>
          </w:p>
        </w:tc>
        <w:tc>
          <w:tcPr>
            <w:tcW w:type="dxa" w:w="14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5,922.5</w:t>
            </w:r>
          </w:p>
        </w:tc>
        <w:tc>
          <w:tcPr>
            <w:tcW w:type="dxa" w:w="13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0</w:t>
            </w:r>
          </w:p>
        </w:tc>
        <w:tc>
          <w:tcPr>
            <w:tcW w:type="dxa" w:w="156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5,922.5</w:t>
            </w:r>
          </w:p>
        </w:tc>
      </w:tr>
      <w:tr>
        <w:tc>
          <w:tcPr>
            <w:tcW w:type="dxa" w:w="11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Sep</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6,000</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0</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6,000</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180</w:t>
            </w:r>
          </w:p>
        </w:tc>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180</w:t>
            </w:r>
          </w:p>
        </w:tc>
        <w:tc>
          <w:tcPr>
            <w:tcW w:type="dxa" w:w="14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6,180</w:t>
            </w:r>
          </w:p>
        </w:tc>
        <w:tc>
          <w:tcPr>
            <w:tcW w:type="dxa" w:w="13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0</w:t>
            </w:r>
          </w:p>
        </w:tc>
        <w:tc>
          <w:tcPr>
            <w:tcW w:type="dxa" w:w="156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6,180</w:t>
            </w:r>
          </w:p>
        </w:tc>
      </w:tr>
      <w:tr>
        <w:tc>
          <w:tcPr>
            <w:tcW w:type="dxa" w:w="11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Oct</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6,000</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0</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6,000</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180</w:t>
            </w:r>
          </w:p>
        </w:tc>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180</w:t>
            </w:r>
          </w:p>
        </w:tc>
        <w:tc>
          <w:tcPr>
            <w:tcW w:type="dxa" w:w="14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6,180</w:t>
            </w:r>
          </w:p>
        </w:tc>
        <w:tc>
          <w:tcPr>
            <w:tcW w:type="dxa" w:w="13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0</w:t>
            </w:r>
          </w:p>
        </w:tc>
        <w:tc>
          <w:tcPr>
            <w:tcW w:type="dxa" w:w="156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6,180</w:t>
            </w:r>
          </w:p>
        </w:tc>
      </w:tr>
      <w:tr>
        <w:tc>
          <w:tcPr>
            <w:tcW w:type="dxa" w:w="11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left"/>
            </w:pPr>
            <w:r>
              <w:rPr>
                <w:b/>
                <w:bCs/>
                <w:color w:val="1F3864"/>
                <w:sz w:val="18"/>
                <w:szCs w:val="18"/>
              </w:rPr>
              <w:t xml:space="preserve">Nov</w:t>
            </w:r>
          </w:p>
        </w:tc>
        <w:tc>
          <w:tcPr>
            <w:tcW w:type="dxa" w:w="13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6,200</w:t>
            </w:r>
          </w:p>
        </w:tc>
        <w:tc>
          <w:tcPr>
            <w:tcW w:type="dxa" w:w="13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400</w:t>
            </w:r>
          </w:p>
        </w:tc>
        <w:tc>
          <w:tcPr>
            <w:tcW w:type="dxa" w:w="12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5,800</w:t>
            </w:r>
          </w:p>
        </w:tc>
        <w:tc>
          <w:tcPr>
            <w:tcW w:type="dxa" w:w="12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174</w:t>
            </w:r>
          </w:p>
        </w:tc>
        <w:tc>
          <w:tcPr>
            <w:tcW w:type="dxa" w:w="12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174</w:t>
            </w:r>
          </w:p>
        </w:tc>
        <w:tc>
          <w:tcPr>
            <w:tcW w:type="dxa" w:w="14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5,974</w:t>
            </w:r>
          </w:p>
        </w:tc>
        <w:tc>
          <w:tcPr>
            <w:tcW w:type="dxa" w:w="13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500</w:t>
            </w:r>
          </w:p>
        </w:tc>
        <w:tc>
          <w:tcPr>
            <w:tcW w:type="dxa" w:w="156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6,474</w:t>
            </w:r>
          </w:p>
        </w:tc>
      </w:tr>
      <w:tr>
        <w:tc>
          <w:tcPr>
            <w:tcW w:type="dxa" w:w="11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left"/>
            </w:pPr>
            <w:r>
              <w:rPr>
                <w:b/>
                <w:bCs/>
                <w:color w:val="1F3864"/>
                <w:sz w:val="18"/>
                <w:szCs w:val="18"/>
              </w:rPr>
              <w:t xml:space="preserve">Dec</w:t>
            </w:r>
          </w:p>
        </w:tc>
        <w:tc>
          <w:tcPr>
            <w:tcW w:type="dxa" w:w="13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6,300</w:t>
            </w:r>
          </w:p>
        </w:tc>
        <w:tc>
          <w:tcPr>
            <w:tcW w:type="dxa" w:w="13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400</w:t>
            </w:r>
          </w:p>
        </w:tc>
        <w:tc>
          <w:tcPr>
            <w:tcW w:type="dxa" w:w="12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5,900</w:t>
            </w:r>
          </w:p>
        </w:tc>
        <w:tc>
          <w:tcPr>
            <w:tcW w:type="dxa" w:w="12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177</w:t>
            </w:r>
          </w:p>
        </w:tc>
        <w:tc>
          <w:tcPr>
            <w:tcW w:type="dxa" w:w="12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177</w:t>
            </w:r>
          </w:p>
        </w:tc>
        <w:tc>
          <w:tcPr>
            <w:tcW w:type="dxa" w:w="14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6,077</w:t>
            </w:r>
          </w:p>
        </w:tc>
        <w:tc>
          <w:tcPr>
            <w:tcW w:type="dxa" w:w="13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400</w:t>
            </w:r>
          </w:p>
        </w:tc>
        <w:tc>
          <w:tcPr>
            <w:tcW w:type="dxa" w:w="156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6,477</w:t>
            </w:r>
          </w:p>
        </w:tc>
      </w:tr>
    </w:tbl>
    <w:p>
      <w:pPr>
        <w:spacing w:after="120" w:line="278"/>
      </w:pPr>
      <w:r>
        <w:rPr>
          <w:i/>
          <w:iCs/>
          <w:color w:val="595959"/>
          <w:sz w:val="18"/>
          <w:szCs w:val="18"/>
        </w:rPr>
        <w:t xml:space="preserve">In the “Base × 3%” column, August is 172.5 (a half-pair). The answer key keeps it unrounded, so it flows straight through to the forecast as 5,922.5.</w:t>
      </w:r>
    </w:p>
    <w:p>
      <w:pPr>
        <w:pStyle w:val="Heading2"/>
      </w:pPr>
      <w:r>
        <w:t xml:space="preserve">2.4  The completed Sales Forecast table (the answer to Activity 1)</w:t>
      </w:r>
    </w:p>
    <w:p>
      <w:pPr>
        <w:spacing w:after="120" w:line="278"/>
      </w:pPr>
      <w:r>
        <w:t xml:space="preserve">This is the same information laid out exactly like the tutorial spreadsheet, with months across the top. The bold orange row is your forecast.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923"/>
        <w:gridCol w:w="923"/>
        <w:gridCol w:w="923"/>
        <w:gridCol w:w="923"/>
        <w:gridCol w:w="923"/>
        <w:gridCol w:w="923"/>
        <w:gridCol w:w="923"/>
        <w:gridCol w:w="923"/>
        <w:gridCol w:w="923"/>
        <w:gridCol w:w="923"/>
        <w:gridCol w:w="923"/>
        <w:gridCol w:w="927"/>
      </w:tblGrid>
      <w:tr>
        <w:trPr>
          <w:tblHeader/>
        </w:trPr>
        <w:tc>
          <w:tcPr>
            <w:tcW w:type="dxa" w:w="2600"/>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left"/>
            </w:pPr>
            <w:r>
              <w:rPr>
                <w:b/>
                <w:bCs/>
                <w:color w:val="FFFFFF"/>
                <w:sz w:val="17"/>
                <w:szCs w:val="17"/>
              </w:rPr>
              <w:t xml:space="preserve">Sales Forecasting</w:t>
            </w:r>
          </w:p>
        </w:tc>
        <w:tc>
          <w:tcPr>
            <w:tcW w:type="dxa" w:w="923"/>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Jan</w:t>
            </w:r>
          </w:p>
        </w:tc>
        <w:tc>
          <w:tcPr>
            <w:tcW w:type="dxa" w:w="923"/>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Feb</w:t>
            </w:r>
          </w:p>
        </w:tc>
        <w:tc>
          <w:tcPr>
            <w:tcW w:type="dxa" w:w="923"/>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Mar</w:t>
            </w:r>
          </w:p>
        </w:tc>
        <w:tc>
          <w:tcPr>
            <w:tcW w:type="dxa" w:w="923"/>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Apr</w:t>
            </w:r>
          </w:p>
        </w:tc>
        <w:tc>
          <w:tcPr>
            <w:tcW w:type="dxa" w:w="923"/>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May</w:t>
            </w:r>
          </w:p>
        </w:tc>
        <w:tc>
          <w:tcPr>
            <w:tcW w:type="dxa" w:w="923"/>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June</w:t>
            </w:r>
          </w:p>
        </w:tc>
        <w:tc>
          <w:tcPr>
            <w:tcW w:type="dxa" w:w="923"/>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July</w:t>
            </w:r>
          </w:p>
        </w:tc>
        <w:tc>
          <w:tcPr>
            <w:tcW w:type="dxa" w:w="923"/>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Aug</w:t>
            </w:r>
          </w:p>
        </w:tc>
        <w:tc>
          <w:tcPr>
            <w:tcW w:type="dxa" w:w="923"/>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Sep</w:t>
            </w:r>
          </w:p>
        </w:tc>
        <w:tc>
          <w:tcPr>
            <w:tcW w:type="dxa" w:w="923"/>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Oct</w:t>
            </w:r>
          </w:p>
        </w:tc>
        <w:tc>
          <w:tcPr>
            <w:tcW w:type="dxa" w:w="923"/>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Nov</w:t>
            </w:r>
          </w:p>
        </w:tc>
        <w:tc>
          <w:tcPr>
            <w:tcW w:type="dxa" w:w="927"/>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Dec</w:t>
            </w:r>
          </w:p>
        </w:tc>
      </w:tr>
      <w:tr>
        <w:tc>
          <w:tcPr>
            <w:tcW w:type="dxa" w:w="2600"/>
            <w:tcBorders>
              <w:top w:val="single" w:color="B4C6E7" w:sz="1"/>
              <w:left w:val="single" w:color="B4C6E7" w:sz="1"/>
              <w:bottom w:val="single" w:color="B4C6E7" w:sz="1"/>
              <w:right w:val="single" w:color="B4C6E7" w:sz="1"/>
            </w:tcBorders>
            <w:shd w:fill="EAF0F8" w:val="clear"/>
            <w:tcMar>
              <w:top w:type="dxa" w:w="40"/>
              <w:left w:type="dxa" w:w="90"/>
              <w:bottom w:type="dxa" w:w="40"/>
              <w:right w:type="dxa" w:w="60"/>
            </w:tcMar>
          </w:tcPr>
          <w:p>
            <w:r>
              <w:rPr>
                <w:b/>
                <w:bCs/>
                <w:color w:val="1F3864"/>
                <w:sz w:val="18"/>
                <w:szCs w:val="18"/>
              </w:rPr>
              <w:t xml:space="preserve">Previous Year (pairs sold)</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4,000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4,000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4,500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5,000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5,000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5,500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5,500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5,750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6,000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6,000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6,200</w:t>
            </w:r>
          </w:p>
        </w:tc>
        <w:tc>
          <w:tcPr>
            <w:tcW w:type="dxa" w:w="927"/>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6,300</w:t>
            </w:r>
          </w:p>
        </w:tc>
      </w:tr>
      <w:tr>
        <w:tc>
          <w:tcPr>
            <w:tcW w:type="dxa" w:w="2600"/>
            <w:tcBorders>
              <w:top w:val="single" w:color="B4C6E7" w:sz="1"/>
              <w:left w:val="single" w:color="B4C6E7" w:sz="1"/>
              <w:bottom w:val="single" w:color="B4C6E7" w:sz="1"/>
              <w:right w:val="single" w:color="B4C6E7" w:sz="1"/>
            </w:tcBorders>
            <w:shd w:fill="FFFFFF" w:val="clear"/>
            <w:tcMar>
              <w:top w:type="dxa" w:w="40"/>
              <w:left w:type="dxa" w:w="90"/>
              <w:bottom w:type="dxa" w:w="40"/>
              <w:right w:type="dxa" w:w="60"/>
            </w:tcMar>
          </w:tcPr>
          <w:p>
            <w:r>
              <w:rPr>
                <w:b/>
                <w:bCs/>
                <w:color w:val="1F3864"/>
                <w:sz w:val="18"/>
                <w:szCs w:val="18"/>
              </w:rPr>
              <w:t xml:space="preserve">Promotion (last year)</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200</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400</w:t>
            </w:r>
          </w:p>
        </w:tc>
        <w:tc>
          <w:tcPr>
            <w:tcW w:type="dxa" w:w="927"/>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400</w:t>
            </w:r>
          </w:p>
        </w:tc>
      </w:tr>
      <w:tr>
        <w:tc>
          <w:tcPr>
            <w:tcW w:type="dxa" w:w="2600"/>
            <w:tcBorders>
              <w:top w:val="single" w:color="B4C6E7" w:sz="1"/>
              <w:left w:val="single" w:color="B4C6E7" w:sz="1"/>
              <w:bottom w:val="single" w:color="B4C6E7" w:sz="1"/>
              <w:right w:val="single" w:color="B4C6E7" w:sz="1"/>
            </w:tcBorders>
            <w:shd w:fill="EAF0F8" w:val="clear"/>
            <w:tcMar>
              <w:top w:type="dxa" w:w="40"/>
              <w:left w:type="dxa" w:w="90"/>
              <w:bottom w:type="dxa" w:w="40"/>
              <w:right w:type="dxa" w:w="60"/>
            </w:tcMar>
          </w:tcPr>
          <w:p>
            <w:r>
              <w:rPr>
                <w:b/>
                <w:bCs/>
                <w:color w:val="1F3864"/>
                <w:sz w:val="18"/>
                <w:szCs w:val="18"/>
              </w:rPr>
              <w:t xml:space="preserve">Previous Year base</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4,000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4,000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4,500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5,000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5,000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5,300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5,500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5,750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6,000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6,000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5,800</w:t>
            </w:r>
          </w:p>
        </w:tc>
        <w:tc>
          <w:tcPr>
            <w:tcW w:type="dxa" w:w="927"/>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5,900</w:t>
            </w:r>
          </w:p>
        </w:tc>
      </w:tr>
      <w:tr>
        <w:tc>
          <w:tcPr>
            <w:tcW w:type="dxa" w:w="2600"/>
            <w:tcBorders>
              <w:top w:val="single" w:color="B4C6E7" w:sz="1"/>
              <w:left w:val="single" w:color="B4C6E7" w:sz="1"/>
              <w:bottom w:val="single" w:color="B4C6E7" w:sz="1"/>
              <w:right w:val="single" w:color="B4C6E7" w:sz="1"/>
            </w:tcBorders>
            <w:shd w:fill="FFFFFF" w:val="clear"/>
            <w:tcMar>
              <w:top w:type="dxa" w:w="40"/>
              <w:left w:type="dxa" w:w="90"/>
              <w:bottom w:type="dxa" w:w="40"/>
              <w:right w:type="dxa" w:w="60"/>
            </w:tcMar>
          </w:tcPr>
          <w:p>
            <w:r>
              <w:rPr>
                <w:b/>
                <w:bCs/>
                <w:color w:val="1F3864"/>
                <w:sz w:val="18"/>
                <w:szCs w:val="18"/>
              </w:rPr>
              <w:t xml:space="preserve">Growth [3%]</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120</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120</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135</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150</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150</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159</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165</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172.5</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180</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180</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174</w:t>
            </w:r>
          </w:p>
        </w:tc>
        <w:tc>
          <w:tcPr>
            <w:tcW w:type="dxa" w:w="927"/>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177</w:t>
            </w:r>
          </w:p>
        </w:tc>
      </w:tr>
      <w:tr>
        <w:tc>
          <w:tcPr>
            <w:tcW w:type="dxa" w:w="2600"/>
            <w:tcBorders>
              <w:top w:val="single" w:color="B4C6E7" w:sz="1"/>
              <w:left w:val="single" w:color="B4C6E7" w:sz="1"/>
              <w:bottom w:val="single" w:color="B4C6E7" w:sz="1"/>
              <w:right w:val="single" w:color="B4C6E7" w:sz="1"/>
            </w:tcBorders>
            <w:shd w:fill="EAF0F8" w:val="clear"/>
            <w:tcMar>
              <w:top w:type="dxa" w:w="40"/>
              <w:left w:type="dxa" w:w="90"/>
              <w:bottom w:type="dxa" w:w="40"/>
              <w:right w:type="dxa" w:w="60"/>
            </w:tcMar>
          </w:tcPr>
          <w:p>
            <w:r>
              <w:rPr>
                <w:b/>
                <w:bCs/>
                <w:color w:val="1F3864"/>
                <w:sz w:val="18"/>
                <w:szCs w:val="18"/>
              </w:rPr>
              <w:t xml:space="preserve">Base projection</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4,120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4,120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4,635</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5,150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5,150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5,459</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5,665</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5,922.5</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6,180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6,180</w:t>
            </w:r>
          </w:p>
        </w:tc>
        <w:tc>
          <w:tcPr>
            <w:tcW w:type="dxa" w:w="923"/>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5,974</w:t>
            </w:r>
          </w:p>
        </w:tc>
        <w:tc>
          <w:tcPr>
            <w:tcW w:type="dxa" w:w="927"/>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6,077</w:t>
            </w:r>
          </w:p>
        </w:tc>
      </w:tr>
      <w:tr>
        <w:tc>
          <w:tcPr>
            <w:tcW w:type="dxa" w:w="2600"/>
            <w:tcBorders>
              <w:top w:val="single" w:color="B4C6E7" w:sz="1"/>
              <w:left w:val="single" w:color="B4C6E7" w:sz="1"/>
              <w:bottom w:val="single" w:color="B4C6E7" w:sz="1"/>
              <w:right w:val="single" w:color="B4C6E7" w:sz="1"/>
            </w:tcBorders>
            <w:shd w:fill="FFFFFF" w:val="clear"/>
            <w:tcMar>
              <w:top w:type="dxa" w:w="40"/>
              <w:left w:type="dxa" w:w="90"/>
              <w:bottom w:type="dxa" w:w="40"/>
              <w:right w:type="dxa" w:w="60"/>
            </w:tcMar>
          </w:tcPr>
          <w:p>
            <w:r>
              <w:rPr>
                <w:b/>
                <w:bCs/>
                <w:color w:val="1F3864"/>
                <w:sz w:val="18"/>
                <w:szCs w:val="18"/>
              </w:rPr>
              <w:t xml:space="preserve">Promotion (this year)</w:t>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923"/>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500</w:t>
            </w:r>
          </w:p>
        </w:tc>
        <w:tc>
          <w:tcPr>
            <w:tcW w:type="dxa" w:w="927"/>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400</w:t>
            </w:r>
          </w:p>
        </w:tc>
      </w:tr>
      <w:tr>
        <w:tc>
          <w:tcPr>
            <w:tcW w:type="dxa" w:w="2600"/>
            <w:tcBorders>
              <w:top w:val="single" w:color="B4C6E7" w:sz="1"/>
              <w:left w:val="single" w:color="B4C6E7" w:sz="1"/>
              <w:bottom w:val="single" w:color="B4C6E7" w:sz="1"/>
              <w:right w:val="single" w:color="B4C6E7" w:sz="1"/>
            </w:tcBorders>
            <w:shd w:fill="FDEFE3" w:val="clear"/>
            <w:tcMar>
              <w:top w:type="dxa" w:w="40"/>
              <w:left w:type="dxa" w:w="90"/>
              <w:bottom w:type="dxa" w:w="40"/>
              <w:right w:type="dxa" w:w="60"/>
            </w:tcMar>
          </w:tcPr>
          <w:p>
            <w:r>
              <w:rPr>
                <w:b/>
                <w:bCs/>
                <w:color w:val="1F3864"/>
                <w:sz w:val="18"/>
                <w:szCs w:val="18"/>
              </w:rPr>
              <w:t xml:space="preserve">Sales forecast</w:t>
            </w:r>
          </w:p>
        </w:tc>
        <w:tc>
          <w:tcPr>
            <w:tcW w:type="dxa" w:w="923"/>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4,120</w:t>
            </w:r>
          </w:p>
        </w:tc>
        <w:tc>
          <w:tcPr>
            <w:tcW w:type="dxa" w:w="923"/>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4,120</w:t>
            </w:r>
          </w:p>
        </w:tc>
        <w:tc>
          <w:tcPr>
            <w:tcW w:type="dxa" w:w="923"/>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4,635</w:t>
            </w:r>
          </w:p>
        </w:tc>
        <w:tc>
          <w:tcPr>
            <w:tcW w:type="dxa" w:w="923"/>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5,150</w:t>
            </w:r>
          </w:p>
        </w:tc>
        <w:tc>
          <w:tcPr>
            <w:tcW w:type="dxa" w:w="923"/>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5,150</w:t>
            </w:r>
          </w:p>
        </w:tc>
        <w:tc>
          <w:tcPr>
            <w:tcW w:type="dxa" w:w="923"/>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5,459</w:t>
            </w:r>
          </w:p>
        </w:tc>
        <w:tc>
          <w:tcPr>
            <w:tcW w:type="dxa" w:w="923"/>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5,665</w:t>
            </w:r>
          </w:p>
        </w:tc>
        <w:tc>
          <w:tcPr>
            <w:tcW w:type="dxa" w:w="923"/>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5,922.5</w:t>
            </w:r>
          </w:p>
        </w:tc>
        <w:tc>
          <w:tcPr>
            <w:tcW w:type="dxa" w:w="923"/>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6,180</w:t>
            </w:r>
          </w:p>
        </w:tc>
        <w:tc>
          <w:tcPr>
            <w:tcW w:type="dxa" w:w="923"/>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6,180</w:t>
            </w:r>
          </w:p>
        </w:tc>
        <w:tc>
          <w:tcPr>
            <w:tcW w:type="dxa" w:w="923"/>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6,474</w:t>
            </w:r>
          </w:p>
        </w:tc>
        <w:tc>
          <w:tcPr>
            <w:tcW w:type="dxa" w:w="927"/>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6,477</w:t>
            </w:r>
          </w:p>
        </w:tc>
      </w:tr>
    </w:tbl>
    <w:p>
      <w:pPr>
        <w:spacing w:after="70"/>
      </w:pPr>
    </w:p>
    <w:p>
      <w:pPr>
        <w:pStyle w:val="Heading3"/>
      </w:pPr>
      <w:r>
        <w:t xml:space="preserve">How to put this in Excel (months Jan–Dec are columns C–N)</w:t>
      </w:r>
    </w:p>
    <w:p>
      <w:pPr>
        <w:spacing w:after="120" w:line="278"/>
      </w:pPr>
      <w:r>
        <w:t xml:space="preserve">Type these formulas once in the January column (C) and drag them across to December (N). Storing the 3% in one cell ($C$27) means you can change it in a single place and the whole forecast updates.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9480"/>
      </w:tblGrid>
      <w:tr>
        <w:trPr>
          <w:tblHeader/>
        </w:trPr>
        <w:tc>
          <w:tcPr>
            <w:tcW w:type="dxa" w:w="4200"/>
            <w:tcBorders>
              <w:top w:val="single" w:color="B4C6E7" w:sz="1"/>
              <w:left w:val="single" w:color="B4C6E7" w:sz="1"/>
              <w:bottom w:val="single" w:color="B4C6E7" w:sz="1"/>
              <w:right w:val="single" w:color="B4C6E7" w:sz="1"/>
            </w:tcBorders>
            <w:shd w:fill="2E5496" w:val="clear"/>
            <w:tcMar>
              <w:top w:type="dxa" w:w="50"/>
              <w:left w:type="dxa" w:w="90"/>
              <w:bottom w:type="dxa" w:w="50"/>
              <w:right w:type="dxa" w:w="90"/>
            </w:tcMar>
          </w:tcPr>
          <w:p>
            <w:r>
              <w:rPr>
                <w:b/>
                <w:bCs/>
                <w:color w:val="FFFFFF"/>
                <w:sz w:val="18"/>
                <w:szCs w:val="18"/>
              </w:rPr>
              <w:t xml:space="preserve">Spreadsheet row / cell</w:t>
            </w:r>
          </w:p>
        </w:tc>
        <w:tc>
          <w:tcPr>
            <w:tcW w:type="dxa" w:w="9480"/>
            <w:tcBorders>
              <w:top w:val="single" w:color="B4C6E7" w:sz="1"/>
              <w:left w:val="single" w:color="B4C6E7" w:sz="1"/>
              <w:bottom w:val="single" w:color="B4C6E7" w:sz="1"/>
              <w:right w:val="single" w:color="B4C6E7" w:sz="1"/>
            </w:tcBorders>
            <w:shd w:fill="2E5496" w:val="clear"/>
            <w:tcMar>
              <w:top w:type="dxa" w:w="50"/>
              <w:left w:type="dxa" w:w="90"/>
              <w:bottom w:type="dxa" w:w="50"/>
              <w:right w:type="dxa" w:w="90"/>
            </w:tcMar>
          </w:tcPr>
          <w:p>
            <w:r>
              <w:rPr>
                <w:b/>
                <w:bCs/>
                <w:color w:val="FFFFFF"/>
                <w:sz w:val="18"/>
                <w:szCs w:val="18"/>
              </w:rPr>
              <w:t xml:space="preserve">Excel formula (and what it means)</w:t>
            </w:r>
          </w:p>
        </w:tc>
      </w:tr>
      <w:tr>
        <w:tc>
          <w:tcPr>
            <w:tcW w:type="dxa" w:w="420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b/>
                <w:bCs/>
                <w:color w:val="1F3864"/>
                <w:sz w:val="18"/>
                <w:szCs w:val="18"/>
              </w:rPr>
              <w:t xml:space="preserve">Previous Year base (row 7)</w:t>
            </w:r>
          </w:p>
        </w:tc>
        <w:tc>
          <w:tcPr>
            <w:tcW w:type="dxa" w:w="948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rFonts w:ascii="Consolas" w:cs="Consolas" w:eastAsia="Consolas" w:hAnsi="Consolas"/>
                <w:color w:val="1A4A7A"/>
                <w:sz w:val="18"/>
                <w:szCs w:val="18"/>
              </w:rPr>
              <w:t xml:space="preserve">=C5-N(C6)</w:t>
            </w:r>
            <w:r>
              <w:rPr>
                <w:color w:val="595959"/>
                <w:sz w:val="18"/>
                <w:szCs w:val="18"/>
              </w:rPr>
              <w:t xml:space="preserve">  — last year’s sales minus last year’s promotion</w:t>
            </w:r>
          </w:p>
        </w:tc>
      </w:tr>
      <w:tr>
        <w:tc>
          <w:tcPr>
            <w:tcW w:type="dxa" w:w="4200"/>
            <w:tcBorders>
              <w:top w:val="single" w:color="B4C6E7" w:sz="1"/>
              <w:left w:val="single" w:color="B4C6E7" w:sz="1"/>
              <w:bottom w:val="single" w:color="B4C6E7" w:sz="1"/>
              <w:right w:val="single" w:color="B4C6E7" w:sz="1"/>
            </w:tcBorders>
            <w:shd w:fill="FFFFFF" w:val="clear"/>
            <w:tcMar>
              <w:top w:type="dxa" w:w="40"/>
              <w:left w:type="dxa" w:w="90"/>
              <w:bottom w:type="dxa" w:w="40"/>
              <w:right w:type="dxa" w:w="90"/>
            </w:tcMar>
          </w:tcPr>
          <w:p>
            <w:r>
              <w:rPr>
                <w:b/>
                <w:bCs/>
                <w:color w:val="1F3864"/>
                <w:sz w:val="18"/>
                <w:szCs w:val="18"/>
              </w:rPr>
              <w:t xml:space="preserve">Growth [3%] (row 8)</w:t>
            </w:r>
          </w:p>
        </w:tc>
        <w:tc>
          <w:tcPr>
            <w:tcW w:type="dxa" w:w="9480"/>
            <w:tcBorders>
              <w:top w:val="single" w:color="B4C6E7" w:sz="1"/>
              <w:left w:val="single" w:color="B4C6E7" w:sz="1"/>
              <w:bottom w:val="single" w:color="B4C6E7" w:sz="1"/>
              <w:right w:val="single" w:color="B4C6E7" w:sz="1"/>
            </w:tcBorders>
            <w:shd w:fill="FFFFFF" w:val="clear"/>
            <w:tcMar>
              <w:top w:type="dxa" w:w="40"/>
              <w:left w:type="dxa" w:w="90"/>
              <w:bottom w:type="dxa" w:w="40"/>
              <w:right w:type="dxa" w:w="90"/>
            </w:tcMar>
          </w:tcPr>
          <w:p>
            <w:r>
              <w:rPr>
                <w:rFonts w:ascii="Consolas" w:cs="Consolas" w:eastAsia="Consolas" w:hAnsi="Consolas"/>
                <w:color w:val="1A4A7A"/>
                <w:sz w:val="18"/>
                <w:szCs w:val="18"/>
              </w:rPr>
              <w:t xml:space="preserve">=C7*$C$27</w:t>
            </w:r>
            <w:r>
              <w:rPr>
                <w:color w:val="595959"/>
                <w:sz w:val="18"/>
                <w:szCs w:val="18"/>
              </w:rPr>
              <w:t xml:space="preserve">  — base × 3% (the answer key leaves this unrounded)</w:t>
            </w:r>
          </w:p>
        </w:tc>
      </w:tr>
      <w:tr>
        <w:tc>
          <w:tcPr>
            <w:tcW w:type="dxa" w:w="420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b/>
                <w:bCs/>
                <w:color w:val="1F3864"/>
                <w:sz w:val="18"/>
                <w:szCs w:val="18"/>
              </w:rPr>
              <w:t xml:space="preserve">Base projection (row 9)</w:t>
            </w:r>
          </w:p>
        </w:tc>
        <w:tc>
          <w:tcPr>
            <w:tcW w:type="dxa" w:w="948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rFonts w:ascii="Consolas" w:cs="Consolas" w:eastAsia="Consolas" w:hAnsi="Consolas"/>
                <w:color w:val="1A4A7A"/>
                <w:sz w:val="18"/>
                <w:szCs w:val="18"/>
              </w:rPr>
              <w:t xml:space="preserve">=C7+C8</w:t>
            </w:r>
            <w:r>
              <w:rPr>
                <w:color w:val="595959"/>
                <w:sz w:val="18"/>
                <w:szCs w:val="18"/>
              </w:rPr>
              <w:t xml:space="preserve">  — base plus growth</w:t>
            </w:r>
          </w:p>
        </w:tc>
      </w:tr>
      <w:tr>
        <w:tc>
          <w:tcPr>
            <w:tcW w:type="dxa" w:w="4200"/>
            <w:tcBorders>
              <w:top w:val="single" w:color="B4C6E7" w:sz="1"/>
              <w:left w:val="single" w:color="B4C6E7" w:sz="1"/>
              <w:bottom w:val="single" w:color="B4C6E7" w:sz="1"/>
              <w:right w:val="single" w:color="B4C6E7" w:sz="1"/>
            </w:tcBorders>
            <w:shd w:fill="FFFFFF" w:val="clear"/>
            <w:tcMar>
              <w:top w:type="dxa" w:w="40"/>
              <w:left w:type="dxa" w:w="90"/>
              <w:bottom w:type="dxa" w:w="40"/>
              <w:right w:type="dxa" w:w="90"/>
            </w:tcMar>
          </w:tcPr>
          <w:p>
            <w:r>
              <w:rPr>
                <w:b/>
                <w:bCs/>
                <w:color w:val="1F3864"/>
                <w:sz w:val="18"/>
                <w:szCs w:val="18"/>
              </w:rPr>
              <w:t xml:space="preserve">Promotion this year (row 10)</w:t>
            </w:r>
          </w:p>
        </w:tc>
        <w:tc>
          <w:tcPr>
            <w:tcW w:type="dxa" w:w="9480"/>
            <w:tcBorders>
              <w:top w:val="single" w:color="B4C6E7" w:sz="1"/>
              <w:left w:val="single" w:color="B4C6E7" w:sz="1"/>
              <w:bottom w:val="single" w:color="B4C6E7" w:sz="1"/>
              <w:right w:val="single" w:color="B4C6E7" w:sz="1"/>
            </w:tcBorders>
            <w:shd w:fill="FFFFFF" w:val="clear"/>
            <w:tcMar>
              <w:top w:type="dxa" w:w="40"/>
              <w:left w:type="dxa" w:w="90"/>
              <w:bottom w:type="dxa" w:w="40"/>
              <w:right w:type="dxa" w:w="90"/>
            </w:tcMar>
          </w:tcPr>
          <w:p>
            <w:r>
              <w:rPr>
                <w:rFonts w:ascii="Consolas" w:cs="Consolas" w:eastAsia="Consolas" w:hAnsi="Consolas"/>
                <w:color w:val="1A4A7A"/>
                <w:sz w:val="18"/>
                <w:szCs w:val="18"/>
              </w:rPr>
              <w:t xml:space="preserve">500  and  400</w:t>
            </w:r>
            <w:r>
              <w:rPr>
                <w:color w:val="595959"/>
                <w:sz w:val="18"/>
                <w:szCs w:val="18"/>
              </w:rPr>
              <w:t xml:space="preserve">  — just type these into Nov (M10) and Dec (N10)</w:t>
            </w:r>
          </w:p>
        </w:tc>
      </w:tr>
      <w:tr>
        <w:tc>
          <w:tcPr>
            <w:tcW w:type="dxa" w:w="420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b/>
                <w:bCs/>
                <w:color w:val="1F3864"/>
                <w:sz w:val="18"/>
                <w:szCs w:val="18"/>
              </w:rPr>
              <w:t xml:space="preserve">Sales forecast (row 11)</w:t>
            </w:r>
          </w:p>
        </w:tc>
        <w:tc>
          <w:tcPr>
            <w:tcW w:type="dxa" w:w="948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rFonts w:ascii="Consolas" w:cs="Consolas" w:eastAsia="Consolas" w:hAnsi="Consolas"/>
                <w:color w:val="1A4A7A"/>
                <w:sz w:val="18"/>
                <w:szCs w:val="18"/>
              </w:rPr>
              <w:t xml:space="preserve">=C9+N(C10)</w:t>
            </w:r>
            <w:r>
              <w:rPr>
                <w:color w:val="595959"/>
                <w:sz w:val="18"/>
                <w:szCs w:val="18"/>
              </w:rPr>
              <w:t xml:space="preserve">  — base projection plus this year’s promotion</w:t>
            </w:r>
          </w:p>
        </w:tc>
      </w:tr>
    </w:tbl>
    <w:p>
      <w:pPr>
        <w:spacing w:after="120" w:line="278"/>
      </w:pPr>
      <w:r>
        <w:rPr>
          <w:i/>
          <w:iCs/>
          <w:color w:val="595959"/>
          <w:sz w:val="18"/>
          <w:szCs w:val="18"/>
        </w:rPr>
        <w:t xml:space="preserve">Tip: N(…) turns a blank promotion cell into 0, so the formula never shows an error.</w:t>
      </w:r>
    </w:p>
    <w:p>
      <w:pPr>
        <w:pStyle w:val="Heading1"/>
        <w:pageBreakBefore/>
      </w:pPr>
      <w:r>
        <w:t xml:space="preserve">3.  Activity 2 — Building the Sales &amp; Operations Plan</w:t>
      </w:r>
    </w:p>
    <w:p>
      <w:pPr>
        <w:spacing w:after="120" w:line="278"/>
      </w:pPr>
      <w:r>
        <w:t xml:space="preserve">Now we decide how many shoes to make each month. There are four things to work out, in this order: (a) how much the factory can make — capacity; (b) how hard it is working — utilization; (c) how much warehouse stock we have — inventory; and (d) the actual production plan that ties it together. We will build them one at a time.</w:t>
      </w:r>
    </w:p>
    <w:p>
      <w:pPr>
        <w:pStyle w:val="Heading2"/>
      </w:pPr>
      <w:r>
        <w:t xml:space="preserve">3.1  Capacity — how many pairs can the factory make?</w:t>
      </w:r>
    </w:p>
    <w:p>
      <w:pPr>
        <w:spacing w:after="120" w:line="278"/>
      </w:pPr>
      <w:r>
        <w:t xml:space="preserve">Capacity is just a multiplication. The factory makes 40 pairs an hour and runs 8 hours a day, so it makes 320 pairs a day. Multiply by the number of working days in the month:</w:t>
      </w:r>
    </w:p>
    <w:p>
      <w:pPr>
        <w:spacing w:after="120" w:before="60"/>
        <w:jc w:val="center"/>
      </w:pPr>
      <w:r>
        <w:rPr>
          <w:b/>
          <w:bCs/>
          <w:color w:val="2E5496"/>
          <w:sz w:val="22"/>
          <w:szCs w:val="22"/>
        </w:rPr>
        <w:t xml:space="preserve">Capacity = 40 pairs/hour × 8 hours/day × working days</w:t>
      </w:r>
    </w:p>
    <w:p>
      <w:pPr>
        <w:spacing w:after="120" w:line="278"/>
      </w:pPr>
      <w:r>
        <w:t xml:space="preserve">Because we must keep utilization at 99% or less, the most we are allowed to actually produce is 99% of capacity (the last column). Notice how the number of working days swings capacity around: February (16 days) is low, November (22 days) is high, and December (only 18 days) is surprisingly tight.</w:t>
      </w:r>
    </w:p>
    <w:tbl>
      <w:tblPr>
        <w:tblW w:type="dxa" w:w="104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600"/>
        <w:gridCol w:w="2600"/>
        <w:gridCol w:w="2200"/>
      </w:tblGrid>
      <w:tr>
        <w:trPr>
          <w:tblHeader/>
        </w:trPr>
        <w:tc>
          <w:tcPr>
            <w:tcW w:type="dxa" w:w="13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left"/>
            </w:pPr>
            <w:r>
              <w:rPr>
                <w:b/>
                <w:bCs/>
                <w:color w:val="FFFFFF"/>
                <w:sz w:val="18"/>
                <w:szCs w:val="18"/>
              </w:rPr>
              <w:t xml:space="preserve">Month</w:t>
            </w:r>
          </w:p>
        </w:tc>
        <w:tc>
          <w:tcPr>
            <w:tcW w:type="dxa" w:w="17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center"/>
            </w:pPr>
            <w:r>
              <w:rPr>
                <w:b/>
                <w:bCs/>
                <w:color w:val="FFFFFF"/>
                <w:sz w:val="18"/>
                <w:szCs w:val="18"/>
              </w:rPr>
              <w:t xml:space="preserve">Working days</w:t>
            </w:r>
          </w:p>
        </w:tc>
        <w:tc>
          <w:tcPr>
            <w:tcW w:type="dxa" w:w="26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center"/>
            </w:pPr>
            <w:r>
              <w:rPr>
                <w:b/>
                <w:bCs/>
                <w:color w:val="FFFFFF"/>
                <w:sz w:val="18"/>
                <w:szCs w:val="18"/>
              </w:rPr>
              <w:t xml:space="preserve">Calculation</w:t>
            </w:r>
          </w:p>
        </w:tc>
        <w:tc>
          <w:tcPr>
            <w:tcW w:type="dxa" w:w="26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 Capacity (pairs)</w:t>
            </w:r>
          </w:p>
        </w:tc>
        <w:tc>
          <w:tcPr>
            <w:tcW w:type="dxa" w:w="22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Max at 99%</w:t>
            </w:r>
          </w:p>
        </w:tc>
      </w:tr>
      <w:tr>
        <w:tc>
          <w:tcPr>
            <w:tcW w:type="dxa" w:w="13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Jan</w:t>
            </w:r>
          </w:p>
        </w:tc>
        <w:tc>
          <w:tcPr>
            <w:tcW w:type="dxa" w:w="1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18</w:t>
            </w:r>
          </w:p>
        </w:tc>
        <w:tc>
          <w:tcPr>
            <w:tcW w:type="dxa" w:w="2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40 × 8 × 18</w:t>
            </w:r>
          </w:p>
        </w:tc>
        <w:tc>
          <w:tcPr>
            <w:tcW w:type="dxa" w:w="2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5,760</w:t>
            </w:r>
          </w:p>
        </w:tc>
        <w:tc>
          <w:tcPr>
            <w:tcW w:type="dxa" w:w="22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5,702</w:t>
            </w:r>
          </w:p>
        </w:tc>
      </w:tr>
      <w:tr>
        <w:tc>
          <w:tcPr>
            <w:tcW w:type="dxa" w:w="13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Feb</w:t>
            </w:r>
          </w:p>
        </w:tc>
        <w:tc>
          <w:tcPr>
            <w:tcW w:type="dxa" w:w="1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16</w:t>
            </w:r>
          </w:p>
        </w:tc>
        <w:tc>
          <w:tcPr>
            <w:tcW w:type="dxa" w:w="2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40 × 8 × 16</w:t>
            </w:r>
          </w:p>
        </w:tc>
        <w:tc>
          <w:tcPr>
            <w:tcW w:type="dxa" w:w="2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5,120</w:t>
            </w:r>
          </w:p>
        </w:tc>
        <w:tc>
          <w:tcPr>
            <w:tcW w:type="dxa" w:w="22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5,068</w:t>
            </w:r>
          </w:p>
        </w:tc>
      </w:tr>
      <w:tr>
        <w:tc>
          <w:tcPr>
            <w:tcW w:type="dxa" w:w="13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Mar</w:t>
            </w:r>
          </w:p>
        </w:tc>
        <w:tc>
          <w:tcPr>
            <w:tcW w:type="dxa" w:w="1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20</w:t>
            </w:r>
          </w:p>
        </w:tc>
        <w:tc>
          <w:tcPr>
            <w:tcW w:type="dxa" w:w="2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40 × 8 × 20</w:t>
            </w:r>
          </w:p>
        </w:tc>
        <w:tc>
          <w:tcPr>
            <w:tcW w:type="dxa" w:w="2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6,400</w:t>
            </w:r>
          </w:p>
        </w:tc>
        <w:tc>
          <w:tcPr>
            <w:tcW w:type="dxa" w:w="22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6,336</w:t>
            </w:r>
          </w:p>
        </w:tc>
      </w:tr>
      <w:tr>
        <w:tc>
          <w:tcPr>
            <w:tcW w:type="dxa" w:w="13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Apr</w:t>
            </w:r>
          </w:p>
        </w:tc>
        <w:tc>
          <w:tcPr>
            <w:tcW w:type="dxa" w:w="1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20</w:t>
            </w:r>
          </w:p>
        </w:tc>
        <w:tc>
          <w:tcPr>
            <w:tcW w:type="dxa" w:w="2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40 × 8 × 20</w:t>
            </w:r>
          </w:p>
        </w:tc>
        <w:tc>
          <w:tcPr>
            <w:tcW w:type="dxa" w:w="2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6,400</w:t>
            </w:r>
          </w:p>
        </w:tc>
        <w:tc>
          <w:tcPr>
            <w:tcW w:type="dxa" w:w="22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6,336</w:t>
            </w:r>
          </w:p>
        </w:tc>
      </w:tr>
      <w:tr>
        <w:tc>
          <w:tcPr>
            <w:tcW w:type="dxa" w:w="13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May</w:t>
            </w:r>
          </w:p>
        </w:tc>
        <w:tc>
          <w:tcPr>
            <w:tcW w:type="dxa" w:w="1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20</w:t>
            </w:r>
          </w:p>
        </w:tc>
        <w:tc>
          <w:tcPr>
            <w:tcW w:type="dxa" w:w="2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40 × 8 × 20</w:t>
            </w:r>
          </w:p>
        </w:tc>
        <w:tc>
          <w:tcPr>
            <w:tcW w:type="dxa" w:w="2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6,400</w:t>
            </w:r>
          </w:p>
        </w:tc>
        <w:tc>
          <w:tcPr>
            <w:tcW w:type="dxa" w:w="22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6,336</w:t>
            </w:r>
          </w:p>
        </w:tc>
      </w:tr>
      <w:tr>
        <w:tc>
          <w:tcPr>
            <w:tcW w:type="dxa" w:w="13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June</w:t>
            </w:r>
          </w:p>
        </w:tc>
        <w:tc>
          <w:tcPr>
            <w:tcW w:type="dxa" w:w="1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18</w:t>
            </w:r>
          </w:p>
        </w:tc>
        <w:tc>
          <w:tcPr>
            <w:tcW w:type="dxa" w:w="2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40 × 8 × 18</w:t>
            </w:r>
          </w:p>
        </w:tc>
        <w:tc>
          <w:tcPr>
            <w:tcW w:type="dxa" w:w="2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5,760</w:t>
            </w:r>
          </w:p>
        </w:tc>
        <w:tc>
          <w:tcPr>
            <w:tcW w:type="dxa" w:w="22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5,702</w:t>
            </w:r>
          </w:p>
        </w:tc>
      </w:tr>
      <w:tr>
        <w:tc>
          <w:tcPr>
            <w:tcW w:type="dxa" w:w="13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July</w:t>
            </w:r>
          </w:p>
        </w:tc>
        <w:tc>
          <w:tcPr>
            <w:tcW w:type="dxa" w:w="1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18</w:t>
            </w:r>
          </w:p>
        </w:tc>
        <w:tc>
          <w:tcPr>
            <w:tcW w:type="dxa" w:w="2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40 × 8 × 18</w:t>
            </w:r>
          </w:p>
        </w:tc>
        <w:tc>
          <w:tcPr>
            <w:tcW w:type="dxa" w:w="2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5,760</w:t>
            </w:r>
          </w:p>
        </w:tc>
        <w:tc>
          <w:tcPr>
            <w:tcW w:type="dxa" w:w="22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5,702</w:t>
            </w:r>
          </w:p>
        </w:tc>
      </w:tr>
      <w:tr>
        <w:tc>
          <w:tcPr>
            <w:tcW w:type="dxa" w:w="13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Aug</w:t>
            </w:r>
          </w:p>
        </w:tc>
        <w:tc>
          <w:tcPr>
            <w:tcW w:type="dxa" w:w="1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20</w:t>
            </w:r>
          </w:p>
        </w:tc>
        <w:tc>
          <w:tcPr>
            <w:tcW w:type="dxa" w:w="2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40 × 8 × 20</w:t>
            </w:r>
          </w:p>
        </w:tc>
        <w:tc>
          <w:tcPr>
            <w:tcW w:type="dxa" w:w="2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6,400</w:t>
            </w:r>
          </w:p>
        </w:tc>
        <w:tc>
          <w:tcPr>
            <w:tcW w:type="dxa" w:w="22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6,336</w:t>
            </w:r>
          </w:p>
        </w:tc>
      </w:tr>
      <w:tr>
        <w:tc>
          <w:tcPr>
            <w:tcW w:type="dxa" w:w="13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Sep</w:t>
            </w:r>
          </w:p>
        </w:tc>
        <w:tc>
          <w:tcPr>
            <w:tcW w:type="dxa" w:w="1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20</w:t>
            </w:r>
          </w:p>
        </w:tc>
        <w:tc>
          <w:tcPr>
            <w:tcW w:type="dxa" w:w="2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40 × 8 × 20</w:t>
            </w:r>
          </w:p>
        </w:tc>
        <w:tc>
          <w:tcPr>
            <w:tcW w:type="dxa" w:w="2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6,400</w:t>
            </w:r>
          </w:p>
        </w:tc>
        <w:tc>
          <w:tcPr>
            <w:tcW w:type="dxa" w:w="22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6,336</w:t>
            </w:r>
          </w:p>
        </w:tc>
      </w:tr>
      <w:tr>
        <w:tc>
          <w:tcPr>
            <w:tcW w:type="dxa" w:w="13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Oct</w:t>
            </w:r>
          </w:p>
        </w:tc>
        <w:tc>
          <w:tcPr>
            <w:tcW w:type="dxa" w:w="1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20</w:t>
            </w:r>
          </w:p>
        </w:tc>
        <w:tc>
          <w:tcPr>
            <w:tcW w:type="dxa" w:w="2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40 × 8 × 20</w:t>
            </w:r>
          </w:p>
        </w:tc>
        <w:tc>
          <w:tcPr>
            <w:tcW w:type="dxa" w:w="2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6,400</w:t>
            </w:r>
          </w:p>
        </w:tc>
        <w:tc>
          <w:tcPr>
            <w:tcW w:type="dxa" w:w="22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6,336</w:t>
            </w:r>
          </w:p>
        </w:tc>
      </w:tr>
      <w:tr>
        <w:tc>
          <w:tcPr>
            <w:tcW w:type="dxa" w:w="13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Nov</w:t>
            </w:r>
          </w:p>
        </w:tc>
        <w:tc>
          <w:tcPr>
            <w:tcW w:type="dxa" w:w="1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22</w:t>
            </w:r>
          </w:p>
        </w:tc>
        <w:tc>
          <w:tcPr>
            <w:tcW w:type="dxa" w:w="2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40 × 8 × 22</w:t>
            </w:r>
          </w:p>
        </w:tc>
        <w:tc>
          <w:tcPr>
            <w:tcW w:type="dxa" w:w="2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7,040</w:t>
            </w:r>
          </w:p>
        </w:tc>
        <w:tc>
          <w:tcPr>
            <w:tcW w:type="dxa" w:w="22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6,969</w:t>
            </w:r>
          </w:p>
        </w:tc>
      </w:tr>
      <w:tr>
        <w:tc>
          <w:tcPr>
            <w:tcW w:type="dxa" w:w="13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left"/>
            </w:pPr>
            <w:r>
              <w:rPr>
                <w:b/>
                <w:bCs/>
                <w:color w:val="1F3864"/>
                <w:sz w:val="18"/>
                <w:szCs w:val="18"/>
              </w:rPr>
              <w:t xml:space="preserve">Dec</w:t>
            </w:r>
          </w:p>
        </w:tc>
        <w:tc>
          <w:tcPr>
            <w:tcW w:type="dxa" w:w="17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center"/>
            </w:pPr>
            <w:r>
              <w:rPr>
                <w:color w:val="262626"/>
                <w:sz w:val="18"/>
                <w:szCs w:val="18"/>
              </w:rPr>
              <w:t xml:space="preserve">18</w:t>
            </w:r>
          </w:p>
        </w:tc>
        <w:tc>
          <w:tcPr>
            <w:tcW w:type="dxa" w:w="26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center"/>
            </w:pPr>
            <w:r>
              <w:rPr>
                <w:color w:val="262626"/>
                <w:sz w:val="18"/>
                <w:szCs w:val="18"/>
              </w:rPr>
              <w:t xml:space="preserve">40 × 8 × 18</w:t>
            </w:r>
          </w:p>
        </w:tc>
        <w:tc>
          <w:tcPr>
            <w:tcW w:type="dxa" w:w="26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5,760</w:t>
            </w:r>
          </w:p>
        </w:tc>
        <w:tc>
          <w:tcPr>
            <w:tcW w:type="dxa" w:w="22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5,702</w:t>
            </w:r>
          </w:p>
        </w:tc>
      </w:tr>
    </w:tbl>
    <w:p>
      <w:pPr>
        <w:spacing w:after="3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FFF4E8" w:sz="1"/>
              <w:left w:val="single" w:color="C55A11" w:sz="20"/>
              <w:bottom w:val="single" w:color="FFF4E8" w:sz="1"/>
              <w:right w:val="single" w:color="FFF4E8" w:sz="1"/>
            </w:tcBorders>
            <w:shd w:fill="FFF4E8" w:val="clear"/>
            <w:tcMar>
              <w:top w:type="dxa" w:w="140"/>
              <w:left w:type="dxa" w:w="200"/>
              <w:bottom w:type="dxa" w:w="140"/>
              <w:right w:type="dxa" w:w="200"/>
            </w:tcMar>
          </w:tcPr>
          <w:p>
            <w:pPr>
              <w:spacing w:after="70"/>
            </w:pPr>
            <w:r>
              <w:rPr>
                <w:b/>
                <w:bCs/>
                <w:color w:val="5A3210"/>
              </w:rPr>
              <w:t xml:space="preserve">Why December is the problem month</w:t>
            </w:r>
          </w:p>
          <w:p>
            <w:pPr>
              <w:spacing w:after="60" w:line="268"/>
            </w:pPr>
            <w:r>
              <w:rPr>
                <w:b/>
                <w:bCs/>
                <w:color w:val="5A3210"/>
              </w:rPr>
              <w:t xml:space="preserve">December working days:  </w:t>
            </w:r>
            <w:r>
              <w:rPr>
                <w:rFonts w:ascii="Consolas" w:cs="Consolas" w:eastAsia="Consolas" w:hAnsi="Consolas"/>
                <w:color w:val="5A3210"/>
              </w:rPr>
              <w:t xml:space="preserve">18</w:t>
            </w:r>
          </w:p>
          <w:p>
            <w:pPr>
              <w:spacing w:after="60" w:line="268"/>
            </w:pPr>
            <w:r>
              <w:rPr>
                <w:b/>
                <w:bCs/>
                <w:color w:val="5A3210"/>
              </w:rPr>
              <w:t xml:space="preserve">December capacity:  </w:t>
            </w:r>
            <w:r>
              <w:rPr>
                <w:rFonts w:ascii="Consolas" w:cs="Consolas" w:eastAsia="Consolas" w:hAnsi="Consolas"/>
                <w:color w:val="5A3210"/>
              </w:rPr>
              <w:t xml:space="preserve">40 × 8 × 18 = 5,760 pairs</w:t>
            </w:r>
          </w:p>
          <w:p>
            <w:pPr>
              <w:spacing w:after="60" w:line="268"/>
            </w:pPr>
            <w:r>
              <w:rPr>
                <w:b/>
                <w:bCs/>
                <w:color w:val="5A3210"/>
              </w:rPr>
              <w:t xml:space="preserve">Most we may produce (99%):  </w:t>
            </w:r>
            <w:r>
              <w:rPr>
                <w:rFonts w:ascii="Consolas" w:cs="Consolas" w:eastAsia="Consolas" w:hAnsi="Consolas"/>
                <w:color w:val="5A3210"/>
              </w:rPr>
              <w:t xml:space="preserve">5,760 × 0.99 = 5,702 pairs</w:t>
            </w:r>
          </w:p>
          <w:p>
            <w:pPr>
              <w:spacing w:after="60" w:line="268"/>
            </w:pPr>
            <w:r>
              <w:rPr>
                <w:b/>
                <w:bCs/>
                <w:color w:val="5A3210"/>
              </w:rPr>
              <w:t xml:space="preserve">But December demand is:  </w:t>
            </w:r>
            <w:r>
              <w:rPr>
                <w:rFonts w:ascii="Consolas" w:cs="Consolas" w:eastAsia="Consolas" w:hAnsi="Consolas"/>
                <w:color w:val="5A3210"/>
              </w:rPr>
              <w:t xml:space="preserve">6,477 pairs</w:t>
            </w:r>
          </w:p>
          <w:p>
            <w:pPr>
              <w:spacing w:after="0" w:line="268"/>
            </w:pPr>
            <w:r>
              <w:rPr>
                <w:b/>
                <w:bCs/>
                <w:color w:val="5A3210"/>
              </w:rPr>
              <w:t xml:space="preserve">So at least:  </w:t>
            </w:r>
            <w:r>
              <w:rPr>
                <w:rFonts w:ascii="Consolas" w:cs="Consolas" w:eastAsia="Consolas" w:hAnsi="Consolas"/>
                <w:color w:val="5A3210"/>
              </w:rPr>
              <w:t xml:space="preserve">6,477 − 5,702 = 775 pairs MUST come from inventory built up earlier</w:t>
            </w:r>
          </w:p>
        </w:tc>
      </w:tr>
    </w:tbl>
    <w:p>
      <w:pPr>
        <w:spacing w:after="3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FBEAEA" w:sz="1"/>
              <w:left w:val="single" w:color="C0392B" w:sz="20"/>
              <w:bottom w:val="single" w:color="FBEAEA" w:sz="1"/>
              <w:right w:val="single" w:color="FBEAEA" w:sz="1"/>
            </w:tcBorders>
            <w:shd w:fill="FBEAEA" w:val="clear"/>
            <w:tcMar>
              <w:top w:type="dxa" w:w="140"/>
              <w:left w:type="dxa" w:w="200"/>
              <w:bottom w:type="dxa" w:w="140"/>
              <w:right w:type="dxa" w:w="200"/>
            </w:tcMar>
          </w:tcPr>
          <w:p>
            <w:pPr>
              <w:spacing w:after="70"/>
            </w:pPr>
            <w:r>
              <w:rPr>
                <w:b/>
                <w:bCs/>
                <w:color w:val="6A1B1B"/>
              </w:rPr>
              <w:t xml:space="preserve">A typo in the official answer key — January capacity</w:t>
            </w:r>
          </w:p>
          <w:p>
            <w:pPr>
              <w:spacing w:after="60" w:line="268"/>
            </w:pPr>
            <w:r>
              <w:rPr>
                <w:color w:val="6A1B1B"/>
              </w:rPr>
              <w:t xml:space="preserve">The answer key shows January capacity = 5,580. That is incorrect. January has 18 working days, so 40 × 8 × 18 = 5,760 — exactly the same as June, which also has 18 days and is correctly shown as 5,760 in the same sheet.</w:t>
            </w:r>
          </w:p>
          <w:p>
            <w:pPr>
              <w:spacing w:after="0" w:line="268"/>
            </w:pPr>
            <w:r>
              <w:rPr>
                <w:color w:val="6A1B1B"/>
              </w:rPr>
              <w:t xml:space="preserve">This guide uses the correct 5,760. It does not change the plan (January utilization stays well under 99% either way), but if your marker checks against the key, this is the one number worth flagging.</w:t>
            </w:r>
          </w:p>
        </w:tc>
      </w:tr>
    </w:tbl>
    <w:p>
      <w:pPr>
        <w:spacing w:after="40" w:before="17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2552700"/>
                    </a:xfrm>
                    <a:prstGeom prst="rect">
                      <a:avLst/>
                    </a:prstGeom>
                  </pic:spPr>
                </pic:pic>
              </a:graphicData>
            </a:graphic>
          </wp:inline>
        </w:drawing>
      </w:r>
    </w:p>
    <w:p>
      <w:pPr>
        <w:spacing w:after="170"/>
        <w:jc w:val="center"/>
      </w:pPr>
      <w:r>
        <w:rPr>
          <w:i/>
          <w:iCs/>
          <w:color w:val="595959"/>
          <w:sz w:val="18"/>
          <w:szCs w:val="18"/>
        </w:rPr>
        <w:t xml:space="preserve">Figure 2 — Demand vs. capacity each month. Every month’s demand sits below the factory’s capacity except December, whose demand (red) breaks above it.</w:t>
      </w:r>
    </w:p>
    <w:p>
      <w:pPr>
        <w:pStyle w:val="Heading2"/>
      </w:pPr>
      <w:r>
        <w:t xml:space="preserve">3.2  Inventory — the balancing equation</w:t>
      </w:r>
    </w:p>
    <w:p>
      <w:pPr>
        <w:spacing w:after="120" w:line="278"/>
      </w:pPr>
      <w:r>
        <w:t xml:space="preserve">Inventory is like a bank account for shoes. Each month you add what you make and subtract what you sell:</w:t>
      </w:r>
    </w:p>
    <w:p>
      <w:pPr>
        <w:spacing w:after="120" w:before="60"/>
        <w:jc w:val="center"/>
      </w:pPr>
      <w:r>
        <w:rPr>
          <w:b/>
          <w:bCs/>
          <w:color w:val="2E5496"/>
          <w:sz w:val="22"/>
          <w:szCs w:val="22"/>
        </w:rPr>
        <w:t xml:space="preserve">Ending inventory = Beginning inventory + Production − Sales forecast</w:t>
      </w:r>
    </w:p>
    <w:p>
      <w:pPr>
        <w:spacing w:after="120" w:line="278"/>
      </w:pPr>
      <w:r>
        <w:t xml:space="preserve">“Beginning inventory” for a month is simply last month’s ending inventory. We start in January with the 500 pairs already in the warehouse. The golden rule: ending inventory must never drop below the 100-pair safety stock.</w:t>
      </w:r>
    </w:p>
    <w:p>
      <w:pPr>
        <w:spacing w:after="40"/>
      </w:pPr>
    </w:p>
    <w:p>
      <w:pPr>
        <w:pStyle w:val="Heading2"/>
      </w:pPr>
      <w:r>
        <w:t xml:space="preserve">3.3  The production plan — the key decision (and how it was built)</w:t>
      </w:r>
    </w:p>
    <w:p>
      <w:pPr>
        <w:spacing w:after="120" w:line="278"/>
      </w:pPr>
      <w:r>
        <w:t xml:space="preserve">The production plan is not a formula; it is a decision the planner makes by trial-and-error, exactly as the textbook says. There is no single “right” plan — any plan works as long as all three rules below hold at once. (Section 3.8 shows a second, equally valid plan.) The plan below is the one in the official answer key.</w:t>
      </w:r>
    </w:p>
    <w:p>
      <w:pPr>
        <w:pStyle w:val="ListParagraph"/>
        <w:numPr>
          <w:ilvl w:val="0"/>
          <w:numId w:val="2"/>
        </w:numPr>
        <w:spacing w:after="80" w:line="272"/>
      </w:pPr>
      <w:r>
        <w:rPr>
          <w:b/>
          <w:bCs/>
        </w:rPr>
        <w:t xml:space="preserve">Rule 1 — never run out:</w:t>
      </w:r>
      <w:r>
        <w:t xml:space="preserve">  ending inventory ≥ 100 (safety stock) every month.</w:t>
      </w:r>
    </w:p>
    <w:p>
      <w:pPr>
        <w:pStyle w:val="ListParagraph"/>
        <w:numPr>
          <w:ilvl w:val="0"/>
          <w:numId w:val="2"/>
        </w:numPr>
        <w:spacing w:after="80" w:line="272"/>
      </w:pPr>
      <w:r>
        <w:rPr>
          <w:b/>
          <w:bCs/>
        </w:rPr>
        <w:t xml:space="preserve">Rule 2 — never overload the factory:</w:t>
      </w:r>
      <w:r>
        <w:t xml:space="preserve">  utilization (production ÷ capacity) ≤ 99% every month.</w:t>
      </w:r>
    </w:p>
    <w:p>
      <w:pPr>
        <w:pStyle w:val="ListParagraph"/>
        <w:numPr>
          <w:ilvl w:val="0"/>
          <w:numId w:val="2"/>
        </w:numPr>
        <w:spacing w:after="80" w:line="272"/>
      </w:pPr>
      <w:r>
        <w:rPr>
          <w:b/>
          <w:bCs/>
        </w:rPr>
        <w:t xml:space="preserve">Rule 3 — plan ahead for peaks:</w:t>
      </w:r>
      <w:r>
        <w:t xml:space="preserve">  December cannot make all of its own demand, so build a cushion of inventory earlier in the year.</w:t>
      </w:r>
    </w:p>
    <w:p>
      <w:pPr>
        <w:spacing w:after="40"/>
      </w:pPr>
    </w:p>
    <w:p>
      <w:pPr>
        <w:spacing w:after="120" w:line="278"/>
      </w:pPr>
      <w:r>
        <w:t xml:space="preserve">Here is the reasoning behind the answer key’s plan, in order:</w:t>
      </w:r>
    </w:p>
    <w:p>
      <w:pPr>
        <w:pStyle w:val="ListParagraph"/>
        <w:numPr>
          <w:ilvl w:val="0"/>
          <w:numId w:val="4"/>
        </w:numPr>
        <w:spacing w:after="80" w:line="272"/>
      </w:pPr>
      <w:r>
        <w:rPr>
          <w:b/>
          <w:bCs/>
          <w:color w:val="1F3864"/>
        </w:rPr>
        <w:t xml:space="preserve">December cannot keep up, so we need a cushion.</w:t>
      </w:r>
      <w:r>
        <w:t xml:space="preserve">  December demand is 6,477 but the factory can make at most 5,702 that month. The difference must come from inventory already in the warehouse, so we must build a cushion before December.</w:t>
      </w:r>
    </w:p>
    <w:p>
      <w:pPr>
        <w:pStyle w:val="ListParagraph"/>
        <w:numPr>
          <w:ilvl w:val="0"/>
          <w:numId w:val="4"/>
        </w:numPr>
        <w:spacing w:after="80" w:line="272"/>
      </w:pPr>
      <w:r>
        <w:rPr>
          <w:b/>
          <w:bCs/>
          <w:color w:val="1F3864"/>
        </w:rPr>
        <w:t xml:space="preserve">Build the cushion early — in January.</w:t>
      </w:r>
      <w:r>
        <w:t xml:space="preserve">  January is quiet (forecast only 4,120) and has spare capacity. So we produce 5,000 in January, which lifts inventory from the opening 500 straight up to 1,380 in one step (January utilization is only 86.8%).</w:t>
      </w:r>
    </w:p>
    <w:p>
      <w:pPr>
        <w:pStyle w:val="ListParagraph"/>
        <w:numPr>
          <w:ilvl w:val="0"/>
          <w:numId w:val="4"/>
        </w:numPr>
        <w:spacing w:after="80" w:line="272"/>
      </w:pPr>
      <w:r>
        <w:rPr>
          <w:b/>
          <w:bCs/>
          <w:color w:val="1F3864"/>
        </w:rPr>
        <w:t xml:space="preserve">Hold the cushion steady.</w:t>
      </w:r>
      <w:r>
        <w:t xml:space="preserve">  From February to October we produce exactly the forecast each month, so inventory stays flat at 1,380 — a large, comfortable buffer that also covers the June festive season.</w:t>
      </w:r>
    </w:p>
    <w:p>
      <w:pPr>
        <w:pStyle w:val="ListParagraph"/>
        <w:numPr>
          <w:ilvl w:val="0"/>
          <w:numId w:val="4"/>
        </w:numPr>
        <w:spacing w:after="80" w:line="272"/>
      </w:pPr>
      <w:r>
        <w:rPr>
          <w:b/>
          <w:bCs/>
          <w:color w:val="1F3864"/>
        </w:rPr>
        <w:t xml:space="preserve">Top up in November.</w:t>
      </w:r>
      <w:r>
        <w:t xml:space="preserve">  November produces 6,600 (a little above its 6,474 forecast), nudging inventory up to 1,506 just before the December peak.</w:t>
      </w:r>
    </w:p>
    <w:p>
      <w:pPr>
        <w:pStyle w:val="ListParagraph"/>
        <w:numPr>
          <w:ilvl w:val="0"/>
          <w:numId w:val="4"/>
        </w:numPr>
        <w:spacing w:after="80" w:line="272"/>
      </w:pPr>
      <w:r>
        <w:rPr>
          <w:b/>
          <w:bCs/>
          <w:color w:val="1F3864"/>
        </w:rPr>
        <w:t xml:space="preserve">Draw the cushion down in December.</w:t>
      </w:r>
      <w:r>
        <w:t xml:space="preserve">  December produces 5,500 (95.5% utilization) and lets inventory fall to 529. Demand is fully met, and the year still ends well above the 100-pair safety stock.</w:t>
      </w:r>
    </w:p>
    <w:p>
      <w:pPr>
        <w:spacing w:after="4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2E5496" w:sz="1"/>
              <w:left w:val="single" w:color="C55A11" w:sz="20"/>
              <w:bottom w:val="single" w:color="2E5496" w:sz="1"/>
              <w:right w:val="single" w:color="2E5496" w:sz="1"/>
            </w:tcBorders>
            <w:shd w:fill="2E5496" w:val="clear"/>
            <w:tcMar>
              <w:top w:type="dxa" w:w="140"/>
              <w:left w:type="dxa" w:w="200"/>
              <w:bottom w:type="dxa" w:w="140"/>
              <w:right w:type="dxa" w:w="200"/>
            </w:tcMar>
          </w:tcPr>
          <w:p>
            <w:pPr>
              <w:spacing w:after="70"/>
            </w:pPr>
            <w:r>
              <w:rPr>
                <w:b/>
                <w:bCs/>
                <w:color w:val="FFFFFF"/>
              </w:rPr>
              <w:t xml:space="preserve">The answer key’s plan in one paragraph</w:t>
            </w:r>
          </w:p>
          <w:p>
            <w:pPr>
              <w:spacing w:after="0" w:line="268"/>
            </w:pPr>
            <w:r>
              <w:rPr>
                <w:color w:val="FFFFFF"/>
              </w:rPr>
              <w:t xml:space="preserve">Produce 5,000 in January to build the warehouse up to a 1,380-pair cushion in one go. Hold that 1,380 cushion from February to October by producing exactly the forecast. Top up slightly in November (6,600 → inventory 1,506), then in December produce 5,500 and draw the cushion down to 529 — still safely above the 100-pair safety stock. Every month meets demand and stays under 99% capacity, and the cushion easily covers the June and December festive peaks.</w:t>
            </w:r>
          </w:p>
        </w:tc>
      </w:tr>
    </w:tbl>
    <w:p>
      <w:pPr>
        <w:pStyle w:val="Heading2"/>
      </w:pPr>
      <w:r>
        <w:t xml:space="preserve">3.4  Following the inventory month by month</w:t>
      </w:r>
    </w:p>
    <w:p>
      <w:pPr>
        <w:spacing w:after="120" w:line="278"/>
      </w:pPr>
      <w:r>
        <w:t xml:space="preserve">This is the heart of Activity 2. Each row applies the equation Beginning + Production − Forecast = Ending. Watch inventory jump to 1,380 in January, hold flat through October, rise to 1,506 in November, then fall to 529 in December.</w:t>
      </w:r>
    </w:p>
    <w:tbl>
      <w:tblPr>
        <w:tblW w:type="dxa" w:w="11300"/>
        <w:jc w:val="center"/>
        <w:tblBorders>
          <w:top w:val="single" w:color="auto" w:sz="4"/>
          <w:left w:val="single" w:color="auto" w:sz="4"/>
          <w:bottom w:val="single" w:color="auto" w:sz="4"/>
          <w:right w:val="single" w:color="auto" w:sz="4"/>
          <w:insideH w:val="single" w:color="auto" w:sz="4"/>
          <w:insideV w:val="single" w:color="auto" w:sz="4"/>
        </w:tblBorders>
      </w:tblPr>
      <w:tblGrid>
        <w:gridCol w:w="1280"/>
        <w:gridCol w:w="2120"/>
        <w:gridCol w:w="2120"/>
        <w:gridCol w:w="2000"/>
        <w:gridCol w:w="2160"/>
        <w:gridCol w:w="1620"/>
      </w:tblGrid>
      <w:tr>
        <w:trPr>
          <w:tblHeader/>
        </w:trPr>
        <w:tc>
          <w:tcPr>
            <w:tcW w:type="dxa" w:w="128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left"/>
            </w:pPr>
            <w:r>
              <w:rPr>
                <w:b/>
                <w:bCs/>
                <w:color w:val="FFFFFF"/>
                <w:sz w:val="18"/>
                <w:szCs w:val="18"/>
              </w:rPr>
              <w:t xml:space="preserve">Month</w:t>
            </w:r>
          </w:p>
        </w:tc>
        <w:tc>
          <w:tcPr>
            <w:tcW w:type="dxa" w:w="212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Beginning inv.</w:t>
            </w:r>
          </w:p>
        </w:tc>
        <w:tc>
          <w:tcPr>
            <w:tcW w:type="dxa" w:w="212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 Production</w:t>
            </w:r>
          </w:p>
        </w:tc>
        <w:tc>
          <w:tcPr>
            <w:tcW w:type="dxa" w:w="20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 Forecast</w:t>
            </w:r>
          </w:p>
        </w:tc>
        <w:tc>
          <w:tcPr>
            <w:tcW w:type="dxa" w:w="216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 Ending inv.</w:t>
            </w:r>
          </w:p>
        </w:tc>
        <w:tc>
          <w:tcPr>
            <w:tcW w:type="dxa" w:w="162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center"/>
            </w:pPr>
            <w:r>
              <w:rPr>
                <w:b/>
                <w:bCs/>
                <w:color w:val="FFFFFF"/>
                <w:sz w:val="18"/>
                <w:szCs w:val="18"/>
              </w:rPr>
              <w:t xml:space="preserve">≥ 100?</w:t>
            </w:r>
          </w:p>
        </w:tc>
      </w:tr>
      <w:tr>
        <w:tc>
          <w:tcPr>
            <w:tcW w:type="dxa" w:w="12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left"/>
            </w:pPr>
            <w:r>
              <w:rPr>
                <w:b/>
                <w:bCs/>
                <w:color w:val="1F3864"/>
                <w:sz w:val="18"/>
                <w:szCs w:val="18"/>
              </w:rPr>
              <w:t xml:space="preserve">Jan</w:t>
            </w:r>
          </w:p>
        </w:tc>
        <w:tc>
          <w:tcPr>
            <w:tcW w:type="dxa" w:w="21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500</w:t>
            </w:r>
          </w:p>
        </w:tc>
        <w:tc>
          <w:tcPr>
            <w:tcW w:type="dxa" w:w="21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5,000</w:t>
            </w:r>
          </w:p>
        </w:tc>
        <w:tc>
          <w:tcPr>
            <w:tcW w:type="dxa" w:w="20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4,120</w:t>
            </w:r>
          </w:p>
        </w:tc>
        <w:tc>
          <w:tcPr>
            <w:tcW w:type="dxa" w:w="216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1,380</w:t>
            </w:r>
          </w:p>
        </w:tc>
        <w:tc>
          <w:tcPr>
            <w:tcW w:type="dxa" w:w="16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center"/>
            </w:pPr>
            <w:r>
              <w:rPr>
                <w:color w:val="262626"/>
                <w:sz w:val="18"/>
                <w:szCs w:val="18"/>
              </w:rPr>
              <w:t xml:space="preserve">✓ yes</w:t>
            </w:r>
          </w:p>
        </w:tc>
      </w:tr>
      <w:tr>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Feb</w:t>
            </w:r>
          </w:p>
        </w:tc>
        <w:tc>
          <w:tcPr>
            <w:tcW w:type="dxa" w:w="21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1,380</w:t>
            </w:r>
          </w:p>
        </w:tc>
        <w:tc>
          <w:tcPr>
            <w:tcW w:type="dxa" w:w="21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4,120</w:t>
            </w:r>
          </w:p>
        </w:tc>
        <w:tc>
          <w:tcPr>
            <w:tcW w:type="dxa" w:w="20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4,120</w:t>
            </w:r>
          </w:p>
        </w:tc>
        <w:tc>
          <w:tcPr>
            <w:tcW w:type="dxa" w:w="216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1,380</w:t>
            </w:r>
          </w:p>
        </w:tc>
        <w:tc>
          <w:tcPr>
            <w:tcW w:type="dxa" w:w="16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 yes</w:t>
            </w:r>
          </w:p>
        </w:tc>
      </w:tr>
      <w:tr>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Mar</w:t>
            </w:r>
          </w:p>
        </w:tc>
        <w:tc>
          <w:tcPr>
            <w:tcW w:type="dxa" w:w="21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1,380</w:t>
            </w:r>
          </w:p>
        </w:tc>
        <w:tc>
          <w:tcPr>
            <w:tcW w:type="dxa" w:w="21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4,635</w:t>
            </w:r>
          </w:p>
        </w:tc>
        <w:tc>
          <w:tcPr>
            <w:tcW w:type="dxa" w:w="20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4,635</w:t>
            </w:r>
          </w:p>
        </w:tc>
        <w:tc>
          <w:tcPr>
            <w:tcW w:type="dxa" w:w="216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1,380</w:t>
            </w:r>
          </w:p>
        </w:tc>
        <w:tc>
          <w:tcPr>
            <w:tcW w:type="dxa" w:w="16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 yes</w:t>
            </w:r>
          </w:p>
        </w:tc>
      </w:tr>
      <w:tr>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Apr</w:t>
            </w:r>
          </w:p>
        </w:tc>
        <w:tc>
          <w:tcPr>
            <w:tcW w:type="dxa" w:w="21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1,380</w:t>
            </w:r>
          </w:p>
        </w:tc>
        <w:tc>
          <w:tcPr>
            <w:tcW w:type="dxa" w:w="21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5,150</w:t>
            </w:r>
          </w:p>
        </w:tc>
        <w:tc>
          <w:tcPr>
            <w:tcW w:type="dxa" w:w="20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5,150</w:t>
            </w:r>
          </w:p>
        </w:tc>
        <w:tc>
          <w:tcPr>
            <w:tcW w:type="dxa" w:w="216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1,380</w:t>
            </w:r>
          </w:p>
        </w:tc>
        <w:tc>
          <w:tcPr>
            <w:tcW w:type="dxa" w:w="16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 yes</w:t>
            </w:r>
          </w:p>
        </w:tc>
      </w:tr>
      <w:tr>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May</w:t>
            </w:r>
          </w:p>
        </w:tc>
        <w:tc>
          <w:tcPr>
            <w:tcW w:type="dxa" w:w="21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1,380</w:t>
            </w:r>
          </w:p>
        </w:tc>
        <w:tc>
          <w:tcPr>
            <w:tcW w:type="dxa" w:w="21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5,150</w:t>
            </w:r>
          </w:p>
        </w:tc>
        <w:tc>
          <w:tcPr>
            <w:tcW w:type="dxa" w:w="20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5,150</w:t>
            </w:r>
          </w:p>
        </w:tc>
        <w:tc>
          <w:tcPr>
            <w:tcW w:type="dxa" w:w="216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1,380</w:t>
            </w:r>
          </w:p>
        </w:tc>
        <w:tc>
          <w:tcPr>
            <w:tcW w:type="dxa" w:w="16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 yes</w:t>
            </w:r>
          </w:p>
        </w:tc>
      </w:tr>
      <w:tr>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June</w:t>
            </w:r>
          </w:p>
        </w:tc>
        <w:tc>
          <w:tcPr>
            <w:tcW w:type="dxa" w:w="21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1,380</w:t>
            </w:r>
          </w:p>
        </w:tc>
        <w:tc>
          <w:tcPr>
            <w:tcW w:type="dxa" w:w="21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5,459</w:t>
            </w:r>
          </w:p>
        </w:tc>
        <w:tc>
          <w:tcPr>
            <w:tcW w:type="dxa" w:w="20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5,459</w:t>
            </w:r>
          </w:p>
        </w:tc>
        <w:tc>
          <w:tcPr>
            <w:tcW w:type="dxa" w:w="216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1,380</w:t>
            </w:r>
          </w:p>
        </w:tc>
        <w:tc>
          <w:tcPr>
            <w:tcW w:type="dxa" w:w="16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 yes</w:t>
            </w:r>
          </w:p>
        </w:tc>
      </w:tr>
      <w:tr>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July</w:t>
            </w:r>
          </w:p>
        </w:tc>
        <w:tc>
          <w:tcPr>
            <w:tcW w:type="dxa" w:w="21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1,380</w:t>
            </w:r>
          </w:p>
        </w:tc>
        <w:tc>
          <w:tcPr>
            <w:tcW w:type="dxa" w:w="21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5,665</w:t>
            </w:r>
          </w:p>
        </w:tc>
        <w:tc>
          <w:tcPr>
            <w:tcW w:type="dxa" w:w="20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5,665</w:t>
            </w:r>
          </w:p>
        </w:tc>
        <w:tc>
          <w:tcPr>
            <w:tcW w:type="dxa" w:w="216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1,380</w:t>
            </w:r>
          </w:p>
        </w:tc>
        <w:tc>
          <w:tcPr>
            <w:tcW w:type="dxa" w:w="16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 yes</w:t>
            </w:r>
          </w:p>
        </w:tc>
      </w:tr>
      <w:tr>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Aug</w:t>
            </w:r>
          </w:p>
        </w:tc>
        <w:tc>
          <w:tcPr>
            <w:tcW w:type="dxa" w:w="21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1,380</w:t>
            </w:r>
          </w:p>
        </w:tc>
        <w:tc>
          <w:tcPr>
            <w:tcW w:type="dxa" w:w="21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5,922.5</w:t>
            </w:r>
          </w:p>
        </w:tc>
        <w:tc>
          <w:tcPr>
            <w:tcW w:type="dxa" w:w="20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5,922.5</w:t>
            </w:r>
          </w:p>
        </w:tc>
        <w:tc>
          <w:tcPr>
            <w:tcW w:type="dxa" w:w="216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1,380</w:t>
            </w:r>
          </w:p>
        </w:tc>
        <w:tc>
          <w:tcPr>
            <w:tcW w:type="dxa" w:w="16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 yes</w:t>
            </w:r>
          </w:p>
        </w:tc>
      </w:tr>
      <w:tr>
        <w:tc>
          <w:tcPr>
            <w:tcW w:type="dxa" w:w="12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Sep</w:t>
            </w:r>
          </w:p>
        </w:tc>
        <w:tc>
          <w:tcPr>
            <w:tcW w:type="dxa" w:w="21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1,380</w:t>
            </w:r>
          </w:p>
        </w:tc>
        <w:tc>
          <w:tcPr>
            <w:tcW w:type="dxa" w:w="21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6,180</w:t>
            </w:r>
          </w:p>
        </w:tc>
        <w:tc>
          <w:tcPr>
            <w:tcW w:type="dxa" w:w="20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6,180</w:t>
            </w:r>
          </w:p>
        </w:tc>
        <w:tc>
          <w:tcPr>
            <w:tcW w:type="dxa" w:w="216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1,380</w:t>
            </w:r>
          </w:p>
        </w:tc>
        <w:tc>
          <w:tcPr>
            <w:tcW w:type="dxa" w:w="16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 yes</w:t>
            </w:r>
          </w:p>
        </w:tc>
      </w:tr>
      <w:tr>
        <w:tc>
          <w:tcPr>
            <w:tcW w:type="dxa" w:w="12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Oct</w:t>
            </w:r>
          </w:p>
        </w:tc>
        <w:tc>
          <w:tcPr>
            <w:tcW w:type="dxa" w:w="21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1,380</w:t>
            </w:r>
          </w:p>
        </w:tc>
        <w:tc>
          <w:tcPr>
            <w:tcW w:type="dxa" w:w="21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6,180</w:t>
            </w:r>
          </w:p>
        </w:tc>
        <w:tc>
          <w:tcPr>
            <w:tcW w:type="dxa" w:w="20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6,180</w:t>
            </w:r>
          </w:p>
        </w:tc>
        <w:tc>
          <w:tcPr>
            <w:tcW w:type="dxa" w:w="216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1,380</w:t>
            </w:r>
          </w:p>
        </w:tc>
        <w:tc>
          <w:tcPr>
            <w:tcW w:type="dxa" w:w="16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 yes</w:t>
            </w:r>
          </w:p>
        </w:tc>
      </w:tr>
      <w:tr>
        <w:tc>
          <w:tcPr>
            <w:tcW w:type="dxa" w:w="12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left"/>
            </w:pPr>
            <w:r>
              <w:rPr>
                <w:b/>
                <w:bCs/>
                <w:color w:val="1F3864"/>
                <w:sz w:val="18"/>
                <w:szCs w:val="18"/>
              </w:rPr>
              <w:t xml:space="preserve">Nov</w:t>
            </w:r>
          </w:p>
        </w:tc>
        <w:tc>
          <w:tcPr>
            <w:tcW w:type="dxa" w:w="21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1,380</w:t>
            </w:r>
          </w:p>
        </w:tc>
        <w:tc>
          <w:tcPr>
            <w:tcW w:type="dxa" w:w="21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6,600</w:t>
            </w:r>
          </w:p>
        </w:tc>
        <w:tc>
          <w:tcPr>
            <w:tcW w:type="dxa" w:w="20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6,474</w:t>
            </w:r>
          </w:p>
        </w:tc>
        <w:tc>
          <w:tcPr>
            <w:tcW w:type="dxa" w:w="216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1,506</w:t>
            </w:r>
          </w:p>
        </w:tc>
        <w:tc>
          <w:tcPr>
            <w:tcW w:type="dxa" w:w="16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center"/>
            </w:pPr>
            <w:r>
              <w:rPr>
                <w:color w:val="262626"/>
                <w:sz w:val="18"/>
                <w:szCs w:val="18"/>
              </w:rPr>
              <w:t xml:space="preserve">✓ yes</w:t>
            </w:r>
          </w:p>
        </w:tc>
      </w:tr>
      <w:tr>
        <w:tc>
          <w:tcPr>
            <w:tcW w:type="dxa" w:w="12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left"/>
            </w:pPr>
            <w:r>
              <w:rPr>
                <w:b/>
                <w:bCs/>
                <w:color w:val="1F3864"/>
                <w:sz w:val="18"/>
                <w:szCs w:val="18"/>
              </w:rPr>
              <w:t xml:space="preserve">Dec</w:t>
            </w:r>
          </w:p>
        </w:tc>
        <w:tc>
          <w:tcPr>
            <w:tcW w:type="dxa" w:w="21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1,506</w:t>
            </w:r>
          </w:p>
        </w:tc>
        <w:tc>
          <w:tcPr>
            <w:tcW w:type="dxa" w:w="21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5,500</w:t>
            </w:r>
          </w:p>
        </w:tc>
        <w:tc>
          <w:tcPr>
            <w:tcW w:type="dxa" w:w="20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6,477</w:t>
            </w:r>
          </w:p>
        </w:tc>
        <w:tc>
          <w:tcPr>
            <w:tcW w:type="dxa" w:w="216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529</w:t>
            </w:r>
          </w:p>
        </w:tc>
        <w:tc>
          <w:tcPr>
            <w:tcW w:type="dxa" w:w="16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center"/>
            </w:pPr>
            <w:r>
              <w:rPr>
                <w:color w:val="262626"/>
                <w:sz w:val="18"/>
                <w:szCs w:val="18"/>
              </w:rPr>
              <w:t xml:space="preserve">✓ yes</w:t>
            </w:r>
          </w:p>
        </w:tc>
      </w:tr>
    </w:tbl>
    <w:p>
      <w:pPr>
        <w:spacing w:after="3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FFF4E8" w:sz="1"/>
              <w:left w:val="single" w:color="C55A11" w:sz="20"/>
              <w:bottom w:val="single" w:color="FFF4E8" w:sz="1"/>
              <w:right w:val="single" w:color="FFF4E8" w:sz="1"/>
            </w:tcBorders>
            <w:shd w:fill="FFF4E8" w:val="clear"/>
            <w:tcMar>
              <w:top w:type="dxa" w:w="140"/>
              <w:left w:type="dxa" w:w="200"/>
              <w:bottom w:type="dxa" w:w="140"/>
              <w:right w:type="dxa" w:w="200"/>
            </w:tcMar>
          </w:tcPr>
          <w:p>
            <w:pPr>
              <w:spacing w:after="70"/>
            </w:pPr>
            <w:r>
              <w:rPr>
                <w:b/>
                <w:bCs/>
                <w:color w:val="5A3210"/>
              </w:rPr>
              <w:t xml:space="preserve">The three months that move, fully worked</w:t>
            </w:r>
          </w:p>
          <w:p>
            <w:pPr>
              <w:spacing w:after="60" w:line="268"/>
            </w:pPr>
            <w:r>
              <w:rPr>
                <w:b/>
                <w:bCs/>
                <w:color w:val="5A3210"/>
              </w:rPr>
              <w:t xml:space="preserve">January:  </w:t>
            </w:r>
            <w:r>
              <w:rPr>
                <w:rFonts w:ascii="Consolas" w:cs="Consolas" w:eastAsia="Consolas" w:hAnsi="Consolas"/>
                <w:color w:val="5A3210"/>
              </w:rPr>
              <w:t xml:space="preserve">500 (begin) + 5,000 (make) − 4,120 (sell) = 1,380 ending</w:t>
            </w:r>
          </w:p>
          <w:p>
            <w:pPr>
              <w:spacing w:after="60" w:line="268"/>
            </w:pPr>
            <w:r>
              <w:rPr>
                <w:b/>
                <w:bCs/>
                <w:color w:val="5A3210"/>
              </w:rPr>
              <w:t xml:space="preserve">November:  </w:t>
            </w:r>
            <w:r>
              <w:rPr>
                <w:rFonts w:ascii="Consolas" w:cs="Consolas" w:eastAsia="Consolas" w:hAnsi="Consolas"/>
                <w:color w:val="5A3210"/>
              </w:rPr>
              <w:t xml:space="preserve">1,380 (begin) + 6,600 (make) − 6,474 (sell) = 1,506 ending</w:t>
            </w:r>
          </w:p>
          <w:p>
            <w:pPr>
              <w:spacing w:after="60" w:line="268"/>
            </w:pPr>
            <w:r>
              <w:rPr>
                <w:b/>
                <w:bCs/>
                <w:color w:val="5A3210"/>
              </w:rPr>
              <w:t xml:space="preserve">December:  </w:t>
            </w:r>
            <w:r>
              <w:rPr>
                <w:rFonts w:ascii="Consolas" w:cs="Consolas" w:eastAsia="Consolas" w:hAnsi="Consolas"/>
                <w:color w:val="5A3210"/>
              </w:rPr>
              <w:t xml:space="preserve">1,506 (begin) + 5,500 (make) − 6,477 (sell) = 529 ending</w:t>
            </w:r>
          </w:p>
          <w:p>
            <w:pPr>
              <w:spacing w:after="0" w:line="268"/>
            </w:pPr>
            <w:r>
              <w:rPr>
                <w:b/>
                <w:bCs/>
                <w:color w:val="5A3210"/>
              </w:rPr>
              <w:t xml:space="preserve">Result:  </w:t>
            </w:r>
            <w:r>
              <w:rPr>
                <w:rFonts w:ascii="Consolas" w:cs="Consolas" w:eastAsia="Consolas" w:hAnsi="Consolas"/>
                <w:color w:val="5A3210"/>
              </w:rPr>
              <w:t xml:space="preserve">December demand of 6,477 is fully met; the year ends at 529, well above safety stock.</w:t>
            </w:r>
          </w:p>
        </w:tc>
      </w:tr>
    </w:tbl>
    <w:p>
      <w:pPr>
        <w:spacing w:after="3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E7F2E7" w:sz="1"/>
              <w:left w:val="single" w:color="2E7D32" w:sz="20"/>
              <w:bottom w:val="single" w:color="E7F2E7" w:sz="1"/>
              <w:right w:val="single" w:color="E7F2E7" w:sz="1"/>
            </w:tcBorders>
            <w:shd w:fill="E7F2E7" w:val="clear"/>
            <w:tcMar>
              <w:top w:type="dxa" w:w="140"/>
              <w:left w:type="dxa" w:w="200"/>
              <w:bottom w:type="dxa" w:w="140"/>
              <w:right w:type="dxa" w:w="200"/>
            </w:tcMar>
          </w:tcPr>
          <w:p>
            <w:pPr>
              <w:spacing w:after="70"/>
            </w:pPr>
            <w:r>
              <w:rPr>
                <w:b/>
                <w:bCs/>
                <w:color w:val="1E4620"/>
              </w:rPr>
              <w:t xml:space="preserve">Check — Rule 1 satisfied</w:t>
            </w:r>
          </w:p>
          <w:p>
            <w:pPr>
              <w:spacing w:after="0" w:line="268"/>
            </w:pPr>
            <w:r>
              <w:rPr>
                <w:color w:val="1E4620"/>
              </w:rPr>
              <w:t xml:space="preserve">The lowest the inventory ever reaches is 529 pairs (December) — far above the 100-pair safety stock. It never comes close to a stockout all year.</w:t>
            </w:r>
          </w:p>
        </w:tc>
      </w:tr>
    </w:tbl>
    <w:p>
      <w:pPr>
        <w:spacing w:after="40" w:before="170"/>
        <w:jc w:val="center"/>
      </w:pPr>
      <w:r>
        <w:drawing>
          <wp:inline distT="0" distB="0" distL="0" distR="0">
            <wp:extent cx="6286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552700"/>
                    </a:xfrm>
                    <a:prstGeom prst="rect">
                      <a:avLst/>
                    </a:prstGeom>
                  </pic:spPr>
                </pic:pic>
              </a:graphicData>
            </a:graphic>
          </wp:inline>
        </w:drawing>
      </w:r>
    </w:p>
    <w:p>
      <w:pPr>
        <w:spacing w:after="170"/>
        <w:jc w:val="center"/>
      </w:pPr>
      <w:r>
        <w:rPr>
          <w:i/>
          <w:iCs/>
          <w:color w:val="595959"/>
          <w:sz w:val="18"/>
          <w:szCs w:val="18"/>
        </w:rPr>
        <w:t xml:space="preserve">Figure 3 — Inventory across the year: build the cushion early (the January jump), hold it steady, then draw it down for December — always above the safety-stock floor.</w:t>
      </w:r>
    </w:p>
    <w:p>
      <w:pPr>
        <w:pStyle w:val="Heading2"/>
      </w:pPr>
      <w:r>
        <w:t xml:space="preserve">3.5  Utilization — is the factory within 99%?</w:t>
      </w:r>
    </w:p>
    <w:p>
      <w:pPr>
        <w:spacing w:after="120" w:line="278"/>
      </w:pPr>
      <w:r>
        <w:t xml:space="preserve">Utilization shows how hard the factory works each month. Divide what we plan to make by what the factory can make:</w:t>
      </w:r>
    </w:p>
    <w:p>
      <w:pPr>
        <w:spacing w:after="120" w:before="60"/>
        <w:jc w:val="center"/>
      </w:pPr>
      <w:r>
        <w:rPr>
          <w:b/>
          <w:bCs/>
          <w:color w:val="2E5496"/>
          <w:sz w:val="22"/>
          <w:szCs w:val="22"/>
        </w:rPr>
        <w:t xml:space="preserve">Utilization = Production ÷ Capacity</w:t>
      </w:r>
    </w:p>
    <w:p>
      <w:pPr>
        <w:spacing w:after="120" w:line="278"/>
      </w:pPr>
      <w:r>
        <w:t xml:space="preserve">We need every month at 99% or below. In the answer key’s plan the busiest month is July at 98.4% (5,665 ÷ 5,760); December sits at 95.5% because we deliberately make only 5,500 there and lean on the inventory cushion. Every month is comfortably within the 99% limit.</w:t>
      </w:r>
    </w:p>
    <w:tbl>
      <w:tblPr>
        <w:tblW w:type="dxa" w:w="11200"/>
        <w:jc w:val="center"/>
        <w:tblBorders>
          <w:top w:val="single" w:color="auto" w:sz="4"/>
          <w:left w:val="single" w:color="auto" w:sz="4"/>
          <w:bottom w:val="single" w:color="auto" w:sz="4"/>
          <w:right w:val="single" w:color="auto" w:sz="4"/>
          <w:insideH w:val="single" w:color="auto" w:sz="4"/>
          <w:insideV w:val="single" w:color="auto" w:sz="4"/>
        </w:tblBorders>
      </w:tblPr>
      <w:tblGrid>
        <w:gridCol w:w="1180"/>
        <w:gridCol w:w="1900"/>
        <w:gridCol w:w="1900"/>
        <w:gridCol w:w="2700"/>
        <w:gridCol w:w="1900"/>
        <w:gridCol w:w="1620"/>
      </w:tblGrid>
      <w:tr>
        <w:trPr>
          <w:tblHeader/>
        </w:trPr>
        <w:tc>
          <w:tcPr>
            <w:tcW w:type="dxa" w:w="118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left"/>
            </w:pPr>
            <w:r>
              <w:rPr>
                <w:b/>
                <w:bCs/>
                <w:color w:val="FFFFFF"/>
                <w:sz w:val="18"/>
                <w:szCs w:val="18"/>
              </w:rPr>
              <w:t xml:space="preserve">Month</w:t>
            </w:r>
          </w:p>
        </w:tc>
        <w:tc>
          <w:tcPr>
            <w:tcW w:type="dxa" w:w="19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Production</w:t>
            </w:r>
          </w:p>
        </w:tc>
        <w:tc>
          <w:tcPr>
            <w:tcW w:type="dxa" w:w="19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Capacity</w:t>
            </w:r>
          </w:p>
        </w:tc>
        <w:tc>
          <w:tcPr>
            <w:tcW w:type="dxa" w:w="27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center"/>
            </w:pPr>
            <w:r>
              <w:rPr>
                <w:b/>
                <w:bCs/>
                <w:color w:val="FFFFFF"/>
                <w:sz w:val="18"/>
                <w:szCs w:val="18"/>
              </w:rPr>
              <w:t xml:space="preserve">Calculation</w:t>
            </w:r>
          </w:p>
        </w:tc>
        <w:tc>
          <w:tcPr>
            <w:tcW w:type="dxa" w:w="19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 Utilization</w:t>
            </w:r>
          </w:p>
        </w:tc>
        <w:tc>
          <w:tcPr>
            <w:tcW w:type="dxa" w:w="162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center"/>
            </w:pPr>
            <w:r>
              <w:rPr>
                <w:b/>
                <w:bCs/>
                <w:color w:val="FFFFFF"/>
                <w:sz w:val="18"/>
                <w:szCs w:val="18"/>
              </w:rPr>
              <w:t xml:space="preserve">≤ 99%?</w:t>
            </w:r>
          </w:p>
        </w:tc>
      </w:tr>
      <w:tr>
        <w:tc>
          <w:tcPr>
            <w:tcW w:type="dxa" w:w="11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Jan</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5,000</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5,760</w:t>
            </w:r>
          </w:p>
        </w:tc>
        <w:tc>
          <w:tcPr>
            <w:tcW w:type="dxa" w:w="2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5,000 ÷ 5,760</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86.8%</w:t>
            </w:r>
          </w:p>
        </w:tc>
        <w:tc>
          <w:tcPr>
            <w:tcW w:type="dxa" w:w="16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w:t>
            </w:r>
          </w:p>
        </w:tc>
      </w:tr>
      <w:tr>
        <w:tc>
          <w:tcPr>
            <w:tcW w:type="dxa" w:w="11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Feb</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4,120</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5,120</w:t>
            </w:r>
          </w:p>
        </w:tc>
        <w:tc>
          <w:tcPr>
            <w:tcW w:type="dxa" w:w="2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4,120 ÷ 5,120</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80.5%</w:t>
            </w:r>
          </w:p>
        </w:tc>
        <w:tc>
          <w:tcPr>
            <w:tcW w:type="dxa" w:w="16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w:t>
            </w:r>
          </w:p>
        </w:tc>
      </w:tr>
      <w:tr>
        <w:tc>
          <w:tcPr>
            <w:tcW w:type="dxa" w:w="11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Mar</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4,635</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6,400</w:t>
            </w:r>
          </w:p>
        </w:tc>
        <w:tc>
          <w:tcPr>
            <w:tcW w:type="dxa" w:w="2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4,635 ÷ 6,400</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72.4%</w:t>
            </w:r>
          </w:p>
        </w:tc>
        <w:tc>
          <w:tcPr>
            <w:tcW w:type="dxa" w:w="16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w:t>
            </w:r>
          </w:p>
        </w:tc>
      </w:tr>
      <w:tr>
        <w:tc>
          <w:tcPr>
            <w:tcW w:type="dxa" w:w="11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Apr</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5,150</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6,400</w:t>
            </w:r>
          </w:p>
        </w:tc>
        <w:tc>
          <w:tcPr>
            <w:tcW w:type="dxa" w:w="2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5,150 ÷ 6,400</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80.5%</w:t>
            </w:r>
          </w:p>
        </w:tc>
        <w:tc>
          <w:tcPr>
            <w:tcW w:type="dxa" w:w="16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w:t>
            </w:r>
          </w:p>
        </w:tc>
      </w:tr>
      <w:tr>
        <w:tc>
          <w:tcPr>
            <w:tcW w:type="dxa" w:w="11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May</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5,150</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6,400</w:t>
            </w:r>
          </w:p>
        </w:tc>
        <w:tc>
          <w:tcPr>
            <w:tcW w:type="dxa" w:w="2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5,150 ÷ 6,400</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80.5%</w:t>
            </w:r>
          </w:p>
        </w:tc>
        <w:tc>
          <w:tcPr>
            <w:tcW w:type="dxa" w:w="16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w:t>
            </w:r>
          </w:p>
        </w:tc>
      </w:tr>
      <w:tr>
        <w:tc>
          <w:tcPr>
            <w:tcW w:type="dxa" w:w="11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June</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5,459</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5,760</w:t>
            </w:r>
          </w:p>
        </w:tc>
        <w:tc>
          <w:tcPr>
            <w:tcW w:type="dxa" w:w="2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5,459 ÷ 5,760</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94.8%</w:t>
            </w:r>
          </w:p>
        </w:tc>
        <w:tc>
          <w:tcPr>
            <w:tcW w:type="dxa" w:w="16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w:t>
            </w:r>
          </w:p>
        </w:tc>
      </w:tr>
      <w:tr>
        <w:tc>
          <w:tcPr>
            <w:tcW w:type="dxa" w:w="11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July</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5,665</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5,760</w:t>
            </w:r>
          </w:p>
        </w:tc>
        <w:tc>
          <w:tcPr>
            <w:tcW w:type="dxa" w:w="2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5,665 ÷ 5,760</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98.4%</w:t>
            </w:r>
          </w:p>
        </w:tc>
        <w:tc>
          <w:tcPr>
            <w:tcW w:type="dxa" w:w="16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w:t>
            </w:r>
          </w:p>
        </w:tc>
      </w:tr>
      <w:tr>
        <w:tc>
          <w:tcPr>
            <w:tcW w:type="dxa" w:w="11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Aug</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5,922.5</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6,400</w:t>
            </w:r>
          </w:p>
        </w:tc>
        <w:tc>
          <w:tcPr>
            <w:tcW w:type="dxa" w:w="2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5,922.5 ÷ 6,400</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92.5%</w:t>
            </w:r>
          </w:p>
        </w:tc>
        <w:tc>
          <w:tcPr>
            <w:tcW w:type="dxa" w:w="16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w:t>
            </w:r>
          </w:p>
        </w:tc>
      </w:tr>
      <w:tr>
        <w:tc>
          <w:tcPr>
            <w:tcW w:type="dxa" w:w="11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Sep</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6,180</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6,400</w:t>
            </w:r>
          </w:p>
        </w:tc>
        <w:tc>
          <w:tcPr>
            <w:tcW w:type="dxa" w:w="2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6,180 ÷ 6,400</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96.6%</w:t>
            </w:r>
          </w:p>
        </w:tc>
        <w:tc>
          <w:tcPr>
            <w:tcW w:type="dxa" w:w="16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w:t>
            </w:r>
          </w:p>
        </w:tc>
      </w:tr>
      <w:tr>
        <w:tc>
          <w:tcPr>
            <w:tcW w:type="dxa" w:w="11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Oct</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6,180</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6,400</w:t>
            </w:r>
          </w:p>
        </w:tc>
        <w:tc>
          <w:tcPr>
            <w:tcW w:type="dxa" w:w="2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6,180 ÷ 6,400</w:t>
            </w:r>
          </w:p>
        </w:tc>
        <w:tc>
          <w:tcPr>
            <w:tcW w:type="dxa" w:w="19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96.6%</w:t>
            </w:r>
          </w:p>
        </w:tc>
        <w:tc>
          <w:tcPr>
            <w:tcW w:type="dxa" w:w="16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w:t>
            </w:r>
          </w:p>
        </w:tc>
      </w:tr>
      <w:tr>
        <w:tc>
          <w:tcPr>
            <w:tcW w:type="dxa" w:w="11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Nov</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6,600</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7,040</w:t>
            </w:r>
          </w:p>
        </w:tc>
        <w:tc>
          <w:tcPr>
            <w:tcW w:type="dxa" w:w="2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6,600 ÷ 7,040</w:t>
            </w:r>
          </w:p>
        </w:tc>
        <w:tc>
          <w:tcPr>
            <w:tcW w:type="dxa" w:w="19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93.8%</w:t>
            </w:r>
          </w:p>
        </w:tc>
        <w:tc>
          <w:tcPr>
            <w:tcW w:type="dxa" w:w="16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w:t>
            </w:r>
          </w:p>
        </w:tc>
      </w:tr>
      <w:tr>
        <w:tc>
          <w:tcPr>
            <w:tcW w:type="dxa" w:w="11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left"/>
            </w:pPr>
            <w:r>
              <w:rPr>
                <w:b/>
                <w:bCs/>
                <w:color w:val="1F3864"/>
                <w:sz w:val="18"/>
                <w:szCs w:val="18"/>
              </w:rPr>
              <w:t xml:space="preserve">Dec</w:t>
            </w:r>
          </w:p>
        </w:tc>
        <w:tc>
          <w:tcPr>
            <w:tcW w:type="dxa" w:w="19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5,500</w:t>
            </w:r>
          </w:p>
        </w:tc>
        <w:tc>
          <w:tcPr>
            <w:tcW w:type="dxa" w:w="19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5,760</w:t>
            </w:r>
          </w:p>
        </w:tc>
        <w:tc>
          <w:tcPr>
            <w:tcW w:type="dxa" w:w="27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center"/>
            </w:pPr>
            <w:r>
              <w:rPr>
                <w:color w:val="262626"/>
                <w:sz w:val="18"/>
                <w:szCs w:val="18"/>
              </w:rPr>
              <w:t xml:space="preserve">5,500 ÷ 5,760</w:t>
            </w:r>
          </w:p>
        </w:tc>
        <w:tc>
          <w:tcPr>
            <w:tcW w:type="dxa" w:w="19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95.5%</w:t>
            </w:r>
          </w:p>
        </w:tc>
        <w:tc>
          <w:tcPr>
            <w:tcW w:type="dxa" w:w="16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center"/>
            </w:pPr>
            <w:r>
              <w:rPr>
                <w:color w:val="262626"/>
                <w:sz w:val="18"/>
                <w:szCs w:val="18"/>
              </w:rPr>
              <w:t xml:space="preserve">✓</w:t>
            </w:r>
          </w:p>
        </w:tc>
      </w:tr>
    </w:tbl>
    <w:p>
      <w:pPr>
        <w:spacing w:after="3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E7F2E7" w:sz="1"/>
              <w:left w:val="single" w:color="2E7D32" w:sz="20"/>
              <w:bottom w:val="single" w:color="E7F2E7" w:sz="1"/>
              <w:right w:val="single" w:color="E7F2E7" w:sz="1"/>
            </w:tcBorders>
            <w:shd w:fill="E7F2E7" w:val="clear"/>
            <w:tcMar>
              <w:top w:type="dxa" w:w="140"/>
              <w:left w:type="dxa" w:w="200"/>
              <w:bottom w:type="dxa" w:w="140"/>
              <w:right w:type="dxa" w:w="200"/>
            </w:tcMar>
          </w:tcPr>
          <w:p>
            <w:pPr>
              <w:spacing w:after="70"/>
            </w:pPr>
            <w:r>
              <w:rPr>
                <w:b/>
                <w:bCs/>
                <w:color w:val="1E4620"/>
              </w:rPr>
              <w:t xml:space="preserve">Check — Rule 2 satisfied</w:t>
            </w:r>
          </w:p>
          <w:p>
            <w:pPr>
              <w:spacing w:after="0" w:line="268"/>
            </w:pPr>
            <w:r>
              <w:rPr>
                <w:color w:val="1E4620"/>
              </w:rPr>
              <w:t xml:space="preserve">The highest utilization all year is 98.4% (July). Every other month is lower. The factory is never overloaded.</w:t>
            </w:r>
          </w:p>
        </w:tc>
      </w:tr>
    </w:tbl>
    <w:p>
      <w:pPr>
        <w:pStyle w:val="Heading2"/>
      </w:pPr>
      <w:r>
        <w:t xml:space="preserve">3.6  Splitting production into the three shoe models</w:t>
      </w:r>
    </w:p>
    <w:p>
      <w:pPr>
        <w:spacing w:after="120" w:line="278"/>
      </w:pPr>
      <w:r>
        <w:t xml:space="preserve">The last step of S&amp;OP breaks the single “total pairs” figure into the individual products Footloose actually makes. The split is fixed: 50% Air Storm, 30% Sky High, 20% Gravity Kicks. For each month:</w:t>
      </w:r>
    </w:p>
    <w:p>
      <w:pPr>
        <w:pStyle w:val="ListParagraph"/>
        <w:numPr>
          <w:ilvl w:val="0"/>
          <w:numId w:val="2"/>
        </w:numPr>
        <w:spacing w:after="80" w:line="272"/>
      </w:pPr>
      <w:r>
        <w:rPr>
          <w:b/>
          <w:bCs/>
        </w:rPr>
        <w:t xml:space="preserve">Air Storm = production × 50%.</w:t>
      </w:r>
      <w:r>
        <w:t xml:space="preserve">  Example (December): 5,500 × 0.5 = 2,750.</w:t>
      </w:r>
    </w:p>
    <w:p>
      <w:pPr>
        <w:pStyle w:val="ListParagraph"/>
        <w:numPr>
          <w:ilvl w:val="0"/>
          <w:numId w:val="2"/>
        </w:numPr>
        <w:spacing w:after="80" w:line="272"/>
      </w:pPr>
      <w:r>
        <w:rPr>
          <w:b/>
          <w:bCs/>
        </w:rPr>
        <w:t xml:space="preserve">Sky High = production × 30%.</w:t>
      </w:r>
      <w:r>
        <w:t xml:space="preserve">  Example (December): 5,500 × 0.3 = 1,650.</w:t>
      </w:r>
    </w:p>
    <w:p>
      <w:pPr>
        <w:pStyle w:val="ListParagraph"/>
        <w:numPr>
          <w:ilvl w:val="0"/>
          <w:numId w:val="2"/>
        </w:numPr>
        <w:spacing w:after="80" w:line="272"/>
      </w:pPr>
      <w:r>
        <w:rPr>
          <w:b/>
          <w:bCs/>
        </w:rPr>
        <w:t xml:space="preserve">Gravity Kicks = production × 20%.</w:t>
      </w:r>
      <w:r>
        <w:t xml:space="preserve">  Example (December): 5,500 × 0.2 = 1,100. Since 50% + 30% + 20% = 100%, the three models always add back to the exact production total.</w:t>
      </w:r>
    </w:p>
    <w:tbl>
      <w:tblPr>
        <w:tblW w:type="dxa" w:w="12000"/>
        <w:jc w:val="center"/>
        <w:tblBorders>
          <w:top w:val="single" w:color="auto" w:sz="4"/>
          <w:left w:val="single" w:color="auto" w:sz="4"/>
          <w:bottom w:val="single" w:color="auto" w:sz="4"/>
          <w:right w:val="single" w:color="auto" w:sz="4"/>
          <w:insideH w:val="single" w:color="auto" w:sz="4"/>
          <w:insideV w:val="single" w:color="auto" w:sz="4"/>
        </w:tblBorders>
      </w:tblPr>
      <w:tblGrid>
        <w:gridCol w:w="1180"/>
        <w:gridCol w:w="1700"/>
        <w:gridCol w:w="2680"/>
        <w:gridCol w:w="2680"/>
        <w:gridCol w:w="2440"/>
        <w:gridCol w:w="1320"/>
      </w:tblGrid>
      <w:tr>
        <w:trPr>
          <w:tblHeader/>
        </w:trPr>
        <w:tc>
          <w:tcPr>
            <w:tcW w:type="dxa" w:w="118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left"/>
            </w:pPr>
            <w:r>
              <w:rPr>
                <w:b/>
                <w:bCs/>
                <w:color w:val="FFFFFF"/>
                <w:sz w:val="18"/>
                <w:szCs w:val="18"/>
              </w:rPr>
              <w:t xml:space="preserve">Month</w:t>
            </w:r>
          </w:p>
        </w:tc>
        <w:tc>
          <w:tcPr>
            <w:tcW w:type="dxa" w:w="17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Production</w:t>
            </w:r>
          </w:p>
        </w:tc>
        <w:tc>
          <w:tcPr>
            <w:tcW w:type="dxa" w:w="268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center"/>
            </w:pPr>
            <w:r>
              <w:rPr>
                <w:b/>
                <w:bCs/>
                <w:color w:val="FFFFFF"/>
                <w:sz w:val="18"/>
                <w:szCs w:val="18"/>
              </w:rPr>
              <w:t xml:space="preserve">Air Storm (50%)</w:t>
            </w:r>
          </w:p>
        </w:tc>
        <w:tc>
          <w:tcPr>
            <w:tcW w:type="dxa" w:w="268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center"/>
            </w:pPr>
            <w:r>
              <w:rPr>
                <w:b/>
                <w:bCs/>
                <w:color w:val="FFFFFF"/>
                <w:sz w:val="18"/>
                <w:szCs w:val="18"/>
              </w:rPr>
              <w:t xml:space="preserve">Sky High (30%)</w:t>
            </w:r>
          </w:p>
        </w:tc>
        <w:tc>
          <w:tcPr>
            <w:tcW w:type="dxa" w:w="244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Gravity Kicks (20%)</w:t>
            </w:r>
          </w:p>
        </w:tc>
        <w:tc>
          <w:tcPr>
            <w:tcW w:type="dxa" w:w="132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right"/>
            </w:pPr>
            <w:r>
              <w:rPr>
                <w:b/>
                <w:bCs/>
                <w:color w:val="FFFFFF"/>
                <w:sz w:val="18"/>
                <w:szCs w:val="18"/>
              </w:rPr>
              <w:t xml:space="preserve">Sum check</w:t>
            </w:r>
          </w:p>
        </w:tc>
      </w:tr>
      <w:tr>
        <w:tc>
          <w:tcPr>
            <w:tcW w:type="dxa" w:w="11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Jan</w:t>
            </w:r>
          </w:p>
        </w:tc>
        <w:tc>
          <w:tcPr>
            <w:tcW w:type="dxa" w:w="1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5,000</w:t>
            </w:r>
          </w:p>
        </w:tc>
        <w:tc>
          <w:tcPr>
            <w:tcW w:type="dxa" w:w="26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5,000×0.5 = 2,500</w:t>
            </w:r>
          </w:p>
        </w:tc>
        <w:tc>
          <w:tcPr>
            <w:tcW w:type="dxa" w:w="26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5,000×0.3 = 1,500</w:t>
            </w:r>
          </w:p>
        </w:tc>
        <w:tc>
          <w:tcPr>
            <w:tcW w:type="dxa" w:w="244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1,000</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5,000</w:t>
            </w:r>
          </w:p>
        </w:tc>
      </w:tr>
      <w:tr>
        <w:tc>
          <w:tcPr>
            <w:tcW w:type="dxa" w:w="11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Feb</w:t>
            </w:r>
          </w:p>
        </w:tc>
        <w:tc>
          <w:tcPr>
            <w:tcW w:type="dxa" w:w="1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4,120</w:t>
            </w:r>
          </w:p>
        </w:tc>
        <w:tc>
          <w:tcPr>
            <w:tcW w:type="dxa" w:w="26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4,120×0.5 = 2,060</w:t>
            </w:r>
          </w:p>
        </w:tc>
        <w:tc>
          <w:tcPr>
            <w:tcW w:type="dxa" w:w="26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4,120×0.3 = 1,236</w:t>
            </w:r>
          </w:p>
        </w:tc>
        <w:tc>
          <w:tcPr>
            <w:tcW w:type="dxa" w:w="244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824</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4,120</w:t>
            </w:r>
          </w:p>
        </w:tc>
      </w:tr>
      <w:tr>
        <w:tc>
          <w:tcPr>
            <w:tcW w:type="dxa" w:w="11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Mar</w:t>
            </w:r>
          </w:p>
        </w:tc>
        <w:tc>
          <w:tcPr>
            <w:tcW w:type="dxa" w:w="1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4,635</w:t>
            </w:r>
          </w:p>
        </w:tc>
        <w:tc>
          <w:tcPr>
            <w:tcW w:type="dxa" w:w="26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4,635×0.5 = 2,317.5</w:t>
            </w:r>
          </w:p>
        </w:tc>
        <w:tc>
          <w:tcPr>
            <w:tcW w:type="dxa" w:w="26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4,635×0.3 = 1,390.5</w:t>
            </w:r>
          </w:p>
        </w:tc>
        <w:tc>
          <w:tcPr>
            <w:tcW w:type="dxa" w:w="244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927</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4,635</w:t>
            </w:r>
          </w:p>
        </w:tc>
      </w:tr>
      <w:tr>
        <w:tc>
          <w:tcPr>
            <w:tcW w:type="dxa" w:w="11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Apr</w:t>
            </w:r>
          </w:p>
        </w:tc>
        <w:tc>
          <w:tcPr>
            <w:tcW w:type="dxa" w:w="1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5,150</w:t>
            </w:r>
          </w:p>
        </w:tc>
        <w:tc>
          <w:tcPr>
            <w:tcW w:type="dxa" w:w="26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5,150×0.5 = 2,575</w:t>
            </w:r>
          </w:p>
        </w:tc>
        <w:tc>
          <w:tcPr>
            <w:tcW w:type="dxa" w:w="26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5,150×0.3 = 1,545</w:t>
            </w:r>
          </w:p>
        </w:tc>
        <w:tc>
          <w:tcPr>
            <w:tcW w:type="dxa" w:w="244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1,030</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5,150</w:t>
            </w:r>
          </w:p>
        </w:tc>
      </w:tr>
      <w:tr>
        <w:tc>
          <w:tcPr>
            <w:tcW w:type="dxa" w:w="11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May</w:t>
            </w:r>
          </w:p>
        </w:tc>
        <w:tc>
          <w:tcPr>
            <w:tcW w:type="dxa" w:w="1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5,150</w:t>
            </w:r>
          </w:p>
        </w:tc>
        <w:tc>
          <w:tcPr>
            <w:tcW w:type="dxa" w:w="26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5,150×0.5 = 2,575</w:t>
            </w:r>
          </w:p>
        </w:tc>
        <w:tc>
          <w:tcPr>
            <w:tcW w:type="dxa" w:w="26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5,150×0.3 = 1,545</w:t>
            </w:r>
          </w:p>
        </w:tc>
        <w:tc>
          <w:tcPr>
            <w:tcW w:type="dxa" w:w="244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1,030</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5,150</w:t>
            </w:r>
          </w:p>
        </w:tc>
      </w:tr>
      <w:tr>
        <w:tc>
          <w:tcPr>
            <w:tcW w:type="dxa" w:w="11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June</w:t>
            </w:r>
          </w:p>
        </w:tc>
        <w:tc>
          <w:tcPr>
            <w:tcW w:type="dxa" w:w="1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5,459</w:t>
            </w:r>
          </w:p>
        </w:tc>
        <w:tc>
          <w:tcPr>
            <w:tcW w:type="dxa" w:w="26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5,459×0.5 = 2,729.5</w:t>
            </w:r>
          </w:p>
        </w:tc>
        <w:tc>
          <w:tcPr>
            <w:tcW w:type="dxa" w:w="26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5,459×0.3 = 1,637.7</w:t>
            </w:r>
          </w:p>
        </w:tc>
        <w:tc>
          <w:tcPr>
            <w:tcW w:type="dxa" w:w="244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1,091.8</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5,459</w:t>
            </w:r>
          </w:p>
        </w:tc>
      </w:tr>
      <w:tr>
        <w:tc>
          <w:tcPr>
            <w:tcW w:type="dxa" w:w="11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July</w:t>
            </w:r>
          </w:p>
        </w:tc>
        <w:tc>
          <w:tcPr>
            <w:tcW w:type="dxa" w:w="1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5,665</w:t>
            </w:r>
          </w:p>
        </w:tc>
        <w:tc>
          <w:tcPr>
            <w:tcW w:type="dxa" w:w="26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5,665×0.5 = 2,832.5</w:t>
            </w:r>
          </w:p>
        </w:tc>
        <w:tc>
          <w:tcPr>
            <w:tcW w:type="dxa" w:w="26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5,665×0.3 = 1,699.5</w:t>
            </w:r>
          </w:p>
        </w:tc>
        <w:tc>
          <w:tcPr>
            <w:tcW w:type="dxa" w:w="244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1,133</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5,665</w:t>
            </w:r>
          </w:p>
        </w:tc>
      </w:tr>
      <w:tr>
        <w:tc>
          <w:tcPr>
            <w:tcW w:type="dxa" w:w="11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Aug</w:t>
            </w:r>
          </w:p>
        </w:tc>
        <w:tc>
          <w:tcPr>
            <w:tcW w:type="dxa" w:w="1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5,922.5</w:t>
            </w:r>
          </w:p>
        </w:tc>
        <w:tc>
          <w:tcPr>
            <w:tcW w:type="dxa" w:w="26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5,922.5×0.5 = 2,961.25</w:t>
            </w:r>
          </w:p>
        </w:tc>
        <w:tc>
          <w:tcPr>
            <w:tcW w:type="dxa" w:w="26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5,922.5×0.3 = 1,776.75</w:t>
            </w:r>
          </w:p>
        </w:tc>
        <w:tc>
          <w:tcPr>
            <w:tcW w:type="dxa" w:w="244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1,184.5</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5,922.5</w:t>
            </w:r>
          </w:p>
        </w:tc>
      </w:tr>
      <w:tr>
        <w:tc>
          <w:tcPr>
            <w:tcW w:type="dxa" w:w="11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Sep</w:t>
            </w:r>
          </w:p>
        </w:tc>
        <w:tc>
          <w:tcPr>
            <w:tcW w:type="dxa" w:w="1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6,180</w:t>
            </w:r>
          </w:p>
        </w:tc>
        <w:tc>
          <w:tcPr>
            <w:tcW w:type="dxa" w:w="26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6,180×0.5 = 3,090</w:t>
            </w:r>
          </w:p>
        </w:tc>
        <w:tc>
          <w:tcPr>
            <w:tcW w:type="dxa" w:w="26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6,180×0.3 = 1,854</w:t>
            </w:r>
          </w:p>
        </w:tc>
        <w:tc>
          <w:tcPr>
            <w:tcW w:type="dxa" w:w="244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1,236</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6,180</w:t>
            </w:r>
          </w:p>
        </w:tc>
      </w:tr>
      <w:tr>
        <w:tc>
          <w:tcPr>
            <w:tcW w:type="dxa" w:w="11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Oct</w:t>
            </w:r>
          </w:p>
        </w:tc>
        <w:tc>
          <w:tcPr>
            <w:tcW w:type="dxa" w:w="17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6,180</w:t>
            </w:r>
          </w:p>
        </w:tc>
        <w:tc>
          <w:tcPr>
            <w:tcW w:type="dxa" w:w="26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6,180×0.5 = 3,090</w:t>
            </w:r>
          </w:p>
        </w:tc>
        <w:tc>
          <w:tcPr>
            <w:tcW w:type="dxa" w:w="268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6,180×0.3 = 1,854</w:t>
            </w:r>
          </w:p>
        </w:tc>
        <w:tc>
          <w:tcPr>
            <w:tcW w:type="dxa" w:w="244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1,236</w:t>
            </w:r>
          </w:p>
        </w:tc>
        <w:tc>
          <w:tcPr>
            <w:tcW w:type="dxa" w:w="132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right"/>
            </w:pPr>
            <w:r>
              <w:rPr>
                <w:color w:val="262626"/>
                <w:sz w:val="18"/>
                <w:szCs w:val="18"/>
              </w:rPr>
              <w:t xml:space="preserve">6,180</w:t>
            </w:r>
          </w:p>
        </w:tc>
      </w:tr>
      <w:tr>
        <w:tc>
          <w:tcPr>
            <w:tcW w:type="dxa" w:w="11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Nov</w:t>
            </w:r>
          </w:p>
        </w:tc>
        <w:tc>
          <w:tcPr>
            <w:tcW w:type="dxa" w:w="17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6,600</w:t>
            </w:r>
          </w:p>
        </w:tc>
        <w:tc>
          <w:tcPr>
            <w:tcW w:type="dxa" w:w="26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6,600×0.5 = 3,300</w:t>
            </w:r>
          </w:p>
        </w:tc>
        <w:tc>
          <w:tcPr>
            <w:tcW w:type="dxa" w:w="268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6,600×0.3 = 1,980</w:t>
            </w:r>
          </w:p>
        </w:tc>
        <w:tc>
          <w:tcPr>
            <w:tcW w:type="dxa" w:w="244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1,320</w:t>
            </w:r>
          </w:p>
        </w:tc>
        <w:tc>
          <w:tcPr>
            <w:tcW w:type="dxa" w:w="132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right"/>
            </w:pPr>
            <w:r>
              <w:rPr>
                <w:color w:val="262626"/>
                <w:sz w:val="18"/>
                <w:szCs w:val="18"/>
              </w:rPr>
              <w:t xml:space="preserve">6,600</w:t>
            </w:r>
          </w:p>
        </w:tc>
      </w:tr>
      <w:tr>
        <w:tc>
          <w:tcPr>
            <w:tcW w:type="dxa" w:w="11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left"/>
            </w:pPr>
            <w:r>
              <w:rPr>
                <w:b/>
                <w:bCs/>
                <w:color w:val="1F3864"/>
                <w:sz w:val="18"/>
                <w:szCs w:val="18"/>
              </w:rPr>
              <w:t xml:space="preserve">Dec</w:t>
            </w:r>
          </w:p>
        </w:tc>
        <w:tc>
          <w:tcPr>
            <w:tcW w:type="dxa" w:w="17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5,500</w:t>
            </w:r>
          </w:p>
        </w:tc>
        <w:tc>
          <w:tcPr>
            <w:tcW w:type="dxa" w:w="26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center"/>
            </w:pPr>
            <w:r>
              <w:rPr>
                <w:color w:val="262626"/>
                <w:sz w:val="18"/>
                <w:szCs w:val="18"/>
              </w:rPr>
              <w:t xml:space="preserve">5,500×0.5 = 2,750</w:t>
            </w:r>
          </w:p>
        </w:tc>
        <w:tc>
          <w:tcPr>
            <w:tcW w:type="dxa" w:w="268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center"/>
            </w:pPr>
            <w:r>
              <w:rPr>
                <w:color w:val="262626"/>
                <w:sz w:val="18"/>
                <w:szCs w:val="18"/>
              </w:rPr>
              <w:t xml:space="preserve">5,500×0.3 = 1,650</w:t>
            </w:r>
          </w:p>
        </w:tc>
        <w:tc>
          <w:tcPr>
            <w:tcW w:type="dxa" w:w="244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1,100</w:t>
            </w:r>
          </w:p>
        </w:tc>
        <w:tc>
          <w:tcPr>
            <w:tcW w:type="dxa" w:w="132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right"/>
            </w:pPr>
            <w:r>
              <w:rPr>
                <w:color w:val="262626"/>
                <w:sz w:val="18"/>
                <w:szCs w:val="18"/>
              </w:rPr>
              <w:t xml:space="preserve">5,500</w:t>
            </w:r>
          </w:p>
        </w:tc>
      </w:tr>
    </w:tbl>
    <w:p>
      <w:pPr>
        <w:spacing w:after="120" w:line="278"/>
      </w:pPr>
      <w:r>
        <w:rPr>
          <w:i/>
          <w:iCs/>
          <w:color w:val="595959"/>
          <w:sz w:val="18"/>
          <w:szCs w:val="18"/>
        </w:rPr>
        <w:t xml:space="preserve">The “Sum check” column equals the production every month — proof the split is consistent.</w:t>
      </w:r>
    </w:p>
    <w:p>
      <w:pPr>
        <w:pStyle w:val="Heading2"/>
      </w:pPr>
      <w:r>
        <w:t xml:space="preserve">3.7  The completed Sales &amp; Operations Planning table (the answer to Activity 2)</w:t>
      </w:r>
    </w:p>
    <w:p>
      <w:pPr>
        <w:spacing w:after="120" w:line="278"/>
      </w:pPr>
      <w:r>
        <w:t xml:space="preserve">Here is everything assembled in the tutorial’s layout. The first “Dec” column is the prior December, used only to carry the 500-pair opening inventory into January. The bold orange row is your production plan.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700"/>
        <w:gridCol w:w="844"/>
        <w:gridCol w:w="844"/>
        <w:gridCol w:w="844"/>
        <w:gridCol w:w="844"/>
        <w:gridCol w:w="844"/>
        <w:gridCol w:w="844"/>
        <w:gridCol w:w="844"/>
        <w:gridCol w:w="844"/>
        <w:gridCol w:w="844"/>
        <w:gridCol w:w="844"/>
        <w:gridCol w:w="844"/>
        <w:gridCol w:w="844"/>
        <w:gridCol w:w="852"/>
      </w:tblGrid>
      <w:tr>
        <w:trPr>
          <w:tblHeader/>
        </w:trPr>
        <w:tc>
          <w:tcPr>
            <w:tcW w:type="dxa" w:w="2700"/>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left"/>
            </w:pPr>
            <w:r>
              <w:rPr>
                <w:b/>
                <w:bCs/>
                <w:color w:val="FFFFFF"/>
                <w:sz w:val="17"/>
                <w:szCs w:val="17"/>
              </w:rPr>
              <w:t xml:space="preserve">Sales &amp; Operations Planning</w:t>
            </w:r>
          </w:p>
        </w:tc>
        <w:tc>
          <w:tcPr>
            <w:tcW w:type="dxa" w:w="844"/>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Dec</w:t>
            </w:r>
          </w:p>
        </w:tc>
        <w:tc>
          <w:tcPr>
            <w:tcW w:type="dxa" w:w="844"/>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Jan</w:t>
            </w:r>
          </w:p>
        </w:tc>
        <w:tc>
          <w:tcPr>
            <w:tcW w:type="dxa" w:w="844"/>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Feb</w:t>
            </w:r>
          </w:p>
        </w:tc>
        <w:tc>
          <w:tcPr>
            <w:tcW w:type="dxa" w:w="844"/>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Mar</w:t>
            </w:r>
          </w:p>
        </w:tc>
        <w:tc>
          <w:tcPr>
            <w:tcW w:type="dxa" w:w="844"/>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Apr</w:t>
            </w:r>
          </w:p>
        </w:tc>
        <w:tc>
          <w:tcPr>
            <w:tcW w:type="dxa" w:w="844"/>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May</w:t>
            </w:r>
          </w:p>
        </w:tc>
        <w:tc>
          <w:tcPr>
            <w:tcW w:type="dxa" w:w="844"/>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June</w:t>
            </w:r>
          </w:p>
        </w:tc>
        <w:tc>
          <w:tcPr>
            <w:tcW w:type="dxa" w:w="844"/>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July</w:t>
            </w:r>
          </w:p>
        </w:tc>
        <w:tc>
          <w:tcPr>
            <w:tcW w:type="dxa" w:w="844"/>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Aug</w:t>
            </w:r>
          </w:p>
        </w:tc>
        <w:tc>
          <w:tcPr>
            <w:tcW w:type="dxa" w:w="844"/>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Sep</w:t>
            </w:r>
          </w:p>
        </w:tc>
        <w:tc>
          <w:tcPr>
            <w:tcW w:type="dxa" w:w="844"/>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Oct</w:t>
            </w:r>
          </w:p>
        </w:tc>
        <w:tc>
          <w:tcPr>
            <w:tcW w:type="dxa" w:w="844"/>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Nov</w:t>
            </w:r>
          </w:p>
        </w:tc>
        <w:tc>
          <w:tcPr>
            <w:tcW w:type="dxa" w:w="852"/>
            <w:tcBorders>
              <w:top w:val="single" w:color="B4C6E7" w:sz="1"/>
              <w:left w:val="single" w:color="B4C6E7" w:sz="1"/>
              <w:bottom w:val="single" w:color="B4C6E7" w:sz="1"/>
              <w:right w:val="single" w:color="B4C6E7" w:sz="1"/>
            </w:tcBorders>
            <w:shd w:fill="1F3864" w:val="clear"/>
            <w:tcMar>
              <w:top w:type="dxa" w:w="50"/>
              <w:left w:type="dxa" w:w="60"/>
              <w:bottom w:type="dxa" w:w="50"/>
              <w:right w:type="dxa" w:w="60"/>
            </w:tcMar>
          </w:tcPr>
          <w:p>
            <w:pPr>
              <w:jc w:val="center"/>
            </w:pPr>
            <w:r>
              <w:rPr>
                <w:b/>
                <w:bCs/>
                <w:color w:val="FFFFFF"/>
                <w:sz w:val="17"/>
                <w:szCs w:val="17"/>
              </w:rPr>
              <w:t xml:space="preserve">Dec</w:t>
            </w:r>
          </w:p>
        </w:tc>
      </w:tr>
      <w:tr>
        <w:tc>
          <w:tcPr>
            <w:tcW w:type="dxa" w:w="2700"/>
            <w:tcBorders>
              <w:top w:val="single" w:color="B4C6E7" w:sz="1"/>
              <w:left w:val="single" w:color="B4C6E7" w:sz="1"/>
              <w:bottom w:val="single" w:color="B4C6E7" w:sz="1"/>
              <w:right w:val="single" w:color="B4C6E7" w:sz="1"/>
            </w:tcBorders>
            <w:shd w:fill="EAF0F8" w:val="clear"/>
            <w:tcMar>
              <w:top w:type="dxa" w:w="40"/>
              <w:left w:type="dxa" w:w="90"/>
              <w:bottom w:type="dxa" w:w="40"/>
              <w:right w:type="dxa" w:w="60"/>
            </w:tcMar>
          </w:tcPr>
          <w:p>
            <w:r>
              <w:rPr>
                <w:b/>
                <w:bCs/>
                <w:color w:val="1F3864"/>
                <w:sz w:val="18"/>
                <w:szCs w:val="18"/>
              </w:rPr>
              <w:t xml:space="preserve">Sales Forecast</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4,120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4,120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4,635</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5,150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5,150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5,459</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5,665</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5,922.5</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6,180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6,180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6,474</w:t>
            </w:r>
          </w:p>
        </w:tc>
        <w:tc>
          <w:tcPr>
            <w:tcW w:type="dxa" w:w="852"/>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6,477</w:t>
            </w:r>
          </w:p>
        </w:tc>
      </w:tr>
      <w:tr>
        <w:tc>
          <w:tcPr>
            <w:tcW w:type="dxa" w:w="2700"/>
            <w:tcBorders>
              <w:top w:val="single" w:color="B4C6E7" w:sz="1"/>
              <w:left w:val="single" w:color="B4C6E7" w:sz="1"/>
              <w:bottom w:val="single" w:color="B4C6E7" w:sz="1"/>
              <w:right w:val="single" w:color="B4C6E7" w:sz="1"/>
            </w:tcBorders>
            <w:shd w:fill="FDEFE3" w:val="clear"/>
            <w:tcMar>
              <w:top w:type="dxa" w:w="40"/>
              <w:left w:type="dxa" w:w="90"/>
              <w:bottom w:type="dxa" w:w="40"/>
              <w:right w:type="dxa" w:w="60"/>
            </w:tcMar>
          </w:tcPr>
          <w:p>
            <w:r>
              <w:rPr>
                <w:b/>
                <w:bCs/>
                <w:color w:val="1F3864"/>
                <w:sz w:val="18"/>
                <w:szCs w:val="18"/>
              </w:rPr>
              <w:t xml:space="preserve">Production Plan</w:t>
            </w:r>
          </w:p>
        </w:tc>
        <w:tc>
          <w:tcPr>
            <w:tcW w:type="dxa" w:w="844"/>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
            </w:r>
          </w:p>
        </w:tc>
        <w:tc>
          <w:tcPr>
            <w:tcW w:type="dxa" w:w="844"/>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5,000</w:t>
            </w:r>
          </w:p>
        </w:tc>
        <w:tc>
          <w:tcPr>
            <w:tcW w:type="dxa" w:w="844"/>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4,120</w:t>
            </w:r>
          </w:p>
        </w:tc>
        <w:tc>
          <w:tcPr>
            <w:tcW w:type="dxa" w:w="844"/>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4,635</w:t>
            </w:r>
          </w:p>
        </w:tc>
        <w:tc>
          <w:tcPr>
            <w:tcW w:type="dxa" w:w="844"/>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5,150</w:t>
            </w:r>
          </w:p>
        </w:tc>
        <w:tc>
          <w:tcPr>
            <w:tcW w:type="dxa" w:w="844"/>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5,150</w:t>
            </w:r>
          </w:p>
        </w:tc>
        <w:tc>
          <w:tcPr>
            <w:tcW w:type="dxa" w:w="844"/>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5,459</w:t>
            </w:r>
          </w:p>
        </w:tc>
        <w:tc>
          <w:tcPr>
            <w:tcW w:type="dxa" w:w="844"/>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5,665</w:t>
            </w:r>
          </w:p>
        </w:tc>
        <w:tc>
          <w:tcPr>
            <w:tcW w:type="dxa" w:w="844"/>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5,922.5</w:t>
            </w:r>
          </w:p>
        </w:tc>
        <w:tc>
          <w:tcPr>
            <w:tcW w:type="dxa" w:w="844"/>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6,180</w:t>
            </w:r>
          </w:p>
        </w:tc>
        <w:tc>
          <w:tcPr>
            <w:tcW w:type="dxa" w:w="844"/>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6,180</w:t>
            </w:r>
          </w:p>
        </w:tc>
        <w:tc>
          <w:tcPr>
            <w:tcW w:type="dxa" w:w="844"/>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6,600</w:t>
            </w:r>
          </w:p>
        </w:tc>
        <w:tc>
          <w:tcPr>
            <w:tcW w:type="dxa" w:w="852"/>
            <w:tcBorders>
              <w:top w:val="single" w:color="B4C6E7" w:sz="1"/>
              <w:left w:val="single" w:color="B4C6E7" w:sz="1"/>
              <w:bottom w:val="single" w:color="B4C6E7" w:sz="1"/>
              <w:right w:val="single" w:color="B4C6E7" w:sz="1"/>
            </w:tcBorders>
            <w:shd w:fill="FDEFE3" w:val="clear"/>
            <w:tcMar>
              <w:top w:type="dxa" w:w="40"/>
              <w:left w:type="dxa" w:w="30"/>
              <w:bottom w:type="dxa" w:w="40"/>
              <w:right w:type="dxa" w:w="55"/>
            </w:tcMar>
          </w:tcPr>
          <w:p>
            <w:pPr>
              <w:jc w:val="right"/>
            </w:pPr>
            <w:r>
              <w:rPr>
                <w:b/>
                <w:bCs/>
                <w:color w:val="1F3864"/>
                <w:sz w:val="18"/>
                <w:szCs w:val="18"/>
              </w:rPr>
              <w:t xml:space="preserve">5,500</w:t>
            </w:r>
          </w:p>
        </w:tc>
      </w:tr>
      <w:tr>
        <w:tc>
          <w:tcPr>
            <w:tcW w:type="dxa" w:w="2700"/>
            <w:tcBorders>
              <w:top w:val="single" w:color="B4C6E7" w:sz="1"/>
              <w:left w:val="single" w:color="B4C6E7" w:sz="1"/>
              <w:bottom w:val="single" w:color="B4C6E7" w:sz="1"/>
              <w:right w:val="single" w:color="B4C6E7" w:sz="1"/>
            </w:tcBorders>
            <w:shd w:fill="EAF0F8" w:val="clear"/>
            <w:tcMar>
              <w:top w:type="dxa" w:w="40"/>
              <w:left w:type="dxa" w:w="90"/>
              <w:bottom w:type="dxa" w:w="40"/>
              <w:right w:type="dxa" w:w="60"/>
            </w:tcMar>
          </w:tcPr>
          <w:p>
            <w:r>
              <w:rPr>
                <w:b/>
                <w:bCs/>
                <w:color w:val="1F3864"/>
                <w:sz w:val="18"/>
                <w:szCs w:val="18"/>
              </w:rPr>
              <w:t xml:space="preserve">Inventory</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500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1,380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1,380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1,380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1,380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1,380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1,380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1,380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1,380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1,380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1,380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1,506</w:t>
            </w:r>
          </w:p>
        </w:tc>
        <w:tc>
          <w:tcPr>
            <w:tcW w:type="dxa" w:w="852"/>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529</w:t>
            </w:r>
          </w:p>
        </w:tc>
      </w:tr>
      <w:tr>
        <w:tc>
          <w:tcPr>
            <w:tcW w:type="dxa" w:w="2700"/>
            <w:tcBorders>
              <w:top w:val="single" w:color="B4C6E7" w:sz="1"/>
              <w:left w:val="single" w:color="B4C6E7" w:sz="1"/>
              <w:bottom w:val="single" w:color="B4C6E7" w:sz="1"/>
              <w:right w:val="single" w:color="B4C6E7" w:sz="1"/>
            </w:tcBorders>
            <w:shd w:fill="FFFFFF" w:val="clear"/>
            <w:tcMar>
              <w:top w:type="dxa" w:w="40"/>
              <w:left w:type="dxa" w:w="90"/>
              <w:bottom w:type="dxa" w:w="40"/>
              <w:right w:type="dxa" w:w="60"/>
            </w:tcMar>
          </w:tcPr>
          <w:p>
            <w:r>
              <w:rPr>
                <w:b/>
                <w:bCs/>
                <w:color w:val="1F3864"/>
                <w:sz w:val="18"/>
                <w:szCs w:val="18"/>
              </w:rPr>
              <w:t xml:space="preserve">Working Days</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18</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16</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20</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20</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20</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18</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18</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20</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20</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20</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22</w:t>
            </w:r>
          </w:p>
        </w:tc>
        <w:tc>
          <w:tcPr>
            <w:tcW w:type="dxa" w:w="852"/>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18</w:t>
            </w:r>
          </w:p>
        </w:tc>
      </w:tr>
      <w:tr>
        <w:tc>
          <w:tcPr>
            <w:tcW w:type="dxa" w:w="2700"/>
            <w:tcBorders>
              <w:top w:val="single" w:color="B4C6E7" w:sz="1"/>
              <w:left w:val="single" w:color="B4C6E7" w:sz="1"/>
              <w:bottom w:val="single" w:color="B4C6E7" w:sz="1"/>
              <w:right w:val="single" w:color="B4C6E7" w:sz="1"/>
            </w:tcBorders>
            <w:shd w:fill="EAF0F8" w:val="clear"/>
            <w:tcMar>
              <w:top w:type="dxa" w:w="40"/>
              <w:left w:type="dxa" w:w="90"/>
              <w:bottom w:type="dxa" w:w="40"/>
              <w:right w:type="dxa" w:w="60"/>
            </w:tcMar>
          </w:tcPr>
          <w:p>
            <w:r>
              <w:rPr>
                <w:b/>
                <w:bCs/>
                <w:color w:val="1F3864"/>
                <w:sz w:val="18"/>
                <w:szCs w:val="18"/>
              </w:rPr>
              <w:t xml:space="preserve">Capacity (shipping)</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5,760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5,120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6,400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6,400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6,400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5,760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5,760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6,400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6,400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6,400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7,040</w:t>
            </w:r>
          </w:p>
        </w:tc>
        <w:tc>
          <w:tcPr>
            <w:tcW w:type="dxa" w:w="852"/>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5,760</w:t>
            </w:r>
          </w:p>
        </w:tc>
      </w:tr>
      <w:tr>
        <w:tc>
          <w:tcPr>
            <w:tcW w:type="dxa" w:w="2700"/>
            <w:tcBorders>
              <w:top w:val="single" w:color="B4C6E7" w:sz="1"/>
              <w:left w:val="single" w:color="B4C6E7" w:sz="1"/>
              <w:bottom w:val="single" w:color="B4C6E7" w:sz="1"/>
              <w:right w:val="single" w:color="B4C6E7" w:sz="1"/>
            </w:tcBorders>
            <w:shd w:fill="FFFFFF" w:val="clear"/>
            <w:tcMar>
              <w:top w:type="dxa" w:w="40"/>
              <w:left w:type="dxa" w:w="90"/>
              <w:bottom w:type="dxa" w:w="40"/>
              <w:right w:type="dxa" w:w="60"/>
            </w:tcMar>
          </w:tcPr>
          <w:p>
            <w:r>
              <w:rPr>
                <w:b/>
                <w:bCs/>
                <w:color w:val="1F3864"/>
                <w:sz w:val="18"/>
                <w:szCs w:val="18"/>
              </w:rPr>
              <w:t xml:space="preserve">Utilization</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86.8%</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80.5%</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72.4%</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80.5%</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80.5%</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94.8%</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98.4%</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92.5%</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96.6%</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96.6%</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93.8%</w:t>
            </w:r>
          </w:p>
        </w:tc>
        <w:tc>
          <w:tcPr>
            <w:tcW w:type="dxa" w:w="852"/>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95.5%</w:t>
            </w:r>
          </w:p>
        </w:tc>
      </w:tr>
      <w:tr>
        <w:tc>
          <w:tcPr>
            <w:tcW w:type="dxa" w:w="2700"/>
            <w:tcBorders>
              <w:top w:val="single" w:color="B4C6E7" w:sz="1"/>
              <w:left w:val="single" w:color="B4C6E7" w:sz="1"/>
              <w:bottom w:val="single" w:color="B4C6E7" w:sz="1"/>
              <w:right w:val="single" w:color="B4C6E7" w:sz="1"/>
            </w:tcBorders>
            <w:shd w:fill="EAF0F8" w:val="clear"/>
            <w:tcMar>
              <w:top w:type="dxa" w:w="40"/>
              <w:left w:type="dxa" w:w="90"/>
              <w:bottom w:type="dxa" w:w="40"/>
              <w:right w:type="dxa" w:w="60"/>
            </w:tcMar>
          </w:tcPr>
          <w:p>
            <w:r>
              <w:rPr>
                <w:b/>
                <w:bCs/>
                <w:color w:val="1F3864"/>
                <w:sz w:val="18"/>
                <w:szCs w:val="18"/>
              </w:rPr>
              <w:t xml:space="preserve">Air Storm [50%]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2,500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2,060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2,317.5</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2,575</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2,575</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2,729.5</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2,832.5</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2,961.25</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3,090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3,090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3,300</w:t>
            </w:r>
          </w:p>
        </w:tc>
        <w:tc>
          <w:tcPr>
            <w:tcW w:type="dxa" w:w="852"/>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2,750</w:t>
            </w:r>
          </w:p>
        </w:tc>
      </w:tr>
      <w:tr>
        <w:tc>
          <w:tcPr>
            <w:tcW w:type="dxa" w:w="2700"/>
            <w:tcBorders>
              <w:top w:val="single" w:color="B4C6E7" w:sz="1"/>
              <w:left w:val="single" w:color="B4C6E7" w:sz="1"/>
              <w:bottom w:val="single" w:color="B4C6E7" w:sz="1"/>
              <w:right w:val="single" w:color="B4C6E7" w:sz="1"/>
            </w:tcBorders>
            <w:shd w:fill="FFFFFF" w:val="clear"/>
            <w:tcMar>
              <w:top w:type="dxa" w:w="40"/>
              <w:left w:type="dxa" w:w="90"/>
              <w:bottom w:type="dxa" w:w="40"/>
              <w:right w:type="dxa" w:w="60"/>
            </w:tcMar>
          </w:tcPr>
          <w:p>
            <w:r>
              <w:rPr>
                <w:b/>
                <w:bCs/>
                <w:color w:val="1F3864"/>
                <w:sz w:val="18"/>
                <w:szCs w:val="18"/>
              </w:rPr>
              <w:t xml:space="preserve">Sky High [30%]</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1,500</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1,236</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1,390.5</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1,545</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1,545</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1,637.7</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1,699.5</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1,776.75</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1,854</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1,854</w:t>
            </w:r>
          </w:p>
        </w:tc>
        <w:tc>
          <w:tcPr>
            <w:tcW w:type="dxa" w:w="844"/>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1,980</w:t>
            </w:r>
          </w:p>
        </w:tc>
        <w:tc>
          <w:tcPr>
            <w:tcW w:type="dxa" w:w="852"/>
            <w:tcBorders>
              <w:top w:val="single" w:color="B4C6E7" w:sz="1"/>
              <w:left w:val="single" w:color="B4C6E7" w:sz="1"/>
              <w:bottom w:val="single" w:color="B4C6E7" w:sz="1"/>
              <w:right w:val="single" w:color="B4C6E7" w:sz="1"/>
            </w:tcBorders>
            <w:shd w:fill="FFFFFF" w:val="clear"/>
            <w:tcMar>
              <w:top w:type="dxa" w:w="40"/>
              <w:left w:type="dxa" w:w="30"/>
              <w:bottom w:type="dxa" w:w="40"/>
              <w:right w:type="dxa" w:w="55"/>
            </w:tcMar>
          </w:tcPr>
          <w:p>
            <w:pPr>
              <w:jc w:val="right"/>
            </w:pPr>
            <w:r>
              <w:rPr>
                <w:b w:val="false"/>
                <w:bCs w:val="false"/>
                <w:color w:val="262626"/>
                <w:sz w:val="18"/>
                <w:szCs w:val="18"/>
              </w:rPr>
              <w:t xml:space="preserve">1,650</w:t>
            </w:r>
          </w:p>
        </w:tc>
      </w:tr>
      <w:tr>
        <w:tc>
          <w:tcPr>
            <w:tcW w:type="dxa" w:w="2700"/>
            <w:tcBorders>
              <w:top w:val="single" w:color="B4C6E7" w:sz="1"/>
              <w:left w:val="single" w:color="B4C6E7" w:sz="1"/>
              <w:bottom w:val="single" w:color="B4C6E7" w:sz="1"/>
              <w:right w:val="single" w:color="B4C6E7" w:sz="1"/>
            </w:tcBorders>
            <w:shd w:fill="EAF0F8" w:val="clear"/>
            <w:tcMar>
              <w:top w:type="dxa" w:w="40"/>
              <w:left w:type="dxa" w:w="90"/>
              <w:bottom w:type="dxa" w:w="40"/>
              <w:right w:type="dxa" w:w="60"/>
            </w:tcMar>
          </w:tcPr>
          <w:p>
            <w:r>
              <w:rPr>
                <w:b/>
                <w:bCs/>
                <w:color w:val="1F3864"/>
                <w:sz w:val="18"/>
                <w:szCs w:val="18"/>
              </w:rPr>
              <w:t xml:space="preserve">Gravity Kicks [20%]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1,000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824</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927</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1,030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1,030</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1,091.8</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1,133</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1,184.5</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1,236</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1,236</w:t>
            </w:r>
          </w:p>
        </w:tc>
        <w:tc>
          <w:tcPr>
            <w:tcW w:type="dxa" w:w="844"/>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1,320</w:t>
            </w:r>
          </w:p>
        </w:tc>
        <w:tc>
          <w:tcPr>
            <w:tcW w:type="dxa" w:w="852"/>
            <w:tcBorders>
              <w:top w:val="single" w:color="B4C6E7" w:sz="1"/>
              <w:left w:val="single" w:color="B4C6E7" w:sz="1"/>
              <w:bottom w:val="single" w:color="B4C6E7" w:sz="1"/>
              <w:right w:val="single" w:color="B4C6E7" w:sz="1"/>
            </w:tcBorders>
            <w:shd w:fill="EAF0F8" w:val="clear"/>
            <w:tcMar>
              <w:top w:type="dxa" w:w="40"/>
              <w:left w:type="dxa" w:w="30"/>
              <w:bottom w:type="dxa" w:w="40"/>
              <w:right w:type="dxa" w:w="55"/>
            </w:tcMar>
          </w:tcPr>
          <w:p>
            <w:pPr>
              <w:jc w:val="right"/>
            </w:pPr>
            <w:r>
              <w:rPr>
                <w:b w:val="false"/>
                <w:bCs w:val="false"/>
                <w:color w:val="262626"/>
                <w:sz w:val="18"/>
                <w:szCs w:val="18"/>
              </w:rPr>
              <w:t xml:space="preserve">1,100</w:t>
            </w:r>
          </w:p>
        </w:tc>
      </w:tr>
    </w:tbl>
    <w:p>
      <w:pPr>
        <w:spacing w:after="70"/>
      </w:pPr>
    </w:p>
    <w:p>
      <w:pPr>
        <w:pStyle w:val="Heading3"/>
      </w:pPr>
      <w:r>
        <w:t xml:space="preserve">How to put this in Excel (months Jan–Dec are columns D–O; the prior Dec is column C)</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9480"/>
      </w:tblGrid>
      <w:tr>
        <w:trPr>
          <w:tblHeader/>
        </w:trPr>
        <w:tc>
          <w:tcPr>
            <w:tcW w:type="dxa" w:w="4200"/>
            <w:tcBorders>
              <w:top w:val="single" w:color="B4C6E7" w:sz="1"/>
              <w:left w:val="single" w:color="B4C6E7" w:sz="1"/>
              <w:bottom w:val="single" w:color="B4C6E7" w:sz="1"/>
              <w:right w:val="single" w:color="B4C6E7" w:sz="1"/>
            </w:tcBorders>
            <w:shd w:fill="2E5496" w:val="clear"/>
            <w:tcMar>
              <w:top w:type="dxa" w:w="50"/>
              <w:left w:type="dxa" w:w="90"/>
              <w:bottom w:type="dxa" w:w="50"/>
              <w:right w:type="dxa" w:w="90"/>
            </w:tcMar>
          </w:tcPr>
          <w:p>
            <w:r>
              <w:rPr>
                <w:b/>
                <w:bCs/>
                <w:color w:val="FFFFFF"/>
                <w:sz w:val="18"/>
                <w:szCs w:val="18"/>
              </w:rPr>
              <w:t xml:space="preserve">Spreadsheet row / cell</w:t>
            </w:r>
          </w:p>
        </w:tc>
        <w:tc>
          <w:tcPr>
            <w:tcW w:type="dxa" w:w="9480"/>
            <w:tcBorders>
              <w:top w:val="single" w:color="B4C6E7" w:sz="1"/>
              <w:left w:val="single" w:color="B4C6E7" w:sz="1"/>
              <w:bottom w:val="single" w:color="B4C6E7" w:sz="1"/>
              <w:right w:val="single" w:color="B4C6E7" w:sz="1"/>
            </w:tcBorders>
            <w:shd w:fill="2E5496" w:val="clear"/>
            <w:tcMar>
              <w:top w:type="dxa" w:w="50"/>
              <w:left w:type="dxa" w:w="90"/>
              <w:bottom w:type="dxa" w:w="50"/>
              <w:right w:type="dxa" w:w="90"/>
            </w:tcMar>
          </w:tcPr>
          <w:p>
            <w:r>
              <w:rPr>
                <w:b/>
                <w:bCs/>
                <w:color w:val="FFFFFF"/>
                <w:sz w:val="18"/>
                <w:szCs w:val="18"/>
              </w:rPr>
              <w:t xml:space="preserve">Excel formula (and what it means)</w:t>
            </w:r>
          </w:p>
        </w:tc>
      </w:tr>
      <w:tr>
        <w:tc>
          <w:tcPr>
            <w:tcW w:type="dxa" w:w="420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b/>
                <w:bCs/>
                <w:color w:val="1F3864"/>
                <w:sz w:val="18"/>
                <w:szCs w:val="18"/>
              </w:rPr>
              <w:t xml:space="preserve">Sales Forecast (row 15)</w:t>
            </w:r>
          </w:p>
        </w:tc>
        <w:tc>
          <w:tcPr>
            <w:tcW w:type="dxa" w:w="948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rFonts w:ascii="Consolas" w:cs="Consolas" w:eastAsia="Consolas" w:hAnsi="Consolas"/>
                <w:color w:val="1A4A7A"/>
                <w:sz w:val="18"/>
                <w:szCs w:val="18"/>
              </w:rPr>
              <w:t xml:space="preserve">=C11</w:t>
            </w:r>
            <w:r>
              <w:rPr>
                <w:color w:val="595959"/>
                <w:sz w:val="18"/>
                <w:szCs w:val="18"/>
              </w:rPr>
              <w:t xml:space="preserve">  — pulls each month’s forecast from Activity 1</w:t>
            </w:r>
          </w:p>
        </w:tc>
      </w:tr>
      <w:tr>
        <w:tc>
          <w:tcPr>
            <w:tcW w:type="dxa" w:w="4200"/>
            <w:tcBorders>
              <w:top w:val="single" w:color="B4C6E7" w:sz="1"/>
              <w:left w:val="single" w:color="B4C6E7" w:sz="1"/>
              <w:bottom w:val="single" w:color="B4C6E7" w:sz="1"/>
              <w:right w:val="single" w:color="B4C6E7" w:sz="1"/>
            </w:tcBorders>
            <w:shd w:fill="FFFFFF" w:val="clear"/>
            <w:tcMar>
              <w:top w:type="dxa" w:w="40"/>
              <w:left w:type="dxa" w:w="90"/>
              <w:bottom w:type="dxa" w:w="40"/>
              <w:right w:type="dxa" w:w="90"/>
            </w:tcMar>
          </w:tcPr>
          <w:p>
            <w:r>
              <w:rPr>
                <w:b/>
                <w:bCs/>
                <w:color w:val="1F3864"/>
                <w:sz w:val="18"/>
                <w:szCs w:val="18"/>
              </w:rPr>
              <w:t xml:space="preserve">Production Plan (row 16)</w:t>
            </w:r>
          </w:p>
        </w:tc>
        <w:tc>
          <w:tcPr>
            <w:tcW w:type="dxa" w:w="9480"/>
            <w:tcBorders>
              <w:top w:val="single" w:color="B4C6E7" w:sz="1"/>
              <w:left w:val="single" w:color="B4C6E7" w:sz="1"/>
              <w:bottom w:val="single" w:color="B4C6E7" w:sz="1"/>
              <w:right w:val="single" w:color="B4C6E7" w:sz="1"/>
            </w:tcBorders>
            <w:shd w:fill="FFFFFF" w:val="clear"/>
            <w:tcMar>
              <w:top w:type="dxa" w:w="40"/>
              <w:left w:type="dxa" w:w="90"/>
              <w:bottom w:type="dxa" w:w="40"/>
              <w:right w:type="dxa" w:w="90"/>
            </w:tcMar>
          </w:tcPr>
          <w:p>
            <w:r>
              <w:rPr>
                <w:rFonts w:ascii="Consolas" w:cs="Consolas" w:eastAsia="Consolas" w:hAnsi="Consolas"/>
                <w:color w:val="1A4A7A"/>
                <w:sz w:val="18"/>
                <w:szCs w:val="18"/>
              </w:rPr>
              <w:t xml:space="preserve">type the values</w:t>
            </w:r>
            <w:r>
              <w:rPr>
                <w:color w:val="595959"/>
                <w:sz w:val="18"/>
                <w:szCs w:val="18"/>
              </w:rPr>
              <w:t xml:space="preserve">  — the planner’s decision — found by trial-and-error</w:t>
            </w:r>
          </w:p>
        </w:tc>
      </w:tr>
      <w:tr>
        <w:tc>
          <w:tcPr>
            <w:tcW w:type="dxa" w:w="420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b/>
                <w:bCs/>
                <w:color w:val="1F3864"/>
                <w:sz w:val="18"/>
                <w:szCs w:val="18"/>
              </w:rPr>
              <w:t xml:space="preserve">Inventory (row 17)</w:t>
            </w:r>
          </w:p>
        </w:tc>
        <w:tc>
          <w:tcPr>
            <w:tcW w:type="dxa" w:w="948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rFonts w:ascii="Consolas" w:cs="Consolas" w:eastAsia="Consolas" w:hAnsi="Consolas"/>
                <w:color w:val="1A4A7A"/>
                <w:sz w:val="18"/>
                <w:szCs w:val="18"/>
              </w:rPr>
              <w:t xml:space="preserve">=C17+D16-D15</w:t>
            </w:r>
            <w:r>
              <w:rPr>
                <w:color w:val="595959"/>
                <w:sz w:val="18"/>
                <w:szCs w:val="18"/>
              </w:rPr>
              <w:t xml:space="preserve">  — beginning inventory + production − forecast</w:t>
            </w:r>
          </w:p>
        </w:tc>
      </w:tr>
      <w:tr>
        <w:tc>
          <w:tcPr>
            <w:tcW w:type="dxa" w:w="4200"/>
            <w:tcBorders>
              <w:top w:val="single" w:color="B4C6E7" w:sz="1"/>
              <w:left w:val="single" w:color="B4C6E7" w:sz="1"/>
              <w:bottom w:val="single" w:color="B4C6E7" w:sz="1"/>
              <w:right w:val="single" w:color="B4C6E7" w:sz="1"/>
            </w:tcBorders>
            <w:shd w:fill="FFFFFF" w:val="clear"/>
            <w:tcMar>
              <w:top w:type="dxa" w:w="40"/>
              <w:left w:type="dxa" w:w="90"/>
              <w:bottom w:type="dxa" w:w="40"/>
              <w:right w:type="dxa" w:w="90"/>
            </w:tcMar>
          </w:tcPr>
          <w:p>
            <w:r>
              <w:rPr>
                <w:b/>
                <w:bCs/>
                <w:color w:val="1F3864"/>
                <w:sz w:val="18"/>
                <w:szCs w:val="18"/>
              </w:rPr>
              <w:t xml:space="preserve">Capacity (row 19)</w:t>
            </w:r>
          </w:p>
        </w:tc>
        <w:tc>
          <w:tcPr>
            <w:tcW w:type="dxa" w:w="9480"/>
            <w:tcBorders>
              <w:top w:val="single" w:color="B4C6E7" w:sz="1"/>
              <w:left w:val="single" w:color="B4C6E7" w:sz="1"/>
              <w:bottom w:val="single" w:color="B4C6E7" w:sz="1"/>
              <w:right w:val="single" w:color="B4C6E7" w:sz="1"/>
            </w:tcBorders>
            <w:shd w:fill="FFFFFF" w:val="clear"/>
            <w:tcMar>
              <w:top w:type="dxa" w:w="40"/>
              <w:left w:type="dxa" w:w="90"/>
              <w:bottom w:type="dxa" w:w="40"/>
              <w:right w:type="dxa" w:w="90"/>
            </w:tcMar>
          </w:tcPr>
          <w:p>
            <w:r>
              <w:rPr>
                <w:rFonts w:ascii="Consolas" w:cs="Consolas" w:eastAsia="Consolas" w:hAnsi="Consolas"/>
                <w:color w:val="1A4A7A"/>
                <w:sz w:val="18"/>
                <w:szCs w:val="18"/>
              </w:rPr>
              <w:t xml:space="preserve">=$C$28*$C$29*D18</w:t>
            </w:r>
            <w:r>
              <w:rPr>
                <w:color w:val="595959"/>
                <w:sz w:val="18"/>
                <w:szCs w:val="18"/>
              </w:rPr>
              <w:t xml:space="preserve">  — 40 × 8 × working days</w:t>
            </w:r>
          </w:p>
        </w:tc>
      </w:tr>
      <w:tr>
        <w:tc>
          <w:tcPr>
            <w:tcW w:type="dxa" w:w="420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b/>
                <w:bCs/>
                <w:color w:val="1F3864"/>
                <w:sz w:val="18"/>
                <w:szCs w:val="18"/>
              </w:rPr>
              <w:t xml:space="preserve">Utilization (row 20)</w:t>
            </w:r>
          </w:p>
        </w:tc>
        <w:tc>
          <w:tcPr>
            <w:tcW w:type="dxa" w:w="948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rFonts w:ascii="Consolas" w:cs="Consolas" w:eastAsia="Consolas" w:hAnsi="Consolas"/>
                <w:color w:val="1A4A7A"/>
                <w:sz w:val="18"/>
                <w:szCs w:val="18"/>
              </w:rPr>
              <w:t xml:space="preserve">=D16/D19</w:t>
            </w:r>
            <w:r>
              <w:rPr>
                <w:color w:val="595959"/>
                <w:sz w:val="18"/>
                <w:szCs w:val="18"/>
              </w:rPr>
              <w:t xml:space="preserve">  — production ÷ capacity (format the cell as %)</w:t>
            </w:r>
          </w:p>
        </w:tc>
      </w:tr>
      <w:tr>
        <w:tc>
          <w:tcPr>
            <w:tcW w:type="dxa" w:w="4200"/>
            <w:tcBorders>
              <w:top w:val="single" w:color="B4C6E7" w:sz="1"/>
              <w:left w:val="single" w:color="B4C6E7" w:sz="1"/>
              <w:bottom w:val="single" w:color="B4C6E7" w:sz="1"/>
              <w:right w:val="single" w:color="B4C6E7" w:sz="1"/>
            </w:tcBorders>
            <w:shd w:fill="FFFFFF" w:val="clear"/>
            <w:tcMar>
              <w:top w:type="dxa" w:w="40"/>
              <w:left w:type="dxa" w:w="90"/>
              <w:bottom w:type="dxa" w:w="40"/>
              <w:right w:type="dxa" w:w="90"/>
            </w:tcMar>
          </w:tcPr>
          <w:p>
            <w:r>
              <w:rPr>
                <w:b/>
                <w:bCs/>
                <w:color w:val="1F3864"/>
                <w:sz w:val="18"/>
                <w:szCs w:val="18"/>
              </w:rPr>
              <w:t xml:space="preserve">Air Storm (row 21)</w:t>
            </w:r>
          </w:p>
        </w:tc>
        <w:tc>
          <w:tcPr>
            <w:tcW w:type="dxa" w:w="9480"/>
            <w:tcBorders>
              <w:top w:val="single" w:color="B4C6E7" w:sz="1"/>
              <w:left w:val="single" w:color="B4C6E7" w:sz="1"/>
              <w:bottom w:val="single" w:color="B4C6E7" w:sz="1"/>
              <w:right w:val="single" w:color="B4C6E7" w:sz="1"/>
            </w:tcBorders>
            <w:shd w:fill="FFFFFF" w:val="clear"/>
            <w:tcMar>
              <w:top w:type="dxa" w:w="40"/>
              <w:left w:type="dxa" w:w="90"/>
              <w:bottom w:type="dxa" w:w="40"/>
              <w:right w:type="dxa" w:w="90"/>
            </w:tcMar>
          </w:tcPr>
          <w:p>
            <w:r>
              <w:rPr>
                <w:rFonts w:ascii="Consolas" w:cs="Consolas" w:eastAsia="Consolas" w:hAnsi="Consolas"/>
                <w:color w:val="1A4A7A"/>
                <w:sz w:val="18"/>
                <w:szCs w:val="18"/>
              </w:rPr>
              <w:t xml:space="preserve">=0.5*D16</w:t>
            </w:r>
            <w:r>
              <w:rPr>
                <w:color w:val="595959"/>
                <w:sz w:val="18"/>
                <w:szCs w:val="18"/>
              </w:rPr>
              <w:t xml:space="preserve">  — 50% of production (unrounded, to match the key)</w:t>
            </w:r>
          </w:p>
        </w:tc>
      </w:tr>
      <w:tr>
        <w:tc>
          <w:tcPr>
            <w:tcW w:type="dxa" w:w="420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b/>
                <w:bCs/>
                <w:color w:val="1F3864"/>
                <w:sz w:val="18"/>
                <w:szCs w:val="18"/>
              </w:rPr>
              <w:t xml:space="preserve">Sky High (row 22)</w:t>
            </w:r>
          </w:p>
        </w:tc>
        <w:tc>
          <w:tcPr>
            <w:tcW w:type="dxa" w:w="9480"/>
            <w:tcBorders>
              <w:top w:val="single" w:color="B4C6E7" w:sz="1"/>
              <w:left w:val="single" w:color="B4C6E7" w:sz="1"/>
              <w:bottom w:val="single" w:color="B4C6E7" w:sz="1"/>
              <w:right w:val="single" w:color="B4C6E7" w:sz="1"/>
            </w:tcBorders>
            <w:shd w:fill="F2F6FB" w:val="clear"/>
            <w:tcMar>
              <w:top w:type="dxa" w:w="40"/>
              <w:left w:type="dxa" w:w="90"/>
              <w:bottom w:type="dxa" w:w="40"/>
              <w:right w:type="dxa" w:w="90"/>
            </w:tcMar>
          </w:tcPr>
          <w:p>
            <w:r>
              <w:rPr>
                <w:rFonts w:ascii="Consolas" w:cs="Consolas" w:eastAsia="Consolas" w:hAnsi="Consolas"/>
                <w:color w:val="1A4A7A"/>
                <w:sz w:val="18"/>
                <w:szCs w:val="18"/>
              </w:rPr>
              <w:t xml:space="preserve">=0.3*D16</w:t>
            </w:r>
            <w:r>
              <w:rPr>
                <w:color w:val="595959"/>
                <w:sz w:val="18"/>
                <w:szCs w:val="18"/>
              </w:rPr>
              <w:t xml:space="preserve">  — 30% of production</w:t>
            </w:r>
          </w:p>
        </w:tc>
      </w:tr>
      <w:tr>
        <w:tc>
          <w:tcPr>
            <w:tcW w:type="dxa" w:w="4200"/>
            <w:tcBorders>
              <w:top w:val="single" w:color="B4C6E7" w:sz="1"/>
              <w:left w:val="single" w:color="B4C6E7" w:sz="1"/>
              <w:bottom w:val="single" w:color="B4C6E7" w:sz="1"/>
              <w:right w:val="single" w:color="B4C6E7" w:sz="1"/>
            </w:tcBorders>
            <w:shd w:fill="FFFFFF" w:val="clear"/>
            <w:tcMar>
              <w:top w:type="dxa" w:w="40"/>
              <w:left w:type="dxa" w:w="90"/>
              <w:bottom w:type="dxa" w:w="40"/>
              <w:right w:type="dxa" w:w="90"/>
            </w:tcMar>
          </w:tcPr>
          <w:p>
            <w:r>
              <w:rPr>
                <w:b/>
                <w:bCs/>
                <w:color w:val="1F3864"/>
                <w:sz w:val="18"/>
                <w:szCs w:val="18"/>
              </w:rPr>
              <w:t xml:space="preserve">Gravity Kicks (row 23)</w:t>
            </w:r>
          </w:p>
        </w:tc>
        <w:tc>
          <w:tcPr>
            <w:tcW w:type="dxa" w:w="9480"/>
            <w:tcBorders>
              <w:top w:val="single" w:color="B4C6E7" w:sz="1"/>
              <w:left w:val="single" w:color="B4C6E7" w:sz="1"/>
              <w:bottom w:val="single" w:color="B4C6E7" w:sz="1"/>
              <w:right w:val="single" w:color="B4C6E7" w:sz="1"/>
            </w:tcBorders>
            <w:shd w:fill="FFFFFF" w:val="clear"/>
            <w:tcMar>
              <w:top w:type="dxa" w:w="40"/>
              <w:left w:type="dxa" w:w="90"/>
              <w:bottom w:type="dxa" w:w="40"/>
              <w:right w:type="dxa" w:w="90"/>
            </w:tcMar>
          </w:tcPr>
          <w:p>
            <w:r>
              <w:rPr>
                <w:rFonts w:ascii="Consolas" w:cs="Consolas" w:eastAsia="Consolas" w:hAnsi="Consolas"/>
                <w:color w:val="1A4A7A"/>
                <w:sz w:val="18"/>
                <w:szCs w:val="18"/>
              </w:rPr>
              <w:t xml:space="preserve">=0.2*D16</w:t>
            </w:r>
            <w:r>
              <w:rPr>
                <w:color w:val="595959"/>
                <w:sz w:val="18"/>
                <w:szCs w:val="18"/>
              </w:rPr>
              <w:t xml:space="preserve">  — 20% of production; the three add to exactly D16</w:t>
            </w:r>
          </w:p>
        </w:tc>
      </w:tr>
    </w:tbl>
    <w:p>
      <w:pPr>
        <w:pStyle w:val="Heading2"/>
        <w:pageBreakBefore/>
      </w:pPr>
      <w:r>
        <w:t xml:space="preserve">3.8  The production plan is not unique — a second valid answer</w:t>
      </w:r>
    </w:p>
    <w:p>
      <w:pPr>
        <w:spacing w:after="120" w:line="278"/>
      </w:pPr>
      <w:r>
        <w:t xml:space="preserve">Because the production plan is a trial-and-error decision, more than one plan can be correct. The answer key (used above) carries a large cushion all year. A leaner plan keeps only the opening 500 pairs, builds a small amount just before December, and ends exactly on the 100-pair safety stock. Both meet every rule — they simply trade inventory holding cost against how tightly they run.</w:t>
      </w:r>
    </w:p>
    <w:tbl>
      <w:tblPr>
        <w:tblW w:type="dxa" w:w="104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600"/>
      </w:tblGrid>
      <w:tr>
        <w:trPr>
          <w:tblHeader/>
        </w:trPr>
        <w:tc>
          <w:tcPr>
            <w:tcW w:type="dxa" w:w="32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left"/>
            </w:pPr>
            <w:r>
              <w:rPr>
                <w:b/>
                <w:bCs/>
                <w:color w:val="FFFFFF"/>
                <w:sz w:val="18"/>
                <w:szCs w:val="18"/>
              </w:rPr>
              <w:t xml:space="preserve">What to compare</w:t>
            </w:r>
          </w:p>
        </w:tc>
        <w:tc>
          <w:tcPr>
            <w:tcW w:type="dxa" w:w="36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center"/>
            </w:pPr>
            <w:r>
              <w:rPr>
                <w:b/>
                <w:bCs/>
                <w:color w:val="FFFFFF"/>
                <w:sz w:val="18"/>
                <w:szCs w:val="18"/>
              </w:rPr>
              <w:t xml:space="preserve">Answer-key plan (used in this guide)</w:t>
            </w:r>
          </w:p>
        </w:tc>
        <w:tc>
          <w:tcPr>
            <w:tcW w:type="dxa" w:w="3600"/>
            <w:tcBorders>
              <w:top w:val="single" w:color="B4C6E7" w:sz="1"/>
              <w:left w:val="single" w:color="B4C6E7" w:sz="1"/>
              <w:bottom w:val="single" w:color="B4C6E7" w:sz="1"/>
              <w:right w:val="single" w:color="B4C6E7" w:sz="1"/>
            </w:tcBorders>
            <w:shd w:fill="1F3864" w:val="clear"/>
            <w:tcMar>
              <w:top w:type="dxa" w:w="50"/>
              <w:left w:type="dxa" w:w="70"/>
              <w:bottom w:type="dxa" w:w="50"/>
              <w:right w:type="dxa" w:w="70"/>
            </w:tcMar>
          </w:tcPr>
          <w:p>
            <w:pPr>
              <w:jc w:val="center"/>
            </w:pPr>
            <w:r>
              <w:rPr>
                <w:b/>
                <w:bCs/>
                <w:color w:val="FFFFFF"/>
                <w:sz w:val="18"/>
                <w:szCs w:val="18"/>
              </w:rPr>
              <w:t xml:space="preserve">Leaner alternative</w:t>
            </w:r>
          </w:p>
        </w:tc>
      </w:tr>
      <w:tr>
        <w:tc>
          <w:tcPr>
            <w:tcW w:type="dxa" w:w="32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January production</w:t>
            </w:r>
          </w:p>
        </w:tc>
        <w:tc>
          <w:tcPr>
            <w:tcW w:type="dxa" w:w="3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5,000 (build the cushion early)</w:t>
            </w:r>
          </w:p>
        </w:tc>
        <w:tc>
          <w:tcPr>
            <w:tcW w:type="dxa" w:w="3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4,120 (just meet demand)</w:t>
            </w:r>
          </w:p>
        </w:tc>
      </w:tr>
      <w:tr>
        <w:tc>
          <w:tcPr>
            <w:tcW w:type="dxa" w:w="32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Inventory most of the year</w:t>
            </w:r>
          </w:p>
        </w:tc>
        <w:tc>
          <w:tcPr>
            <w:tcW w:type="dxa" w:w="3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 1,380 pairs</w:t>
            </w:r>
          </w:p>
        </w:tc>
        <w:tc>
          <w:tcPr>
            <w:tcW w:type="dxa" w:w="3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 500 pairs</w:t>
            </w:r>
          </w:p>
        </w:tc>
      </w:tr>
      <w:tr>
        <w:tc>
          <w:tcPr>
            <w:tcW w:type="dxa" w:w="32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November production</w:t>
            </w:r>
          </w:p>
        </w:tc>
        <w:tc>
          <w:tcPr>
            <w:tcW w:type="dxa" w:w="3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6,600</w:t>
            </w:r>
          </w:p>
        </w:tc>
        <w:tc>
          <w:tcPr>
            <w:tcW w:type="dxa" w:w="3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6,609</w:t>
            </w:r>
          </w:p>
        </w:tc>
      </w:tr>
      <w:tr>
        <w:tc>
          <w:tcPr>
            <w:tcW w:type="dxa" w:w="32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December production</w:t>
            </w:r>
          </w:p>
        </w:tc>
        <w:tc>
          <w:tcPr>
            <w:tcW w:type="dxa" w:w="3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5,500</w:t>
            </w:r>
          </w:p>
        </w:tc>
        <w:tc>
          <w:tcPr>
            <w:tcW w:type="dxa" w:w="3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5,702</w:t>
            </w:r>
          </w:p>
        </w:tc>
      </w:tr>
      <w:tr>
        <w:tc>
          <w:tcPr>
            <w:tcW w:type="dxa" w:w="32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left"/>
            </w:pPr>
            <w:r>
              <w:rPr>
                <w:b/>
                <w:bCs/>
                <w:color w:val="1F3864"/>
                <w:sz w:val="18"/>
                <w:szCs w:val="18"/>
              </w:rPr>
              <w:t xml:space="preserve">Inventory at year end</w:t>
            </w:r>
          </w:p>
        </w:tc>
        <w:tc>
          <w:tcPr>
            <w:tcW w:type="dxa" w:w="3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529</w:t>
            </w:r>
          </w:p>
        </w:tc>
        <w:tc>
          <w:tcPr>
            <w:tcW w:type="dxa" w:w="3600"/>
            <w:tcBorders>
              <w:top w:val="single" w:color="B4C6E7" w:sz="1"/>
              <w:left w:val="single" w:color="B4C6E7" w:sz="1"/>
              <w:bottom w:val="single" w:color="B4C6E7" w:sz="1"/>
              <w:right w:val="single" w:color="B4C6E7" w:sz="1"/>
            </w:tcBorders>
            <w:shd w:fill="EAF0F8" w:val="clear"/>
            <w:tcMar>
              <w:top w:type="dxa" w:w="42"/>
              <w:left w:type="dxa" w:w="70"/>
              <w:bottom w:type="dxa" w:w="42"/>
              <w:right w:type="dxa" w:w="70"/>
            </w:tcMar>
          </w:tcPr>
          <w:p>
            <w:pPr>
              <w:jc w:val="center"/>
            </w:pPr>
            <w:r>
              <w:rPr>
                <w:color w:val="262626"/>
                <w:sz w:val="18"/>
                <w:szCs w:val="18"/>
              </w:rPr>
              <w:t xml:space="preserve">100 (exactly safety stock)</w:t>
            </w:r>
          </w:p>
        </w:tc>
      </w:tr>
      <w:tr>
        <w:tc>
          <w:tcPr>
            <w:tcW w:type="dxa" w:w="32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left"/>
            </w:pPr>
            <w:r>
              <w:rPr>
                <w:b/>
                <w:bCs/>
                <w:color w:val="1F3864"/>
                <w:sz w:val="18"/>
                <w:szCs w:val="18"/>
              </w:rPr>
              <w:t xml:space="preserve">Busiest month (utilization)</w:t>
            </w:r>
          </w:p>
        </w:tc>
        <w:tc>
          <w:tcPr>
            <w:tcW w:type="dxa" w:w="3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98.4% (July)</w:t>
            </w:r>
          </w:p>
        </w:tc>
        <w:tc>
          <w:tcPr>
            <w:tcW w:type="dxa" w:w="3600"/>
            <w:tcBorders>
              <w:top w:val="single" w:color="B4C6E7" w:sz="1"/>
              <w:left w:val="single" w:color="B4C6E7" w:sz="1"/>
              <w:bottom w:val="single" w:color="B4C6E7" w:sz="1"/>
              <w:right w:val="single" w:color="B4C6E7" w:sz="1"/>
            </w:tcBorders>
            <w:shd w:fill="FFFFFF" w:val="clear"/>
            <w:tcMar>
              <w:top w:type="dxa" w:w="42"/>
              <w:left w:type="dxa" w:w="70"/>
              <w:bottom w:type="dxa" w:w="42"/>
              <w:right w:type="dxa" w:w="70"/>
            </w:tcMar>
          </w:tcPr>
          <w:p>
            <w:pPr>
              <w:jc w:val="center"/>
            </w:pPr>
            <w:r>
              <w:rPr>
                <w:color w:val="262626"/>
                <w:sz w:val="18"/>
                <w:szCs w:val="18"/>
              </w:rPr>
              <w:t xml:space="preserve">99.0% (December)</w:t>
            </w:r>
          </w:p>
        </w:tc>
      </w:tr>
      <w:tr>
        <w:tc>
          <w:tcPr>
            <w:tcW w:type="dxa" w:w="32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left"/>
            </w:pPr>
            <w:r>
              <w:rPr>
                <w:b/>
                <w:bCs/>
                <w:color w:val="1F3864"/>
                <w:sz w:val="18"/>
                <w:szCs w:val="18"/>
              </w:rPr>
              <w:t xml:space="preserve">Meets all three rules?</w:t>
            </w:r>
          </w:p>
        </w:tc>
        <w:tc>
          <w:tcPr>
            <w:tcW w:type="dxa" w:w="36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center"/>
            </w:pPr>
            <w:r>
              <w:rPr>
                <w:color w:val="262626"/>
                <w:sz w:val="18"/>
                <w:szCs w:val="18"/>
              </w:rPr>
              <w:t xml:space="preserve">Yes</w:t>
            </w:r>
          </w:p>
        </w:tc>
        <w:tc>
          <w:tcPr>
            <w:tcW w:type="dxa" w:w="3600"/>
            <w:tcBorders>
              <w:top w:val="single" w:color="B4C6E7" w:sz="1"/>
              <w:left w:val="single" w:color="B4C6E7" w:sz="1"/>
              <w:bottom w:val="single" w:color="B4C6E7" w:sz="1"/>
              <w:right w:val="single" w:color="B4C6E7" w:sz="1"/>
            </w:tcBorders>
            <w:shd w:fill="FDEFE3" w:val="clear"/>
            <w:tcMar>
              <w:top w:type="dxa" w:w="42"/>
              <w:left w:type="dxa" w:w="70"/>
              <w:bottom w:type="dxa" w:w="42"/>
              <w:right w:type="dxa" w:w="70"/>
            </w:tcMar>
          </w:tcPr>
          <w:p>
            <w:pPr>
              <w:jc w:val="center"/>
            </w:pPr>
            <w:r>
              <w:rPr>
                <w:color w:val="262626"/>
                <w:sz w:val="18"/>
                <w:szCs w:val="18"/>
              </w:rPr>
              <w:t xml:space="preserve">Yes</w:t>
            </w:r>
          </w:p>
        </w:tc>
      </w:tr>
    </w:tbl>
    <w:p>
      <w:pPr>
        <w:spacing w:after="3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F2F6FB" w:sz="1"/>
              <w:left w:val="single" w:color="2E5496" w:sz="20"/>
              <w:bottom w:val="single" w:color="F2F6FB" w:sz="1"/>
              <w:right w:val="single" w:color="F2F6FB" w:sz="1"/>
            </w:tcBorders>
            <w:shd w:fill="F2F6FB" w:val="clear"/>
            <w:tcMar>
              <w:top w:type="dxa" w:w="140"/>
              <w:left w:type="dxa" w:w="200"/>
              <w:bottom w:type="dxa" w:w="140"/>
              <w:right w:type="dxa" w:w="200"/>
            </w:tcMar>
          </w:tcPr>
          <w:p>
            <w:pPr>
              <w:spacing w:after="70"/>
            </w:pPr>
            <w:r>
              <w:rPr>
                <w:b/>
                <w:bCs/>
                <w:color w:val="21364F"/>
              </w:rPr>
              <w:t xml:space="preserve">Which one should you submit?</w:t>
            </w:r>
          </w:p>
          <w:p>
            <w:pPr>
              <w:spacing w:after="60" w:line="268"/>
            </w:pPr>
            <w:r>
              <w:rPr>
                <w:color w:val="21364F"/>
              </w:rPr>
              <w:t xml:space="preserve">Use the answer-key plan above — it is the model answer your marker will compare against.</w:t>
            </w:r>
          </w:p>
          <w:p>
            <w:pPr>
              <w:spacing w:after="0" w:line="268"/>
            </w:pPr>
            <w:r>
              <w:rPr>
                <w:color w:val="21364F"/>
              </w:rPr>
              <w:t xml:space="preserve">But if your numbers differ from a classmate’s, you are not necessarily wrong: check that your plan meets demand every month, keeps inventory ≥ 100, and keeps utilization ≤ 99%. If it does, it is a valid plan too.</w:t>
            </w:r>
          </w:p>
        </w:tc>
      </w:tr>
    </w:tbl>
    <w:p>
      <w:pPr>
        <w:pStyle w:val="Heading1"/>
        <w:pageBreakBefore/>
      </w:pPr>
      <w:r>
        <w:t xml:space="preserve">4.  Checking your answer (do this before you submit)</w:t>
      </w:r>
    </w:p>
    <w:p>
      <w:pPr>
        <w:spacing w:after="120" w:line="278"/>
      </w:pPr>
      <w:r>
        <w:t xml:space="preserve">Run through these five checks. If all five pass, your tables are correct.</w:t>
      </w:r>
    </w:p>
    <w:p>
      <w:pPr>
        <w:pStyle w:val="ListParagraph"/>
        <w:numPr>
          <w:ilvl w:val="0"/>
          <w:numId w:val="5"/>
        </w:numPr>
        <w:spacing w:after="80" w:line="272"/>
      </w:pPr>
      <w:r>
        <w:rPr>
          <w:b/>
          <w:bCs/>
          <w:color w:val="1F3864"/>
        </w:rPr>
        <w:t xml:space="preserve">Forecast logic:</w:t>
      </w:r>
      <w:r>
        <w:t xml:space="preserve">  did you remove last year’s promotions before applying 3% growth, and add this year’s promotions afterwards (Nov +500, Dec +400, nothing in June)?</w:t>
      </w:r>
    </w:p>
    <w:p>
      <w:pPr>
        <w:pStyle w:val="ListParagraph"/>
        <w:numPr>
          <w:ilvl w:val="0"/>
          <w:numId w:val="5"/>
        </w:numPr>
        <w:spacing w:after="80" w:line="272"/>
      </w:pPr>
      <w:r>
        <w:rPr>
          <w:b/>
          <w:bCs/>
          <w:color w:val="1F3864"/>
        </w:rPr>
        <w:t xml:space="preserve">Inventory never below 100:</w:t>
      </w:r>
      <w:r>
        <w:t xml:space="preserve">  in the answer key’s plan the minimum is 529 (December) — comfortably above the 100-pair safety stock.</w:t>
      </w:r>
    </w:p>
    <w:p>
      <w:pPr>
        <w:pStyle w:val="ListParagraph"/>
        <w:numPr>
          <w:ilvl w:val="0"/>
          <w:numId w:val="5"/>
        </w:numPr>
        <w:spacing w:after="80" w:line="272"/>
      </w:pPr>
      <w:r>
        <w:rPr>
          <w:b/>
          <w:bCs/>
          <w:color w:val="1F3864"/>
        </w:rPr>
        <w:t xml:space="preserve">Utilization never above 99%:</w:t>
      </w:r>
      <w:r>
        <w:t xml:space="preserve">  the highest is July at 98.4%; every month is within the 99% limit.</w:t>
      </w:r>
    </w:p>
    <w:p>
      <w:pPr>
        <w:pStyle w:val="ListParagraph"/>
        <w:numPr>
          <w:ilvl w:val="0"/>
          <w:numId w:val="5"/>
        </w:numPr>
        <w:spacing w:after="80" w:line="272"/>
      </w:pPr>
      <w:r>
        <w:rPr>
          <w:b/>
          <w:bCs/>
          <w:color w:val="1F3864"/>
        </w:rPr>
        <w:t xml:space="preserve">December demand met:</w:t>
      </w:r>
      <w:r>
        <w:t xml:space="preserve">  6,477 pairs are supplied even though the factory makes only 5,500 in December — the rest comes from the inventory cushion built up earlier.</w:t>
      </w:r>
    </w:p>
    <w:p>
      <w:pPr>
        <w:pStyle w:val="ListParagraph"/>
        <w:numPr>
          <w:ilvl w:val="0"/>
          <w:numId w:val="5"/>
        </w:numPr>
        <w:spacing w:after="80" w:line="272"/>
      </w:pPr>
      <w:r>
        <w:rPr>
          <w:b/>
          <w:bCs/>
          <w:color w:val="1F3864"/>
        </w:rPr>
        <w:t xml:space="preserve">Products add up:</w:t>
      </w:r>
      <w:r>
        <w:t xml:space="preserve">  Air Storm + Sky High + Gravity Kicks equals the production plan in every column.</w:t>
      </w:r>
    </w:p>
    <w:p>
      <w:pPr>
        <w:spacing w:after="60"/>
      </w:pPr>
    </w:p>
    <w:p>
      <w:pPr>
        <w:pStyle w:val="Heading1"/>
        <w:pageBreakBefore/>
      </w:pPr>
      <w:r>
        <w:t xml:space="preserve">5.  Common mistakes to avoid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FBEAEA" w:sz="1"/>
              <w:left w:val="single" w:color="C0392B" w:sz="20"/>
              <w:bottom w:val="single" w:color="FBEAEA" w:sz="1"/>
              <w:right w:val="single" w:color="FBEAEA" w:sz="1"/>
            </w:tcBorders>
            <w:shd w:fill="FBEAEA" w:val="clear"/>
            <w:tcMar>
              <w:top w:type="dxa" w:w="140"/>
              <w:left w:type="dxa" w:w="200"/>
              <w:bottom w:type="dxa" w:w="140"/>
              <w:right w:type="dxa" w:w="200"/>
            </w:tcMar>
          </w:tcPr>
          <w:p>
            <w:pPr>
              <w:spacing w:after="70"/>
            </w:pPr>
            <w:r>
              <w:rPr>
                <w:b/>
                <w:bCs/>
                <w:color w:val="6A1B1B"/>
              </w:rPr>
              <w:t xml:space="preserve">The five traps students fall into</w:t>
            </w:r>
          </w:p>
          <w:p>
            <w:pPr>
              <w:spacing w:after="60" w:line="268"/>
            </w:pPr>
            <w:r>
              <w:rPr>
                <w:color w:val="6A1B1B"/>
              </w:rPr>
              <w:t xml:space="preserve">1.  Growing the wrong number. Always remove last year’s promotion FIRST, then grow. Growing 6,200 instead of 5,800 for November inflates the answer.</w:t>
            </w:r>
          </w:p>
          <w:p>
            <w:pPr>
              <w:spacing w:after="60" w:line="268"/>
            </w:pPr>
            <w:r>
              <w:rPr>
                <w:color w:val="6A1B1B"/>
              </w:rPr>
              <w:t xml:space="preserve">2.  Adding a June promotion this year. There isn’t one — only November and December have promotions in 2023.</w:t>
            </w:r>
          </w:p>
          <w:p>
            <w:pPr>
              <w:spacing w:after="60" w:line="268"/>
            </w:pPr>
            <w:r>
              <w:rPr>
                <w:color w:val="6A1B1B"/>
              </w:rPr>
              <w:t xml:space="preserve">3.  Making exactly the forecast every month. That breaks in December, where the factory cannot keep up. You must build inventory ahead of time.</w:t>
            </w:r>
          </w:p>
          <w:p>
            <w:pPr>
              <w:spacing w:after="60" w:line="268"/>
            </w:pPr>
            <w:r>
              <w:rPr>
                <w:color w:val="6A1B1B"/>
              </w:rPr>
              <w:t xml:space="preserve">4.  Forgetting the opening inventory is 500, not 100. The 100 is the safety-stock floor; the 500 is what you actually start with.</w:t>
            </w:r>
          </w:p>
          <w:p>
            <w:pPr>
              <w:spacing w:after="0" w:line="268"/>
            </w:pPr>
            <w:r>
              <w:rPr>
                <w:color w:val="6A1B1B"/>
              </w:rPr>
              <w:t xml:space="preserve">5.  Letting utilization tip over 99%, or letting inventory fall below 100. Re-check both rows after any change to production.</w:t>
            </w:r>
          </w:p>
        </w:tc>
      </w:tr>
    </w:tbl>
    <w:p>
      <w:pPr>
        <w:spacing w:after="60"/>
      </w:pPr>
    </w:p>
    <w:p>
      <w:pPr>
        <w:pStyle w:val="Heading1"/>
        <w:pageBreakBefore/>
      </w:pPr>
      <w:r>
        <w:t xml:space="preserve">6.  Why a company needs an integrated (ERP) system</w:t>
      </w:r>
    </w:p>
    <w:p>
      <w:pPr>
        <w:spacing w:after="120" w:line="278"/>
      </w:pPr>
      <w:r>
        <w:t xml:space="preserve">Notice how many departments had to share the same numbers to fill in these two tables:</w:t>
      </w:r>
    </w:p>
    <w:p>
      <w:pPr>
        <w:pStyle w:val="ListParagraph"/>
        <w:numPr>
          <w:ilvl w:val="0"/>
          <w:numId w:val="2"/>
        </w:numPr>
        <w:spacing w:after="80" w:line="272"/>
      </w:pPr>
      <w:r>
        <w:rPr>
          <w:b/>
          <w:bCs/>
        </w:rPr>
        <w:t xml:space="preserve">Marketing &amp; Sales</w:t>
      </w:r>
      <w:r>
        <w:t xml:space="preserve">  provided the sales history and the promotion plans — the inputs to the forecast.</w:t>
      </w:r>
    </w:p>
    <w:p>
      <w:pPr>
        <w:pStyle w:val="ListParagraph"/>
        <w:numPr>
          <w:ilvl w:val="0"/>
          <w:numId w:val="2"/>
        </w:numPr>
        <w:spacing w:after="80" w:line="272"/>
      </w:pPr>
      <w:r>
        <w:rPr>
          <w:b/>
          <w:bCs/>
        </w:rPr>
        <w:t xml:space="preserve">Production</w:t>
      </w:r>
      <w:r>
        <w:t xml:space="preserve">  provided the working-day calendar and the capacity, and owns the production plan.</w:t>
      </w:r>
    </w:p>
    <w:p>
      <w:pPr>
        <w:pStyle w:val="ListParagraph"/>
        <w:numPr>
          <w:ilvl w:val="0"/>
          <w:numId w:val="2"/>
        </w:numPr>
        <w:spacing w:after="80" w:line="272"/>
      </w:pPr>
      <w:r>
        <w:rPr>
          <w:b/>
          <w:bCs/>
        </w:rPr>
        <w:t xml:space="preserve">Supply Chain / Purchasing</w:t>
      </w:r>
      <w:r>
        <w:t xml:space="preserve">  will take this production plan into the next step (MRP) to order materials at the right time.</w:t>
      </w:r>
    </w:p>
    <w:p>
      <w:pPr>
        <w:spacing w:after="120" w:line="278"/>
      </w:pPr>
      <w:r>
        <w:t xml:space="preserve">In a company without an integrated system (the book’s Fitter Snacker before ERP), these numbers live in separate, out-of-date spreadsheets that are not shared. The December capacity problem would only be noticed when the factory physically ran out of time — forcing costly overtime or lost sales. An ERP system keeps the forecast, the calendar, the inventory and the production plan in one shared database, so the “build a cushion early” decision can be made calmly, well before December. That is the real lesson of Chapter 4.</w:t>
      </w:r>
    </w:p>
    <w:p>
      <w:pPr>
        <w:spacing w:after="4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680"/>
      </w:tblGrid>
      <w:tr>
        <w:trPr>
          <w:cantSplit/>
        </w:trPr>
        <w:tc>
          <w:tcPr>
            <w:tcW w:type="dxa" w:w="13680"/>
            <w:tcBorders>
              <w:top w:val="single" w:color="E7F2E7" w:sz="1"/>
              <w:left w:val="single" w:color="2E7D32" w:sz="20"/>
              <w:bottom w:val="single" w:color="E7F2E7" w:sz="1"/>
              <w:right w:val="single" w:color="E7F2E7" w:sz="1"/>
            </w:tcBorders>
            <w:shd w:fill="E7F2E7" w:val="clear"/>
            <w:tcMar>
              <w:top w:type="dxa" w:w="140"/>
              <w:left w:type="dxa" w:w="200"/>
              <w:bottom w:type="dxa" w:w="140"/>
              <w:right w:type="dxa" w:w="200"/>
            </w:tcMar>
          </w:tcPr>
          <w:p>
            <w:pPr>
              <w:spacing w:after="70"/>
            </w:pPr>
            <w:r>
              <w:rPr>
                <w:b/>
                <w:bCs/>
                <w:color w:val="1E4620"/>
              </w:rPr>
              <w:t xml:space="preserve">The whole tutorial in two sentences</w:t>
            </w:r>
          </w:p>
          <w:p>
            <w:pPr>
              <w:spacing w:after="60" w:line="268"/>
            </w:pPr>
            <w:r>
              <w:rPr>
                <w:color w:val="1E4620"/>
              </w:rPr>
              <w:t xml:space="preserve">Forecast 2023 demand by growing the promotion-cleaned 2022 base by 3% and adding the new November and December promotions.</w:t>
            </w:r>
          </w:p>
          <w:p>
            <w:pPr>
              <w:spacing w:after="0" w:line="268"/>
            </w:pPr>
            <w:r>
              <w:rPr>
                <w:color w:val="1E4620"/>
              </w:rPr>
              <w:t xml:space="preserve">Then build a production plan that meets that demand, keeps at least 100 pairs of safety stock, stays at or below 99% capacity, and carries an inventory cushion (built up early in the year) so December’s capacity shortfall is covered.</w:t>
            </w:r>
          </w:p>
        </w:tc>
      </w:tr>
    </w:tbl>
    <w:p>
      <w:pPr>
        <w:spacing w:after="40"/>
      </w:pPr>
    </w:p>
    <w:p>
      <w:pPr>
        <w:spacing w:after="120" w:line="278"/>
      </w:pPr>
      <w:r>
        <w:rPr>
          <w:i/>
          <w:iCs/>
          <w:color w:val="595959"/>
          <w:sz w:val="19"/>
          <w:szCs w:val="19"/>
        </w:rPr>
        <w:t xml:space="preserve">A completed, self-calculating Excel workbook accompanies this guide. Every cell is driven by the formulas shown above, so you can change any input — the growth rate, a promotion, or the working days — and watch the entire plan recalculate instantly.</w:t>
      </w:r>
    </w:p>
    <w:sectPr>
      <w:footerReference w:type="default" r:id="rId7"/>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4" w:space="6"/>
      </w:pBdr>
      <w:jc w:val="center"/>
    </w:pPr>
    <w:r>
      <w:rPr>
        <w:color w:val="595959"/>
        <w:sz w:val="16"/>
        <w:szCs w:val="16"/>
      </w:rPr>
      <w:t xml:space="preserve">Tutorial 6 — Sales Forecast &amp; S&amp;OP (Footloose Sports) — Detailed Student Edition   |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70"/>
      </w:pPr>
      <w:rPr>
        <w:color w:val="C55A11"/>
      </w:rPr>
    </w:lvl>
    <w:lvl w:ilvl="1" w15:tentative="1">
      <w:start w:val="1"/>
      <w:numFmt w:val="bullet"/>
      <w:lvlText w:val="–"/>
      <w:lvlJc w:val="left"/>
      <w:pPr>
        <w:ind w:left="920" w:hanging="270"/>
      </w:pPr>
    </w:lvl>
  </w:abstractNum>
  <w:abstractNum w:abstractNumId="3" w15:restartNumberingAfterBreak="0">
    <w:multiLevelType w:val="hybridMultilevel"/>
    <w:lvl w:ilvl="0" w15:tentative="1">
      <w:start w:val="1"/>
      <w:numFmt w:val="decimal"/>
      <w:lvlText w:val="%1."/>
      <w:lvlJc w:val="left"/>
      <w:pPr>
        <w:ind w:left="470" w:hanging="300"/>
      </w:pPr>
      <w:rPr>
        <w:b/>
        <w:bCs/>
        <w:color w:val="1F3864"/>
      </w:rPr>
    </w:lvl>
  </w:abstractNum>
  <w:abstractNum w:abstractNumId="4" w15:restartNumberingAfterBreak="0">
    <w:multiLevelType w:val="hybridMultilevel"/>
    <w:lvl w:ilvl="0" w15:tentative="1">
      <w:start w:val="1"/>
      <w:numFmt w:val="decimal"/>
      <w:lvlText w:val="%1."/>
      <w:lvlJc w:val="left"/>
      <w:pPr>
        <w:ind w:left="470" w:hanging="300"/>
      </w:pPr>
      <w:rPr>
        <w:b/>
        <w:bCs/>
        <w:color w:val="1F3864"/>
      </w:rPr>
    </w:lvl>
  </w:abstractNum>
  <w:abstractNum w:abstractNumId="5" w15:restartNumberingAfterBreak="0">
    <w:multiLevelType w:val="hybridMultilevel"/>
    <w:lvl w:ilvl="0" w15:tentative="1">
      <w:start w:val="1"/>
      <w:numFmt w:val="decimal"/>
      <w:lvlText w:val="%1."/>
      <w:lvlJc w:val="left"/>
      <w:pPr>
        <w:ind w:left="470" w:hanging="30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55A11" w:sz="6" w:space="4"/>
      </w:pBdr>
      <w:spacing w:after="130" w:before="2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90" w:before="180"/>
      <w:outlineLvl w:val="1"/>
    </w:pPr>
    <w:rPr>
      <w:rFonts w:ascii="Calibri" w:cs="Calibri" w:eastAsia="Calibri" w:hAnsi="Calibri"/>
      <w:b/>
      <w:bCs/>
      <w:color w:val="2E5496"/>
      <w:sz w:val="25"/>
      <w:szCs w:val="25"/>
    </w:rPr>
  </w:style>
  <w:style w:type="paragraph" w:styleId="Heading3">
    <w:name w:val="Heading 3"/>
    <w:basedOn w:val="Normal"/>
    <w:next w:val="Normal"/>
    <w:qFormat/>
    <w:pPr>
      <w:keepNext/>
      <w:spacing w:after="70" w:before="14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c52839b9cc6a7c2984d14bbd0e09397d449734.undefined"/><Relationship Id="rId9" Type="http://schemas.openxmlformats.org/officeDocument/2006/relationships/image" Target="media/901e014ed4f70c9cb628ecc9a8789b605f2d3197.undefined"/><Relationship Id="rId10" Type="http://schemas.openxmlformats.org/officeDocument/2006/relationships/image" Target="media/8c26fb9c0dc45d7a70db27e79fa109e73ed342f4.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6 — Sales Forecast and S&amp;OP (Footloose Sports) — Detailed</dc:title>
  <dc:creator>Tutorial 6 Solution (Detailed Student Edition)</dc:creator>
  <cp:lastModifiedBy>Un-named</cp:lastModifiedBy>
  <cp:revision>1</cp:revision>
  <dcterms:created xsi:type="dcterms:W3CDTF">2026-06-23T02:07:23.633Z</dcterms:created>
  <dcterms:modified xsi:type="dcterms:W3CDTF">2026-06-23T02:07:23.634Z</dcterms:modified>
</cp:coreProperties>
</file>

<file path=docProps/custom.xml><?xml version="1.0" encoding="utf-8"?>
<Properties xmlns="http://schemas.openxmlformats.org/officeDocument/2006/custom-properties" xmlns:vt="http://schemas.openxmlformats.org/officeDocument/2006/docPropsVTypes"/>
</file>