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5B48" w14:textId="5FA0F90A" w:rsidR="004450EB" w:rsidRPr="005F3E5E" w:rsidRDefault="00B803E1" w:rsidP="005F3E5E">
      <w:pPr>
        <w:jc w:val="both"/>
        <w:rPr>
          <w:rFonts w:eastAsiaTheme="minorEastAsia"/>
          <w:b/>
          <w:bCs/>
          <w:lang w:val="en-MY"/>
        </w:rPr>
      </w:pPr>
      <w:r w:rsidRPr="00B803E1">
        <w:rPr>
          <w:rFonts w:eastAsiaTheme="minorEastAsia"/>
          <w:b/>
          <w:bCs/>
        </w:rPr>
        <w:t>Beijing’s Global Ambitions for Central Bank Digital Currencies Are Growing Clearer</w:t>
      </w:r>
      <w:r w:rsidRPr="00B803E1">
        <w:rPr>
          <w:rFonts w:eastAsiaTheme="minorEastAsia"/>
          <w:b/>
          <w:bCs/>
        </w:rPr>
        <w:br/>
        <w:t>(R</w:t>
      </w:r>
      <w:r>
        <w:rPr>
          <w:rFonts w:eastAsiaTheme="minorEastAsia"/>
          <w:b/>
          <w:bCs/>
        </w:rPr>
        <w:t>obert Greene</w:t>
      </w:r>
      <w:r w:rsidRPr="00B803E1">
        <w:rPr>
          <w:rFonts w:eastAsiaTheme="minorEastAsia"/>
          <w:b/>
          <w:bCs/>
        </w:rPr>
        <w:t>, O</w:t>
      </w:r>
      <w:r>
        <w:rPr>
          <w:rFonts w:eastAsiaTheme="minorEastAsia"/>
          <w:b/>
          <w:bCs/>
        </w:rPr>
        <w:t>ctober</w:t>
      </w:r>
      <w:r w:rsidRPr="00B803E1">
        <w:rPr>
          <w:rFonts w:eastAsiaTheme="minorEastAsia"/>
          <w:b/>
          <w:bCs/>
        </w:rPr>
        <w:t xml:space="preserve"> 06, 2021) </w:t>
      </w:r>
      <w:r w:rsidR="00797760">
        <w:rPr>
          <w:rFonts w:eastAsiaTheme="minorEastAsia"/>
          <w:b/>
          <w:bCs/>
          <w:lang w:val="en-MY"/>
        </w:rPr>
        <w:t xml:space="preserve"> </w:t>
      </w:r>
    </w:p>
    <w:p w14:paraId="2528C64A" w14:textId="77777777" w:rsidR="005F3E5E" w:rsidRPr="00EF7A49" w:rsidRDefault="005F3E5E" w:rsidP="005F3E5E">
      <w:pPr>
        <w:jc w:val="both"/>
        <w:rPr>
          <w:rFonts w:eastAsiaTheme="minorEastAsia"/>
          <w:lang w:val="en-MY"/>
        </w:rPr>
      </w:pPr>
    </w:p>
    <w:p w14:paraId="2F8DA356" w14:textId="77777777" w:rsidR="00EF7A49" w:rsidRPr="00EF7A49" w:rsidRDefault="00EF7A49" w:rsidP="00EF7A49">
      <w:pPr>
        <w:jc w:val="both"/>
        <w:rPr>
          <w:rFonts w:eastAsiaTheme="minorEastAsia"/>
          <w:b/>
          <w:bCs/>
          <w:lang w:val="en-MY"/>
        </w:rPr>
      </w:pPr>
      <w:r w:rsidRPr="00EF7A49">
        <w:rPr>
          <w:rFonts w:eastAsiaTheme="minorEastAsia"/>
          <w:b/>
          <w:bCs/>
          <w:lang w:val="en-MY"/>
        </w:rPr>
        <w:t>ARTICLE:</w:t>
      </w:r>
    </w:p>
    <w:p w14:paraId="67BFD73B" w14:textId="77777777" w:rsidR="00EF7A49" w:rsidRDefault="00EF7A49" w:rsidP="00EF7A49">
      <w:pPr>
        <w:jc w:val="both"/>
        <w:rPr>
          <w:rFonts w:eastAsiaTheme="minorEastAsia"/>
          <w:lang w:val="en-MY"/>
        </w:rPr>
      </w:pPr>
      <w:r w:rsidRPr="00EF7A49">
        <w:rPr>
          <w:rFonts w:eastAsiaTheme="minorEastAsia"/>
          <w:lang w:val="en-MY"/>
        </w:rPr>
        <w:t>Summary:</w:t>
      </w:r>
      <w:r w:rsidRPr="00EF7A49">
        <w:rPr>
          <w:rFonts w:eastAsiaTheme="minorEastAsia"/>
          <w:lang w:val="en-MY"/>
        </w:rPr>
        <w:br/>
        <w:t>Beijing is actively pursuing alternative cross-border payment channels based on central bank digital currencies (CBDCs) in an effort to weaken the dominance of current systems that heavily depend on the U.S. dollar and U.S.-regulated entities.</w:t>
      </w:r>
    </w:p>
    <w:p w14:paraId="00DB210E" w14:textId="77777777" w:rsidR="00EF7A49" w:rsidRPr="00EF7A49" w:rsidRDefault="00EF7A49" w:rsidP="00EF7A49">
      <w:pPr>
        <w:jc w:val="both"/>
        <w:rPr>
          <w:rFonts w:eastAsiaTheme="minorEastAsia"/>
          <w:lang w:val="en-MY"/>
        </w:rPr>
      </w:pPr>
    </w:p>
    <w:p w14:paraId="45B0ED17" w14:textId="77777777" w:rsidR="00EF7A49" w:rsidRDefault="00EF7A49" w:rsidP="00EF7A49">
      <w:pPr>
        <w:jc w:val="both"/>
        <w:rPr>
          <w:rFonts w:eastAsiaTheme="minorEastAsia"/>
          <w:lang w:val="en-MY"/>
        </w:rPr>
      </w:pPr>
      <w:r w:rsidRPr="00EF7A49">
        <w:rPr>
          <w:rFonts w:eastAsiaTheme="minorEastAsia"/>
          <w:lang w:val="en-MY"/>
        </w:rPr>
        <w:t>As central banks globally weigh the risks and benefits of issuing CBDCs, China is likely to capitalize on frustrations with the inefficiencies of current cross-border payment systems to rally support for its vision of lower-cost alternatives powered by CBDCs. If successful, such systems could enable Chinese firms and their trading partners to reduce reliance on the U.S. dollar for international transactions and bypass payment networks that the U.S. government can restrict for sanctioned entities on national security grounds.</w:t>
      </w:r>
    </w:p>
    <w:p w14:paraId="31A7E858" w14:textId="77777777" w:rsidR="00EF7A49" w:rsidRPr="00EF7A49" w:rsidRDefault="00EF7A49" w:rsidP="00EF7A49">
      <w:pPr>
        <w:jc w:val="both"/>
        <w:rPr>
          <w:rFonts w:eastAsiaTheme="minorEastAsia"/>
          <w:lang w:val="en-MY"/>
        </w:rPr>
      </w:pPr>
    </w:p>
    <w:p w14:paraId="2F847275" w14:textId="77777777" w:rsidR="00EF7A49" w:rsidRDefault="00EF7A49" w:rsidP="00EF7A49">
      <w:pPr>
        <w:jc w:val="both"/>
        <w:rPr>
          <w:rFonts w:eastAsiaTheme="minorEastAsia"/>
          <w:lang w:val="en-MY"/>
        </w:rPr>
      </w:pPr>
      <w:r w:rsidRPr="00EF7A49">
        <w:rPr>
          <w:rFonts w:eastAsiaTheme="minorEastAsia"/>
          <w:lang w:val="en-MY"/>
        </w:rPr>
        <w:t>China’s digital currency initiative—the digital renminbi or e-CNY—is already being designed with these goals in mind. In a July 2021 white paper, the People’s Bank of China (PBOC) declared the digital renminbi "ready for cross-border use." However, for Beijing’s broader ambitions to materialize, the e-CNY must be interoperable with other countries’ CBDCs. As a result, the PBOC is actively involved in developing global CBDC standards and collaborating with other central banks on a multi-CBDC platform.</w:t>
      </w:r>
    </w:p>
    <w:p w14:paraId="5A371956" w14:textId="77777777" w:rsidR="00EF7A49" w:rsidRPr="00EF7A49" w:rsidRDefault="00EF7A49" w:rsidP="00EF7A49">
      <w:pPr>
        <w:jc w:val="both"/>
        <w:rPr>
          <w:rFonts w:eastAsiaTheme="minorEastAsia"/>
          <w:lang w:val="en-MY"/>
        </w:rPr>
      </w:pPr>
    </w:p>
    <w:p w14:paraId="0727C9F3" w14:textId="77777777" w:rsidR="00EF7A49" w:rsidRDefault="00EF7A49" w:rsidP="00EF7A49">
      <w:pPr>
        <w:jc w:val="both"/>
        <w:rPr>
          <w:rFonts w:eastAsiaTheme="minorEastAsia"/>
          <w:lang w:val="en-MY"/>
        </w:rPr>
      </w:pPr>
      <w:r w:rsidRPr="00EF7A49">
        <w:rPr>
          <w:rFonts w:eastAsiaTheme="minorEastAsia"/>
          <w:lang w:val="en-MY"/>
        </w:rPr>
        <w:t>Such an initiative may face governance hurdles, but if successful, it could diminish the impact of U.S. sanctions and reduce the dominance of the U.S. dollar in international business transactions. This is especially likely in emerging markets, where reliance on U.S. dollars—and U.S.-controlled payment systems—is high, yet access to existing cross-border channels is increasingly constrained.</w:t>
      </w:r>
    </w:p>
    <w:p w14:paraId="73E68AFB" w14:textId="77777777" w:rsidR="00EF7A49" w:rsidRPr="00EF7A49" w:rsidRDefault="00EF7A49" w:rsidP="00EF7A49">
      <w:pPr>
        <w:jc w:val="both"/>
        <w:rPr>
          <w:rFonts w:eastAsiaTheme="minorEastAsia"/>
          <w:lang w:val="en-MY"/>
        </w:rPr>
      </w:pPr>
    </w:p>
    <w:p w14:paraId="1C7B21C8" w14:textId="77777777" w:rsidR="00EF7A49" w:rsidRPr="00EF7A49" w:rsidRDefault="00EF7A49" w:rsidP="00EF7A49">
      <w:pPr>
        <w:jc w:val="both"/>
        <w:rPr>
          <w:rFonts w:eastAsiaTheme="minorEastAsia"/>
          <w:lang w:val="en-MY"/>
        </w:rPr>
      </w:pPr>
      <w:r w:rsidRPr="00EF7A49">
        <w:rPr>
          <w:rFonts w:eastAsiaTheme="minorEastAsia"/>
          <w:lang w:val="en-MY"/>
        </w:rPr>
        <w:t>To counter this, Washington must act swiftly to improve the competitiveness of existing payment systems. This includes accelerating efforts to lower costs for large-value cross-border U.S. dollar transactions and supporting both public and private sector innovations aimed at enhancing payment efficiency. Without a stronger policy response to the rising global interest in CBDCs and frustrations with current systems, the U.S. risks losing its leadership over global financial infrastructure.</w:t>
      </w:r>
    </w:p>
    <w:p w14:paraId="3ACBB978" w14:textId="6E6EBA70" w:rsidR="00EF7A49" w:rsidRPr="00EF7A49" w:rsidRDefault="00EF7A49" w:rsidP="00EF7A49">
      <w:pPr>
        <w:jc w:val="both"/>
        <w:rPr>
          <w:rFonts w:eastAsiaTheme="minorEastAsia"/>
          <w:lang w:val="en-MY"/>
        </w:rPr>
      </w:pPr>
    </w:p>
    <w:p w14:paraId="3496F2D5" w14:textId="77777777" w:rsidR="00EF7A49" w:rsidRPr="00EF7A49" w:rsidRDefault="00EF7A49" w:rsidP="00EF7A49">
      <w:pPr>
        <w:jc w:val="both"/>
        <w:rPr>
          <w:rFonts w:eastAsiaTheme="minorEastAsia"/>
          <w:b/>
          <w:bCs/>
          <w:lang w:val="en-MY"/>
        </w:rPr>
      </w:pPr>
      <w:r w:rsidRPr="00EF7A49">
        <w:rPr>
          <w:rFonts w:eastAsiaTheme="minorEastAsia"/>
          <w:b/>
          <w:bCs/>
          <w:lang w:val="en-MY"/>
        </w:rPr>
        <w:t>1. Why the Status Quo in Cross-Border Payments Concerns Beijing</w:t>
      </w:r>
    </w:p>
    <w:p w14:paraId="19CD7BC5" w14:textId="77777777" w:rsidR="00EF7A49" w:rsidRDefault="00EF7A49" w:rsidP="00EF7A49">
      <w:pPr>
        <w:jc w:val="both"/>
        <w:rPr>
          <w:rFonts w:eastAsiaTheme="minorEastAsia"/>
          <w:lang w:val="en-MY"/>
        </w:rPr>
      </w:pPr>
    </w:p>
    <w:p w14:paraId="1DEE9EBC" w14:textId="28F35340" w:rsidR="00EF7A49" w:rsidRDefault="00EF7A49" w:rsidP="00EF7A49">
      <w:pPr>
        <w:jc w:val="both"/>
        <w:rPr>
          <w:rFonts w:eastAsiaTheme="minorEastAsia"/>
          <w:lang w:val="en-MY"/>
        </w:rPr>
      </w:pPr>
      <w:r w:rsidRPr="00EF7A49">
        <w:rPr>
          <w:rFonts w:eastAsiaTheme="minorEastAsia"/>
          <w:lang w:val="en-MY"/>
        </w:rPr>
        <w:t>In its 2021 white paper, the PBOC listed “exploring ways to improve cross-border payments” as a key objective of the digital renminbi. While e-CNY is currently used mainly for small consumer payments, over 95% of global cross-border transactions are business-to-business (B2B) and are projected to exceed USD 150 trillion annually. Statements from executives of state-owned banks and leading think tanks indicate that e-CNY will increasingly be used for B2B cross-border transactions to support China's goal of making the renminbi a dominant regional currency in Asia.</w:t>
      </w:r>
    </w:p>
    <w:p w14:paraId="79BA9742" w14:textId="77777777" w:rsidR="00EF7A49" w:rsidRPr="00EF7A49" w:rsidRDefault="00EF7A49" w:rsidP="00EF7A49">
      <w:pPr>
        <w:jc w:val="both"/>
        <w:rPr>
          <w:rFonts w:eastAsiaTheme="minorEastAsia"/>
          <w:lang w:val="en-MY"/>
        </w:rPr>
      </w:pPr>
    </w:p>
    <w:p w14:paraId="664C6577" w14:textId="77777777" w:rsidR="00EF7A49" w:rsidRDefault="00EF7A49" w:rsidP="00EF7A49">
      <w:pPr>
        <w:jc w:val="both"/>
        <w:rPr>
          <w:rFonts w:eastAsiaTheme="minorEastAsia"/>
          <w:lang w:val="en-MY"/>
        </w:rPr>
      </w:pPr>
      <w:r w:rsidRPr="00EF7A49">
        <w:rPr>
          <w:rFonts w:eastAsiaTheme="minorEastAsia"/>
          <w:lang w:val="en-MY"/>
        </w:rPr>
        <w:t xml:space="preserve">At present, however, most B2B transactions between China and its regional trading partners are conducted in U.S. dollars. Roughly 80% of exports from Central, East, and Southeast Asia are invoiced in U.S. dollars, while only about 20% of China's own trade is settled in renminbi. </w:t>
      </w:r>
      <w:r w:rsidRPr="00EF7A49">
        <w:rPr>
          <w:rFonts w:eastAsiaTheme="minorEastAsia"/>
          <w:lang w:val="en-MY"/>
        </w:rPr>
        <w:lastRenderedPageBreak/>
        <w:t>Globally, U.S. dollar-invoiced trade accounts for around 40% of exports, even though the U.S. itself makes up just 10% of global exports. By contrast, the euro is used in about 45% of export invoicing, closely aligned with the eurozone’s share of exports.</w:t>
      </w:r>
    </w:p>
    <w:p w14:paraId="564398F0" w14:textId="77777777" w:rsidR="00EF7A49" w:rsidRPr="00EF7A49" w:rsidRDefault="00EF7A49" w:rsidP="00EF7A49">
      <w:pPr>
        <w:jc w:val="both"/>
        <w:rPr>
          <w:rFonts w:eastAsiaTheme="minorEastAsia"/>
          <w:lang w:val="en-MY"/>
        </w:rPr>
      </w:pPr>
    </w:p>
    <w:p w14:paraId="1BDD77E6" w14:textId="1116BFAE" w:rsidR="00EF7A49" w:rsidRDefault="00EF7A49" w:rsidP="00EF7A49">
      <w:pPr>
        <w:jc w:val="both"/>
        <w:rPr>
          <w:rFonts w:eastAsiaTheme="minorEastAsia"/>
          <w:lang w:val="en-MY"/>
        </w:rPr>
      </w:pPr>
      <w:r w:rsidRPr="00EF7A49">
        <w:rPr>
          <w:rFonts w:eastAsiaTheme="minorEastAsia"/>
          <w:lang w:val="en-MY"/>
        </w:rPr>
        <w:t xml:space="preserve">This disparity has raised concerns in Beijing. Chinese officials argue that U.S. dollar dominance threatens both global financial stability and China’s financial security. In April 2020, Guo </w:t>
      </w:r>
      <w:proofErr w:type="spellStart"/>
      <w:r w:rsidRPr="00EF7A49">
        <w:rPr>
          <w:rFonts w:eastAsiaTheme="minorEastAsia"/>
          <w:lang w:val="en-MY"/>
        </w:rPr>
        <w:t>Shuqing</w:t>
      </w:r>
      <w:proofErr w:type="spellEnd"/>
      <w:r w:rsidRPr="00EF7A49">
        <w:rPr>
          <w:rFonts w:eastAsiaTheme="minorEastAsia"/>
          <w:lang w:val="en-MY"/>
        </w:rPr>
        <w:t>, Chairman of the China Banking and Insurance Regulatory Commission, warned that the U.S.’s “unprecedented unlimited quantitative easing” undermines financial stability and disproportionately affects emerging markets.</w:t>
      </w:r>
    </w:p>
    <w:p w14:paraId="7220E3DB" w14:textId="77777777" w:rsidR="00EF7A49" w:rsidRPr="00EF7A49" w:rsidRDefault="00EF7A49" w:rsidP="00EF7A49">
      <w:pPr>
        <w:jc w:val="both"/>
        <w:rPr>
          <w:rFonts w:eastAsiaTheme="minorEastAsia"/>
          <w:lang w:val="en-MY"/>
        </w:rPr>
      </w:pPr>
    </w:p>
    <w:p w14:paraId="1A4D7B17" w14:textId="77777777" w:rsidR="00EF7A49" w:rsidRDefault="00EF7A49" w:rsidP="00EF7A49">
      <w:pPr>
        <w:jc w:val="both"/>
        <w:rPr>
          <w:rFonts w:eastAsiaTheme="minorEastAsia"/>
          <w:lang w:val="en-MY"/>
        </w:rPr>
      </w:pPr>
      <w:r w:rsidRPr="00EF7A49">
        <w:rPr>
          <w:rFonts w:eastAsiaTheme="minorEastAsia"/>
          <w:lang w:val="en-MY"/>
        </w:rPr>
        <w:t>High dollar usage reinforces the dollar’s financial dominance, and reducing reliance on it is seen as a way to mitigate related risks. Senior economists at major Chinese banks have echoed this sentiment, arguing that decreasing dollar dependence would better shield China’s financial system.</w:t>
      </w:r>
    </w:p>
    <w:p w14:paraId="04DCF998" w14:textId="77777777" w:rsidR="00EF7A49" w:rsidRPr="00EF7A49" w:rsidRDefault="00EF7A49" w:rsidP="00EF7A49">
      <w:pPr>
        <w:jc w:val="both"/>
        <w:rPr>
          <w:rFonts w:eastAsiaTheme="minorEastAsia"/>
          <w:lang w:val="en-MY"/>
        </w:rPr>
      </w:pPr>
    </w:p>
    <w:p w14:paraId="2977CE3D" w14:textId="77777777" w:rsidR="00EF7A49" w:rsidRPr="00EF7A49" w:rsidRDefault="00EF7A49" w:rsidP="00EF7A49">
      <w:pPr>
        <w:jc w:val="both"/>
        <w:rPr>
          <w:rFonts w:eastAsiaTheme="minorEastAsia"/>
          <w:lang w:val="en-MY"/>
        </w:rPr>
      </w:pPr>
      <w:r w:rsidRPr="00EF7A49">
        <w:rPr>
          <w:rFonts w:eastAsiaTheme="minorEastAsia"/>
          <w:lang w:val="en-MY"/>
        </w:rPr>
        <w:t>Guo also emphasized CCP General Secretary Xi Jinping’s calls for enhanced “financial security.” According to prominent scholars and former officials, widespread use of the U.S. dollar leaves Chinese institutions vulnerable to exclusion from global financial networks if they are found to engage with U.S.-sanctioned entities.</w:t>
      </w:r>
    </w:p>
    <w:p w14:paraId="742FCC6E" w14:textId="2C5FE3B5" w:rsidR="00EF7A49" w:rsidRPr="00EF7A49" w:rsidRDefault="00EF7A49" w:rsidP="00EF7A49">
      <w:pPr>
        <w:jc w:val="both"/>
        <w:rPr>
          <w:rFonts w:eastAsiaTheme="minorEastAsia"/>
          <w:lang w:val="en-MY"/>
        </w:rPr>
      </w:pPr>
    </w:p>
    <w:p w14:paraId="68C282BB" w14:textId="77777777" w:rsidR="00EF7A49" w:rsidRPr="00EF7A49" w:rsidRDefault="00EF7A49" w:rsidP="00EF7A49">
      <w:pPr>
        <w:jc w:val="both"/>
        <w:rPr>
          <w:rFonts w:eastAsiaTheme="minorEastAsia"/>
          <w:b/>
          <w:bCs/>
          <w:lang w:val="en-MY"/>
        </w:rPr>
      </w:pPr>
      <w:r w:rsidRPr="00EF7A49">
        <w:rPr>
          <w:rFonts w:eastAsiaTheme="minorEastAsia"/>
          <w:b/>
          <w:bCs/>
          <w:lang w:val="en-MY"/>
        </w:rPr>
        <w:t>2. How the Current B2B Payments System Operates</w:t>
      </w:r>
    </w:p>
    <w:p w14:paraId="64E9FB20" w14:textId="77777777" w:rsidR="00EF7A49" w:rsidRDefault="00EF7A49" w:rsidP="00EF7A49">
      <w:pPr>
        <w:jc w:val="both"/>
        <w:rPr>
          <w:rFonts w:eastAsiaTheme="minorEastAsia"/>
          <w:lang w:val="en-MY"/>
        </w:rPr>
      </w:pPr>
    </w:p>
    <w:p w14:paraId="091E39FF" w14:textId="75AF6606" w:rsidR="00EF7A49" w:rsidRDefault="00EF7A49" w:rsidP="00EF7A49">
      <w:pPr>
        <w:jc w:val="both"/>
        <w:rPr>
          <w:rFonts w:eastAsiaTheme="minorEastAsia"/>
          <w:lang w:val="en-MY"/>
        </w:rPr>
      </w:pPr>
      <w:r w:rsidRPr="00EF7A49">
        <w:rPr>
          <w:rFonts w:eastAsiaTheme="minorEastAsia"/>
          <w:lang w:val="en-MY"/>
        </w:rPr>
        <w:t>To understand the strategic importance of CBDCs to Beijing’s ambitions, one must first grasp how most cross-border B2B payments are currently processed.</w:t>
      </w:r>
    </w:p>
    <w:p w14:paraId="4ED3E1D9" w14:textId="77777777" w:rsidR="00EF7A49" w:rsidRPr="00EF7A49" w:rsidRDefault="00EF7A49" w:rsidP="00EF7A49">
      <w:pPr>
        <w:jc w:val="both"/>
        <w:rPr>
          <w:rFonts w:eastAsiaTheme="minorEastAsia"/>
          <w:lang w:val="en-MY"/>
        </w:rPr>
      </w:pPr>
    </w:p>
    <w:p w14:paraId="67A39AFD" w14:textId="77777777" w:rsidR="00EF7A49" w:rsidRDefault="00EF7A49" w:rsidP="00EF7A49">
      <w:pPr>
        <w:jc w:val="both"/>
        <w:rPr>
          <w:rFonts w:eastAsiaTheme="minorEastAsia"/>
          <w:lang w:val="en-MY"/>
        </w:rPr>
      </w:pPr>
      <w:r w:rsidRPr="00EF7A49">
        <w:rPr>
          <w:rFonts w:eastAsiaTheme="minorEastAsia"/>
          <w:lang w:val="en-MY"/>
        </w:rPr>
        <w:t>Historically, over 90% of U.S. dollar-denominated cross-border transfers have been processed through the U.S.-based and federally regulated Clearing House Interbank Payments System (CHIPS). CHIPS settles transactions between member institutions—primarily U.S. banks and large foreign banks with a U.S. presence—using digitized liabilities held at the Federal Reserve.</w:t>
      </w:r>
    </w:p>
    <w:p w14:paraId="69C0481E" w14:textId="77777777" w:rsidR="00EF7A49" w:rsidRPr="00EF7A49" w:rsidRDefault="00EF7A49" w:rsidP="00EF7A49">
      <w:pPr>
        <w:jc w:val="both"/>
        <w:rPr>
          <w:rFonts w:eastAsiaTheme="minorEastAsia"/>
          <w:lang w:val="en-MY"/>
        </w:rPr>
      </w:pPr>
    </w:p>
    <w:p w14:paraId="0A7DD453" w14:textId="77777777" w:rsidR="00EF7A49" w:rsidRDefault="00EF7A49" w:rsidP="00EF7A49">
      <w:pPr>
        <w:jc w:val="both"/>
        <w:rPr>
          <w:rFonts w:eastAsiaTheme="minorEastAsia"/>
          <w:lang w:val="en-MY"/>
        </w:rPr>
      </w:pPr>
      <w:r w:rsidRPr="00EF7A49">
        <w:rPr>
          <w:rFonts w:eastAsiaTheme="minorEastAsia"/>
          <w:lang w:val="en-MY"/>
        </w:rPr>
        <w:t>These institutions often act as correspondent banks, facilitating transactions for banks lacking international reach. A typical cross-border transaction, therefore, passes through multiple intermediary banks, ultimately routed via CHIPS.</w:t>
      </w:r>
    </w:p>
    <w:p w14:paraId="39D756A0" w14:textId="77777777" w:rsidR="00EF7A49" w:rsidRPr="00EF7A49" w:rsidRDefault="00EF7A49" w:rsidP="00EF7A49">
      <w:pPr>
        <w:jc w:val="both"/>
        <w:rPr>
          <w:rFonts w:eastAsiaTheme="minorEastAsia"/>
          <w:lang w:val="en-MY"/>
        </w:rPr>
      </w:pPr>
    </w:p>
    <w:p w14:paraId="184723A9" w14:textId="77777777" w:rsidR="00EF7A49" w:rsidRDefault="00EF7A49" w:rsidP="00EF7A49">
      <w:pPr>
        <w:jc w:val="both"/>
        <w:rPr>
          <w:rFonts w:eastAsiaTheme="minorEastAsia"/>
          <w:lang w:val="en-MY"/>
        </w:rPr>
      </w:pPr>
      <w:r w:rsidRPr="00EF7A49">
        <w:rPr>
          <w:rFonts w:eastAsiaTheme="minorEastAsia"/>
          <w:lang w:val="en-MY"/>
        </w:rPr>
        <w:t>Such networks are often slow and expensive, especially for institutions in emerging markets. Time zone mismatches and complex banking linkages can delay settlement by days. As a result, banks are forced to maintain prefunded accounts (nostro accounts), tying up capital and increasing costs.</w:t>
      </w:r>
    </w:p>
    <w:p w14:paraId="7B2A9CC8" w14:textId="77777777" w:rsidR="00EF7A49" w:rsidRPr="00EF7A49" w:rsidRDefault="00EF7A49" w:rsidP="00EF7A49">
      <w:pPr>
        <w:jc w:val="both"/>
        <w:rPr>
          <w:rFonts w:eastAsiaTheme="minorEastAsia"/>
          <w:lang w:val="en-MY"/>
        </w:rPr>
      </w:pPr>
    </w:p>
    <w:p w14:paraId="7C2FC403" w14:textId="77777777" w:rsidR="00EF7A49" w:rsidRDefault="00EF7A49" w:rsidP="00EF7A49">
      <w:pPr>
        <w:jc w:val="both"/>
        <w:rPr>
          <w:rFonts w:eastAsiaTheme="minorEastAsia"/>
          <w:lang w:val="en-MY"/>
        </w:rPr>
      </w:pPr>
      <w:r w:rsidRPr="00EF7A49">
        <w:rPr>
          <w:rFonts w:eastAsiaTheme="minorEastAsia"/>
          <w:lang w:val="en-MY"/>
        </w:rPr>
        <w:t>In addition, large global banks are increasingly hesitant to maintain relationships with smaller emerging market banks due to concerns over anti-money laundering compliance and potential U.S. sanctions. This has led to a contraction in correspondent banking networks, limiting options for cross-border transactions in these markets.</w:t>
      </w:r>
    </w:p>
    <w:p w14:paraId="67AAA422" w14:textId="77777777" w:rsidR="00EF7A49" w:rsidRPr="00EF7A49" w:rsidRDefault="00EF7A49" w:rsidP="00EF7A49">
      <w:pPr>
        <w:jc w:val="both"/>
        <w:rPr>
          <w:rFonts w:eastAsiaTheme="minorEastAsia"/>
          <w:lang w:val="en-MY"/>
        </w:rPr>
      </w:pPr>
    </w:p>
    <w:p w14:paraId="4F7F9B14" w14:textId="77777777" w:rsidR="00EF7A49" w:rsidRDefault="00EF7A49" w:rsidP="00EF7A49">
      <w:pPr>
        <w:jc w:val="both"/>
        <w:rPr>
          <w:rFonts w:eastAsiaTheme="minorEastAsia"/>
          <w:lang w:val="en-MY"/>
        </w:rPr>
      </w:pPr>
      <w:r w:rsidRPr="00EF7A49">
        <w:rPr>
          <w:rFonts w:eastAsiaTheme="minorEastAsia"/>
          <w:lang w:val="en-MY"/>
        </w:rPr>
        <w:t xml:space="preserve">Nonetheless, as recently noted by the central banks of Canada, Singapore, and the UK, “correspondent banking remains the only ubiquitous cross-border payment solution.” Even non-dollar-denominated payments often flow through banks tied to the U.S. dollar system, which exposes them to U.S. influence. Furthermore, the SWIFT messaging platform—based </w:t>
      </w:r>
      <w:r w:rsidRPr="00EF7A49">
        <w:rPr>
          <w:rFonts w:eastAsiaTheme="minorEastAsia"/>
          <w:lang w:val="en-MY"/>
        </w:rPr>
        <w:lastRenderedPageBreak/>
        <w:t>in Belgium but aligned with U.S. compliance frameworks—remains central to the global payments system and can be used to exclude sanctioned entities.</w:t>
      </w:r>
    </w:p>
    <w:p w14:paraId="59B013A6" w14:textId="77777777" w:rsidR="00EF7A49" w:rsidRPr="00EF7A49" w:rsidRDefault="00EF7A49" w:rsidP="00EF7A49">
      <w:pPr>
        <w:jc w:val="both"/>
        <w:rPr>
          <w:rFonts w:eastAsiaTheme="minorEastAsia"/>
          <w:lang w:val="en-MY"/>
        </w:rPr>
      </w:pPr>
    </w:p>
    <w:p w14:paraId="10B0D996" w14:textId="77777777" w:rsidR="00EF7A49" w:rsidRPr="00EF7A49" w:rsidRDefault="00EF7A49" w:rsidP="00EF7A49">
      <w:pPr>
        <w:jc w:val="both"/>
        <w:rPr>
          <w:rFonts w:eastAsiaTheme="minorEastAsia"/>
          <w:b/>
          <w:bCs/>
          <w:lang w:val="en-MY"/>
        </w:rPr>
      </w:pPr>
      <w:r w:rsidRPr="00EF7A49">
        <w:rPr>
          <w:rFonts w:eastAsiaTheme="minorEastAsia"/>
          <w:b/>
          <w:bCs/>
          <w:lang w:val="en-MY"/>
        </w:rPr>
        <w:t>3. Obstacles to China’s Alternative Payments Infrastructure</w:t>
      </w:r>
    </w:p>
    <w:p w14:paraId="567F9CEA" w14:textId="77777777" w:rsidR="00EF7A49" w:rsidRDefault="00EF7A49" w:rsidP="00EF7A49">
      <w:pPr>
        <w:jc w:val="both"/>
        <w:rPr>
          <w:rFonts w:eastAsiaTheme="minorEastAsia"/>
          <w:lang w:val="en-MY"/>
        </w:rPr>
      </w:pPr>
    </w:p>
    <w:p w14:paraId="6B980729" w14:textId="28FEEABA" w:rsidR="00EF7A49" w:rsidRDefault="00EF7A49" w:rsidP="00EF7A49">
      <w:pPr>
        <w:jc w:val="both"/>
        <w:rPr>
          <w:rFonts w:eastAsiaTheme="minorEastAsia"/>
          <w:lang w:val="en-MY"/>
        </w:rPr>
      </w:pPr>
      <w:r w:rsidRPr="00EF7A49">
        <w:rPr>
          <w:rFonts w:eastAsiaTheme="minorEastAsia"/>
          <w:lang w:val="en-MY"/>
        </w:rPr>
        <w:t>Although Beijing has taken steps to reduce reliance on SWIFT and CHIPS, significant hurdles remain. In 2015, China launched the Cross-Border Interbank Payment System (CIPS) to facilitate renminbi-denominated transactions with regional partners like Russia and India. Usage of CIPS has since expanded, and state-owned banks have opened affiliated branches across Asia to handle renminbi trade.</w:t>
      </w:r>
    </w:p>
    <w:p w14:paraId="1BDFDDD1" w14:textId="77777777" w:rsidR="00EF7A49" w:rsidRPr="00EF7A49" w:rsidRDefault="00EF7A49" w:rsidP="00EF7A49">
      <w:pPr>
        <w:jc w:val="both"/>
        <w:rPr>
          <w:rFonts w:eastAsiaTheme="minorEastAsia"/>
          <w:lang w:val="en-MY"/>
        </w:rPr>
      </w:pPr>
    </w:p>
    <w:p w14:paraId="4257AE86" w14:textId="77777777" w:rsidR="00EF7A49" w:rsidRDefault="00EF7A49" w:rsidP="00EF7A49">
      <w:pPr>
        <w:jc w:val="both"/>
        <w:rPr>
          <w:rFonts w:eastAsiaTheme="minorEastAsia"/>
          <w:lang w:val="en-MY"/>
        </w:rPr>
      </w:pPr>
      <w:r w:rsidRPr="00EF7A49">
        <w:rPr>
          <w:rFonts w:eastAsiaTheme="minorEastAsia"/>
          <w:lang w:val="en-MY"/>
        </w:rPr>
        <w:t>Despite this progress, CIPS and Chinese banks still largely depend on SWIFT. Moreover, China’s state-owned banks need access to U.S. dollars for participation in international financial markets. This makes them vulnerable to U.S. regulatory actions if they engage in transactions deemed to threaten U.S. national security.</w:t>
      </w:r>
    </w:p>
    <w:p w14:paraId="12F2E6FC" w14:textId="77777777" w:rsidR="00EF7A49" w:rsidRPr="00EF7A49" w:rsidRDefault="00EF7A49" w:rsidP="00EF7A49">
      <w:pPr>
        <w:jc w:val="both"/>
        <w:rPr>
          <w:rFonts w:eastAsiaTheme="minorEastAsia"/>
          <w:lang w:val="en-MY"/>
        </w:rPr>
      </w:pPr>
    </w:p>
    <w:p w14:paraId="38CF239F" w14:textId="3FFF4880" w:rsidR="00EF7A49" w:rsidRDefault="00EF7A49" w:rsidP="00EF7A49">
      <w:pPr>
        <w:jc w:val="both"/>
        <w:rPr>
          <w:rFonts w:eastAsiaTheme="minorEastAsia"/>
          <w:lang w:val="en-MY"/>
        </w:rPr>
      </w:pPr>
      <w:r w:rsidRPr="00EF7A49">
        <w:rPr>
          <w:rFonts w:eastAsiaTheme="minorEastAsia"/>
          <w:lang w:val="en-MY"/>
        </w:rPr>
        <w:t xml:space="preserve">Additionally, cost remains a barrier. In many cases, it is still cheaper to invoice and settle in U.S. dollars and then convert to local currencies. The dollar’s role in nearly 90% of foreign exchange trades contributes to its low transaction costs. Unless renminbi-based channels become significantly more </w:t>
      </w:r>
      <w:r w:rsidRPr="00EF7A49">
        <w:rPr>
          <w:rFonts w:eastAsiaTheme="minorEastAsia"/>
          <w:lang w:val="en-MY"/>
        </w:rPr>
        <w:t>efficient,</w:t>
      </w:r>
      <w:r w:rsidRPr="00EF7A49">
        <w:rPr>
          <w:rFonts w:eastAsiaTheme="minorEastAsia"/>
          <w:lang w:val="en-MY"/>
        </w:rPr>
        <w:t xml:space="preserve"> or the renminbi becomes fully convertible—neither of which seems imminent—costs will continue to </w:t>
      </w:r>
      <w:proofErr w:type="spellStart"/>
      <w:r w:rsidRPr="00EF7A49">
        <w:rPr>
          <w:rFonts w:eastAsiaTheme="minorEastAsia"/>
          <w:lang w:val="en-MY"/>
        </w:rPr>
        <w:t>favor</w:t>
      </w:r>
      <w:proofErr w:type="spellEnd"/>
      <w:r w:rsidRPr="00EF7A49">
        <w:rPr>
          <w:rFonts w:eastAsiaTheme="minorEastAsia"/>
          <w:lang w:val="en-MY"/>
        </w:rPr>
        <w:t xml:space="preserve"> the dollar.</w:t>
      </w:r>
    </w:p>
    <w:p w14:paraId="48BF86C8" w14:textId="77777777" w:rsidR="00EF7A49" w:rsidRPr="00EF7A49" w:rsidRDefault="00EF7A49" w:rsidP="00EF7A49">
      <w:pPr>
        <w:jc w:val="both"/>
        <w:rPr>
          <w:rFonts w:eastAsiaTheme="minorEastAsia"/>
          <w:lang w:val="en-MY"/>
        </w:rPr>
      </w:pPr>
    </w:p>
    <w:p w14:paraId="7D965589" w14:textId="77777777" w:rsidR="00EF7A49" w:rsidRPr="00EF7A49" w:rsidRDefault="00EF7A49" w:rsidP="00EF7A49">
      <w:pPr>
        <w:jc w:val="both"/>
        <w:rPr>
          <w:rFonts w:eastAsiaTheme="minorEastAsia"/>
          <w:lang w:val="en-MY"/>
        </w:rPr>
      </w:pPr>
      <w:r w:rsidRPr="00EF7A49">
        <w:rPr>
          <w:rFonts w:eastAsiaTheme="minorEastAsia"/>
          <w:lang w:val="en-MY"/>
        </w:rPr>
        <w:t>Political risks also hinder the renminbi’s internationalization. Liberalizing financial flows could harm inefficient state-owned enterprises. As reflected in the CCP’s latest five-year plan, the internationalization of the renminbi will proceed in a “steady and prudent” manner.</w:t>
      </w:r>
    </w:p>
    <w:p w14:paraId="0B5C739D" w14:textId="702FBCD6" w:rsidR="00EF7A49" w:rsidRPr="00EF7A49" w:rsidRDefault="00EF7A49" w:rsidP="00EF7A49">
      <w:pPr>
        <w:jc w:val="both"/>
        <w:rPr>
          <w:rFonts w:eastAsiaTheme="minorEastAsia"/>
          <w:lang w:val="en-MY"/>
        </w:rPr>
      </w:pPr>
    </w:p>
    <w:p w14:paraId="74CC17D6" w14:textId="77777777" w:rsidR="00EF7A49" w:rsidRPr="00EF7A49" w:rsidRDefault="00EF7A49" w:rsidP="00EF7A49">
      <w:pPr>
        <w:jc w:val="both"/>
        <w:rPr>
          <w:rFonts w:eastAsiaTheme="minorEastAsia"/>
          <w:b/>
          <w:bCs/>
          <w:lang w:val="en-MY"/>
        </w:rPr>
      </w:pPr>
      <w:r w:rsidRPr="00EF7A49">
        <w:rPr>
          <w:rFonts w:eastAsiaTheme="minorEastAsia"/>
          <w:b/>
          <w:bCs/>
          <w:lang w:val="en-MY"/>
        </w:rPr>
        <w:t>4. How Beijing Might Leverage CBDCs to Challenge Dollar Dominance</w:t>
      </w:r>
    </w:p>
    <w:p w14:paraId="330D3FE4" w14:textId="77777777" w:rsidR="003364F2" w:rsidRDefault="003364F2" w:rsidP="00EF7A49">
      <w:pPr>
        <w:jc w:val="both"/>
        <w:rPr>
          <w:rFonts w:eastAsiaTheme="minorEastAsia"/>
          <w:lang w:val="en-MY"/>
        </w:rPr>
      </w:pPr>
    </w:p>
    <w:p w14:paraId="54BB69B9" w14:textId="0D272D9B" w:rsidR="00EF7A49" w:rsidRDefault="00EF7A49" w:rsidP="00EF7A49">
      <w:pPr>
        <w:jc w:val="both"/>
        <w:rPr>
          <w:rFonts w:eastAsiaTheme="minorEastAsia"/>
          <w:lang w:val="en-MY"/>
        </w:rPr>
      </w:pPr>
      <w:r w:rsidRPr="00EF7A49">
        <w:rPr>
          <w:rFonts w:eastAsiaTheme="minorEastAsia"/>
          <w:lang w:val="en-MY"/>
        </w:rPr>
        <w:t>These factors explain why Chinese policymakers are hopeful that the global spread of CBDCs might present a unique opportunity: to reduce the dominance of the U.S. dollar and associated systems (SWIFT, CHIPS) in regional trade while maintaining tight control over renminbi flows.</w:t>
      </w:r>
    </w:p>
    <w:p w14:paraId="542C77C0" w14:textId="77777777" w:rsidR="003364F2" w:rsidRPr="00EF7A49" w:rsidRDefault="003364F2" w:rsidP="00EF7A49">
      <w:pPr>
        <w:jc w:val="both"/>
        <w:rPr>
          <w:rFonts w:eastAsiaTheme="minorEastAsia"/>
          <w:lang w:val="en-MY"/>
        </w:rPr>
      </w:pPr>
    </w:p>
    <w:p w14:paraId="34D3B726" w14:textId="77777777" w:rsidR="00EF7A49" w:rsidRDefault="00EF7A49" w:rsidP="00EF7A49">
      <w:pPr>
        <w:jc w:val="both"/>
        <w:rPr>
          <w:rFonts w:eastAsiaTheme="minorEastAsia"/>
          <w:lang w:val="en-MY"/>
        </w:rPr>
      </w:pPr>
      <w:r w:rsidRPr="00EF7A49">
        <w:rPr>
          <w:rFonts w:eastAsiaTheme="minorEastAsia"/>
          <w:lang w:val="en-MY"/>
        </w:rPr>
        <w:t>A recent survey of 65 central banks revealed that over 60% are exploring CBDCs, with emerging market central banks more likely to be piloting or implementing them due to a greater perceived need. As a first mover in the CBDC space, China’s central bank may use its lead to shape global standards, build interoperability, and attract emerging markets to renminbi-based digital settlement platforms.</w:t>
      </w:r>
    </w:p>
    <w:p w14:paraId="597891D9" w14:textId="77777777" w:rsidR="003364F2" w:rsidRPr="00EF7A49" w:rsidRDefault="003364F2" w:rsidP="00EF7A49">
      <w:pPr>
        <w:jc w:val="both"/>
        <w:rPr>
          <w:rFonts w:eastAsiaTheme="minorEastAsia"/>
          <w:lang w:val="en-MY"/>
        </w:rPr>
      </w:pPr>
    </w:p>
    <w:p w14:paraId="3925F795" w14:textId="77777777" w:rsidR="00EF7A49" w:rsidRPr="00EF7A49" w:rsidRDefault="00EF7A49" w:rsidP="00EF7A49">
      <w:pPr>
        <w:jc w:val="both"/>
        <w:rPr>
          <w:rFonts w:eastAsiaTheme="minorEastAsia"/>
          <w:lang w:val="en-MY"/>
        </w:rPr>
      </w:pPr>
      <w:r w:rsidRPr="00EF7A49">
        <w:rPr>
          <w:rFonts w:eastAsiaTheme="minorEastAsia"/>
          <w:lang w:val="en-MY"/>
        </w:rPr>
        <w:t>If successful, this strategy could give China a distinct advantage in reshaping the global financial order—without fully opening its capital account or making the renminbi freely tradable.</w:t>
      </w:r>
    </w:p>
    <w:p w14:paraId="3E408896" w14:textId="77777777" w:rsidR="00EF7A49" w:rsidRDefault="00EF7A49" w:rsidP="005F3E5E">
      <w:pPr>
        <w:jc w:val="both"/>
        <w:rPr>
          <w:rFonts w:eastAsiaTheme="minorEastAsia"/>
          <w:b/>
          <w:bCs/>
          <w:lang w:val="en-MY"/>
        </w:rPr>
      </w:pPr>
    </w:p>
    <w:p w14:paraId="3276FAAE" w14:textId="3E5AACE8" w:rsidR="00EF7A49" w:rsidRPr="004450EB" w:rsidRDefault="003364F2" w:rsidP="005F3E5E">
      <w:pPr>
        <w:jc w:val="both"/>
        <w:rPr>
          <w:rFonts w:eastAsiaTheme="minorEastAsia"/>
          <w:b/>
          <w:bCs/>
          <w:lang w:val="en-MY"/>
        </w:rPr>
      </w:pPr>
      <w:r w:rsidRPr="00EF7A49">
        <w:rPr>
          <w:rFonts w:eastAsiaTheme="minorEastAsia"/>
          <w:lang w:val="en-MY"/>
        </w:rPr>
        <w:pict w14:anchorId="726C4331">
          <v:rect id="_x0000_i1117" style="width:0;height:1.5pt" o:hralign="center" o:hrstd="t" o:hr="t" fillcolor="#a0a0a0" stroked="f"/>
        </w:pict>
      </w:r>
    </w:p>
    <w:p w14:paraId="1572A975" w14:textId="4053D483" w:rsidR="004450EB" w:rsidRPr="004450EB" w:rsidRDefault="00A61868" w:rsidP="004450EB">
      <w:pPr>
        <w:pStyle w:val="ListParagraph"/>
        <w:numPr>
          <w:ilvl w:val="0"/>
          <w:numId w:val="68"/>
        </w:numPr>
        <w:tabs>
          <w:tab w:val="left" w:pos="1509"/>
        </w:tabs>
        <w:spacing w:before="200" w:line="276" w:lineRule="auto"/>
        <w:ind w:left="426"/>
        <w:contextualSpacing/>
        <w:jc w:val="both"/>
        <w:rPr>
          <w:b/>
          <w:bCs/>
          <w:sz w:val="24"/>
          <w:szCs w:val="24"/>
        </w:rPr>
      </w:pPr>
      <w:r w:rsidRPr="00A61868">
        <w:rPr>
          <w:b/>
          <w:bCs/>
          <w:sz w:val="24"/>
          <w:szCs w:val="24"/>
        </w:rPr>
        <w:t>How does Beijing plan to capitalize on frustrations with existing cross-border payment channels?</w:t>
      </w:r>
    </w:p>
    <w:p w14:paraId="6ADBAED7" w14:textId="77777777" w:rsidR="004450EB" w:rsidRDefault="004450EB" w:rsidP="004450EB">
      <w:pPr>
        <w:pStyle w:val="ListParagraph"/>
        <w:tabs>
          <w:tab w:val="left" w:pos="1509"/>
        </w:tabs>
        <w:spacing w:line="276" w:lineRule="auto"/>
        <w:ind w:left="426"/>
        <w:jc w:val="both"/>
        <w:rPr>
          <w:b/>
          <w:bCs/>
          <w:sz w:val="24"/>
          <w:szCs w:val="24"/>
        </w:rPr>
      </w:pPr>
    </w:p>
    <w:p w14:paraId="3B4B2B8B" w14:textId="5F799C78" w:rsidR="004450EB" w:rsidRPr="004450EB" w:rsidRDefault="004450EB" w:rsidP="004450EB">
      <w:pPr>
        <w:ind w:firstLine="349"/>
        <w:jc w:val="both"/>
        <w:rPr>
          <w:b/>
          <w:bCs/>
        </w:rPr>
      </w:pPr>
      <w:r w:rsidRPr="005F3E5E">
        <w:rPr>
          <w:rFonts w:eastAsiaTheme="minorEastAsia"/>
          <w:b/>
          <w:bCs/>
          <w:lang w:val="en-MY"/>
        </w:rPr>
        <w:t>Answer Guide:</w:t>
      </w:r>
      <w:r>
        <w:rPr>
          <w:rFonts w:eastAsiaTheme="minorEastAsia"/>
          <w:b/>
          <w:bCs/>
          <w:lang w:val="en-MY"/>
        </w:rPr>
        <w:t xml:space="preserve"> </w:t>
      </w:r>
    </w:p>
    <w:p w14:paraId="082538AF" w14:textId="5440B861" w:rsidR="006F1007" w:rsidRPr="00A61868" w:rsidRDefault="00A61868" w:rsidP="00A61868">
      <w:pPr>
        <w:tabs>
          <w:tab w:val="left" w:pos="1065"/>
        </w:tabs>
        <w:spacing w:line="276" w:lineRule="auto"/>
        <w:ind w:left="349"/>
        <w:jc w:val="both"/>
        <w:rPr>
          <w:lang w:val="en-MY"/>
        </w:rPr>
      </w:pPr>
      <w:r w:rsidRPr="00A61868">
        <w:rPr>
          <w:lang w:val="en-MY"/>
        </w:rPr>
        <w:lastRenderedPageBreak/>
        <w:t>It is suggested that Beijing is likely to leverage these frustrations to strengthen support for its vision of lower-cost alternatives built upon central bank digital currencies (CBDCs).</w:t>
      </w:r>
    </w:p>
    <w:p w14:paraId="4FACF398" w14:textId="77777777" w:rsidR="004450EB" w:rsidRDefault="004450EB" w:rsidP="004450EB">
      <w:pPr>
        <w:pStyle w:val="ListParagraph"/>
        <w:tabs>
          <w:tab w:val="left" w:pos="1065"/>
        </w:tabs>
        <w:spacing w:line="276" w:lineRule="auto"/>
        <w:ind w:left="426"/>
        <w:jc w:val="both"/>
        <w:rPr>
          <w:b/>
          <w:bCs/>
          <w:sz w:val="24"/>
          <w:szCs w:val="24"/>
        </w:rPr>
      </w:pPr>
    </w:p>
    <w:p w14:paraId="6D34F51F" w14:textId="77777777" w:rsidR="000D388E" w:rsidRPr="004450EB" w:rsidRDefault="000D388E" w:rsidP="004450EB">
      <w:pPr>
        <w:pStyle w:val="ListParagraph"/>
        <w:tabs>
          <w:tab w:val="left" w:pos="1065"/>
        </w:tabs>
        <w:spacing w:line="276" w:lineRule="auto"/>
        <w:ind w:left="426"/>
        <w:jc w:val="both"/>
        <w:rPr>
          <w:b/>
          <w:bCs/>
          <w:sz w:val="24"/>
          <w:szCs w:val="24"/>
        </w:rPr>
      </w:pPr>
    </w:p>
    <w:p w14:paraId="3909FFF6" w14:textId="450BBEE7" w:rsidR="004450EB" w:rsidRPr="004450EB" w:rsidRDefault="00A61868" w:rsidP="004450EB">
      <w:pPr>
        <w:pStyle w:val="ListParagraph"/>
        <w:numPr>
          <w:ilvl w:val="0"/>
          <w:numId w:val="68"/>
        </w:numPr>
        <w:tabs>
          <w:tab w:val="left" w:pos="1509"/>
        </w:tabs>
        <w:spacing w:before="200" w:line="276" w:lineRule="auto"/>
        <w:ind w:left="426"/>
        <w:contextualSpacing/>
        <w:jc w:val="both"/>
        <w:rPr>
          <w:b/>
          <w:bCs/>
          <w:sz w:val="24"/>
          <w:szCs w:val="24"/>
        </w:rPr>
      </w:pPr>
      <w:r w:rsidRPr="00A61868">
        <w:rPr>
          <w:b/>
          <w:bCs/>
          <w:sz w:val="24"/>
          <w:szCs w:val="24"/>
        </w:rPr>
        <w:t>What is the name of China's state-sponsored digital currency, and how is it commonly referred to?</w:t>
      </w:r>
    </w:p>
    <w:p w14:paraId="4FAD4FDE" w14:textId="77777777" w:rsidR="004450EB" w:rsidRDefault="004450EB" w:rsidP="004450EB">
      <w:pPr>
        <w:pStyle w:val="ListParagraph"/>
        <w:tabs>
          <w:tab w:val="left" w:pos="1509"/>
        </w:tabs>
        <w:spacing w:line="276" w:lineRule="auto"/>
        <w:ind w:left="426"/>
        <w:jc w:val="both"/>
        <w:rPr>
          <w:sz w:val="24"/>
          <w:szCs w:val="24"/>
        </w:rPr>
      </w:pPr>
    </w:p>
    <w:p w14:paraId="78A0A668"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7D15DDD0" w14:textId="40291312" w:rsidR="004450EB" w:rsidRPr="00A61868" w:rsidRDefault="00A61868" w:rsidP="00A61868">
      <w:pPr>
        <w:spacing w:line="276" w:lineRule="auto"/>
        <w:ind w:left="349"/>
        <w:jc w:val="both"/>
        <w:rPr>
          <w:b/>
          <w:bCs/>
        </w:rPr>
      </w:pPr>
      <w:r w:rsidRPr="00A61868">
        <w:t>The digital renminbi, commonly referred to as e-CNY.</w:t>
      </w:r>
    </w:p>
    <w:p w14:paraId="4AEB80C1" w14:textId="77777777" w:rsidR="004450EB" w:rsidRPr="004450EB" w:rsidRDefault="004450EB" w:rsidP="004450EB">
      <w:pPr>
        <w:spacing w:line="276" w:lineRule="auto"/>
        <w:jc w:val="both"/>
        <w:rPr>
          <w:b/>
          <w:bCs/>
        </w:rPr>
      </w:pPr>
    </w:p>
    <w:p w14:paraId="47B74042" w14:textId="33677D15" w:rsidR="004450EB" w:rsidRPr="004450EB" w:rsidRDefault="00A61868" w:rsidP="004450EB">
      <w:pPr>
        <w:pStyle w:val="ListParagraph"/>
        <w:numPr>
          <w:ilvl w:val="0"/>
          <w:numId w:val="68"/>
        </w:numPr>
        <w:tabs>
          <w:tab w:val="left" w:pos="1509"/>
        </w:tabs>
        <w:spacing w:before="200" w:line="276" w:lineRule="auto"/>
        <w:ind w:left="426"/>
        <w:contextualSpacing/>
        <w:jc w:val="both"/>
        <w:rPr>
          <w:b/>
          <w:bCs/>
          <w:sz w:val="24"/>
          <w:szCs w:val="24"/>
        </w:rPr>
      </w:pPr>
      <w:r w:rsidRPr="00A61868">
        <w:rPr>
          <w:b/>
          <w:bCs/>
          <w:sz w:val="24"/>
          <w:szCs w:val="24"/>
        </w:rPr>
        <w:t>According to the text, what goals is China's digital renminbi (e-CNY) being designed to achieve?</w:t>
      </w:r>
    </w:p>
    <w:p w14:paraId="5C28FD24" w14:textId="77777777" w:rsidR="004450EB" w:rsidRDefault="004450EB" w:rsidP="004450EB">
      <w:pPr>
        <w:pStyle w:val="ListParagraph"/>
        <w:tabs>
          <w:tab w:val="left" w:pos="1509"/>
        </w:tabs>
        <w:spacing w:line="276" w:lineRule="auto"/>
        <w:ind w:left="426"/>
        <w:jc w:val="both"/>
        <w:rPr>
          <w:sz w:val="24"/>
          <w:szCs w:val="24"/>
        </w:rPr>
      </w:pPr>
    </w:p>
    <w:p w14:paraId="78E83429"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0FD72B73" w14:textId="587DD832" w:rsidR="004450EB" w:rsidRPr="00A61868" w:rsidRDefault="00A61868" w:rsidP="00A61868">
      <w:pPr>
        <w:spacing w:line="276" w:lineRule="auto"/>
        <w:ind w:left="349"/>
        <w:jc w:val="both"/>
        <w:rPr>
          <w:b/>
          <w:bCs/>
        </w:rPr>
      </w:pPr>
      <w:r w:rsidRPr="00A61868">
        <w:t>The digital renminbi is considered “ready for cross-border use.” However, for Beijing’s grandest ambitions for its state-sponsored digital currency to be realized, the digital renminbi must be interoperable with the CBDCs of other countries.</w:t>
      </w:r>
    </w:p>
    <w:p w14:paraId="4CAAA781" w14:textId="77777777" w:rsidR="004450EB" w:rsidRPr="004450EB" w:rsidRDefault="004450EB" w:rsidP="004450EB">
      <w:pPr>
        <w:spacing w:line="276" w:lineRule="auto"/>
        <w:jc w:val="both"/>
        <w:rPr>
          <w:b/>
          <w:bCs/>
        </w:rPr>
      </w:pPr>
    </w:p>
    <w:p w14:paraId="49E8D9B4" w14:textId="5496C2CA" w:rsidR="004450EB" w:rsidRPr="004450EB" w:rsidRDefault="00A61868" w:rsidP="004450EB">
      <w:pPr>
        <w:pStyle w:val="ListParagraph"/>
        <w:numPr>
          <w:ilvl w:val="0"/>
          <w:numId w:val="68"/>
        </w:numPr>
        <w:tabs>
          <w:tab w:val="left" w:pos="1509"/>
        </w:tabs>
        <w:spacing w:before="200" w:line="276" w:lineRule="auto"/>
        <w:ind w:left="426"/>
        <w:contextualSpacing/>
        <w:jc w:val="both"/>
        <w:rPr>
          <w:b/>
          <w:bCs/>
          <w:sz w:val="24"/>
          <w:szCs w:val="24"/>
        </w:rPr>
      </w:pPr>
      <w:r w:rsidRPr="00A61868">
        <w:rPr>
          <w:b/>
          <w:bCs/>
          <w:sz w:val="24"/>
          <w:szCs w:val="24"/>
        </w:rPr>
        <w:t>Why do many officials in Beijing consider the dominance of the U.S. dollar a threat to international financial stability and China's financial security?</w:t>
      </w:r>
    </w:p>
    <w:p w14:paraId="04F4A011" w14:textId="77777777" w:rsidR="004450EB" w:rsidRDefault="004450EB" w:rsidP="004450EB">
      <w:pPr>
        <w:pStyle w:val="ListParagraph"/>
        <w:tabs>
          <w:tab w:val="left" w:pos="1509"/>
        </w:tabs>
        <w:spacing w:line="276" w:lineRule="auto"/>
        <w:ind w:left="426"/>
        <w:jc w:val="both"/>
        <w:rPr>
          <w:sz w:val="24"/>
          <w:szCs w:val="24"/>
        </w:rPr>
      </w:pPr>
    </w:p>
    <w:p w14:paraId="4B4299CE"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025ED5B7" w14:textId="77777777" w:rsidR="00A61868" w:rsidRPr="00A61868" w:rsidRDefault="00A61868" w:rsidP="00A61868">
      <w:pPr>
        <w:pStyle w:val="ListParagraph"/>
        <w:numPr>
          <w:ilvl w:val="0"/>
          <w:numId w:val="88"/>
        </w:numPr>
        <w:spacing w:before="200" w:line="276" w:lineRule="auto"/>
        <w:contextualSpacing/>
        <w:jc w:val="both"/>
        <w:rPr>
          <w:sz w:val="24"/>
          <w:szCs w:val="24"/>
          <w:lang w:val="en-MY"/>
        </w:rPr>
      </w:pPr>
      <w:r w:rsidRPr="00A61868">
        <w:rPr>
          <w:sz w:val="24"/>
          <w:szCs w:val="24"/>
          <w:lang w:val="en-MY"/>
        </w:rPr>
        <w:t>Most</w:t>
      </w:r>
      <w:r w:rsidRPr="00A61868">
        <w:rPr>
          <w:sz w:val="24"/>
          <w:szCs w:val="24"/>
          <w:lang w:val="en-MY"/>
        </w:rPr>
        <w:t xml:space="preserve"> business-to-business transactions involving China and nearby emerging markets are carried out using the U.S. dollar, which poses risks.</w:t>
      </w:r>
      <w:r w:rsidRPr="00A61868">
        <w:rPr>
          <w:sz w:val="24"/>
          <w:szCs w:val="24"/>
          <w:lang w:val="en-MY"/>
        </w:rPr>
        <w:t xml:space="preserve"> </w:t>
      </w:r>
    </w:p>
    <w:p w14:paraId="7C0F0546" w14:textId="7C6323BC" w:rsidR="004709BE" w:rsidRDefault="00A61868" w:rsidP="00A61868">
      <w:pPr>
        <w:pStyle w:val="ListParagraph"/>
        <w:numPr>
          <w:ilvl w:val="0"/>
          <w:numId w:val="88"/>
        </w:numPr>
        <w:spacing w:before="200" w:line="276" w:lineRule="auto"/>
        <w:contextualSpacing/>
        <w:jc w:val="both"/>
        <w:rPr>
          <w:sz w:val="24"/>
          <w:szCs w:val="24"/>
          <w:lang w:val="en-MY"/>
        </w:rPr>
      </w:pPr>
      <w:r w:rsidRPr="00A61868">
        <w:rPr>
          <w:sz w:val="24"/>
          <w:szCs w:val="24"/>
          <w:lang w:val="en-MY"/>
        </w:rPr>
        <w:t>Dependency on the U.S. dollar: Heavy reliance on the U.S. dollar for transactions creates a dependency that can be viewed as a vulnerability. This is particularly concerning for Beijing, given its expressed worries about the U.S. dollar’s dominance.</w:t>
      </w:r>
    </w:p>
    <w:p w14:paraId="6E933771" w14:textId="77777777" w:rsidR="00A61868" w:rsidRPr="00A61868" w:rsidRDefault="00A61868" w:rsidP="00A61868">
      <w:pPr>
        <w:pStyle w:val="ListParagraph"/>
        <w:numPr>
          <w:ilvl w:val="0"/>
          <w:numId w:val="88"/>
        </w:numPr>
        <w:spacing w:before="200" w:line="276" w:lineRule="auto"/>
        <w:contextualSpacing/>
        <w:jc w:val="both"/>
        <w:rPr>
          <w:sz w:val="24"/>
          <w:szCs w:val="24"/>
          <w:lang w:val="en-MY"/>
        </w:rPr>
      </w:pPr>
      <w:r w:rsidRPr="00A61868">
        <w:rPr>
          <w:sz w:val="24"/>
          <w:szCs w:val="24"/>
          <w:lang w:val="en-MY"/>
        </w:rPr>
        <w:t>Financial Security Risks: Beijing sees the dominance of the U.S. dollar as a threat to its financial security. This suggests that fluctuations in the value of the U.S. dollar or changes in U.S. economic policies could have significant implications for China's financial stability.</w:t>
      </w:r>
    </w:p>
    <w:p w14:paraId="6CBEFE1B" w14:textId="77777777" w:rsidR="00A61868" w:rsidRPr="00A61868" w:rsidRDefault="00A61868" w:rsidP="00A61868">
      <w:pPr>
        <w:pStyle w:val="ListParagraph"/>
        <w:numPr>
          <w:ilvl w:val="0"/>
          <w:numId w:val="88"/>
        </w:numPr>
        <w:spacing w:before="200" w:line="276" w:lineRule="auto"/>
        <w:contextualSpacing/>
        <w:jc w:val="both"/>
        <w:rPr>
          <w:sz w:val="24"/>
          <w:szCs w:val="24"/>
          <w:lang w:val="en-MY"/>
        </w:rPr>
      </w:pPr>
      <w:r w:rsidRPr="00A61868">
        <w:rPr>
          <w:sz w:val="24"/>
          <w:szCs w:val="24"/>
          <w:lang w:val="en-MY"/>
        </w:rPr>
        <w:t>Limited Control: Relying heavily on the U.S. dollar means that China has limited control over the currency used in its international transactions. This lack of control may limit China's ability to navigate its economic policies and mitigate financial risks effectively.</w:t>
      </w:r>
    </w:p>
    <w:p w14:paraId="623863F3" w14:textId="59B39A9A" w:rsidR="00A61868" w:rsidRPr="00A61868" w:rsidRDefault="00A61868" w:rsidP="00A61868">
      <w:pPr>
        <w:pStyle w:val="ListParagraph"/>
        <w:numPr>
          <w:ilvl w:val="0"/>
          <w:numId w:val="88"/>
        </w:numPr>
        <w:spacing w:before="200" w:line="276" w:lineRule="auto"/>
        <w:contextualSpacing/>
        <w:jc w:val="both"/>
        <w:rPr>
          <w:sz w:val="24"/>
          <w:szCs w:val="24"/>
          <w:lang w:val="en-MY"/>
        </w:rPr>
      </w:pPr>
      <w:r w:rsidRPr="00A61868">
        <w:rPr>
          <w:sz w:val="24"/>
          <w:szCs w:val="24"/>
          <w:lang w:val="en-MY"/>
        </w:rPr>
        <w:t>Limited Internationalization of the Renminbi: Despite China's efforts to promote the international use of the renminbi, the current dominance of the U.S. dollar suggests that these efforts have not been fully successful. This limits China's ability to assert the renminbi as a global reserve currency.</w:t>
      </w:r>
    </w:p>
    <w:p w14:paraId="69091FD8" w14:textId="7031958F" w:rsidR="004450EB" w:rsidRPr="004709BE" w:rsidRDefault="004450EB" w:rsidP="00A61868">
      <w:pPr>
        <w:spacing w:before="200" w:line="276" w:lineRule="auto"/>
        <w:contextualSpacing/>
        <w:jc w:val="both"/>
        <w:rPr>
          <w:b/>
          <w:bCs/>
          <w:lang w:val="en-MY"/>
        </w:rPr>
      </w:pPr>
    </w:p>
    <w:p w14:paraId="1E177FA8" w14:textId="77777777" w:rsidR="004450EB" w:rsidRPr="004450EB" w:rsidRDefault="004450EB" w:rsidP="004450EB">
      <w:pPr>
        <w:pStyle w:val="ListParagraph"/>
        <w:spacing w:line="276" w:lineRule="auto"/>
        <w:ind w:left="709"/>
        <w:jc w:val="both"/>
        <w:rPr>
          <w:sz w:val="24"/>
          <w:szCs w:val="24"/>
        </w:rPr>
      </w:pPr>
    </w:p>
    <w:p w14:paraId="06890FE0" w14:textId="1685E5C8" w:rsidR="004450EB" w:rsidRPr="004450EB" w:rsidRDefault="00A91B5B" w:rsidP="004450EB">
      <w:pPr>
        <w:pStyle w:val="ListParagraph"/>
        <w:numPr>
          <w:ilvl w:val="0"/>
          <w:numId w:val="68"/>
        </w:numPr>
        <w:tabs>
          <w:tab w:val="left" w:pos="1509"/>
        </w:tabs>
        <w:spacing w:before="200" w:line="276" w:lineRule="auto"/>
        <w:ind w:left="426"/>
        <w:contextualSpacing/>
        <w:jc w:val="both"/>
        <w:rPr>
          <w:b/>
          <w:bCs/>
          <w:sz w:val="24"/>
          <w:szCs w:val="24"/>
        </w:rPr>
      </w:pPr>
      <w:r w:rsidRPr="00A91B5B">
        <w:rPr>
          <w:b/>
          <w:bCs/>
          <w:sz w:val="24"/>
          <w:szCs w:val="24"/>
        </w:rPr>
        <w:lastRenderedPageBreak/>
        <w:t>Why do cross-border payments from one non-U.S. business to another often need to pass through intermediary banks in both the seller’s and the buyer’s countries</w:t>
      </w:r>
      <w:r w:rsidR="004450EB" w:rsidRPr="004450EB">
        <w:rPr>
          <w:b/>
          <w:bCs/>
          <w:sz w:val="24"/>
          <w:szCs w:val="24"/>
        </w:rPr>
        <w:t>?</w:t>
      </w:r>
    </w:p>
    <w:p w14:paraId="5332AE8F" w14:textId="77777777" w:rsidR="004450EB" w:rsidRDefault="004450EB" w:rsidP="004450EB">
      <w:pPr>
        <w:pStyle w:val="ListParagraph"/>
        <w:tabs>
          <w:tab w:val="left" w:pos="1509"/>
        </w:tabs>
        <w:spacing w:line="276" w:lineRule="auto"/>
        <w:ind w:left="426"/>
        <w:jc w:val="both"/>
        <w:rPr>
          <w:sz w:val="24"/>
          <w:szCs w:val="24"/>
        </w:rPr>
      </w:pPr>
    </w:p>
    <w:p w14:paraId="08EB893D" w14:textId="77777777" w:rsidR="00A852C7" w:rsidRPr="005F3E5E" w:rsidRDefault="00A852C7" w:rsidP="00A852C7">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66D6C8A6" w14:textId="0079E411" w:rsidR="004450EB" w:rsidRDefault="00A91B5B" w:rsidP="00A91B5B">
      <w:pPr>
        <w:ind w:left="349"/>
        <w:jc w:val="both"/>
      </w:pPr>
      <w:r>
        <w:t>Cross-border payments from one non-U.S. business to another often need to pass through intermediary banks in both the seller’s and the</w:t>
      </w:r>
      <w:r>
        <w:t xml:space="preserve"> </w:t>
      </w:r>
      <w:r>
        <w:t>buyer’s countries due to the structure of the current international payment system. Intermediary banks facilitate the routing and</w:t>
      </w:r>
      <w:r>
        <w:t xml:space="preserve"> </w:t>
      </w:r>
      <w:r>
        <w:t>processing of these transactions, and they play a role in connecting the financial systems of the seller and the buyer. This is often necessary for</w:t>
      </w:r>
      <w:r>
        <w:t xml:space="preserve"> </w:t>
      </w:r>
      <w:r>
        <w:t>the smooth transfer of funds across different banking jurisdictions and financial institutions involved in the transaction</w:t>
      </w:r>
      <w:r>
        <w:t>.</w:t>
      </w:r>
    </w:p>
    <w:p w14:paraId="2AEC8C89" w14:textId="77777777" w:rsidR="00A91B5B" w:rsidRPr="004450EB" w:rsidRDefault="00A91B5B" w:rsidP="00A91B5B">
      <w:pPr>
        <w:ind w:left="349"/>
        <w:jc w:val="both"/>
        <w:rPr>
          <w:rFonts w:eastAsiaTheme="minorEastAsia"/>
          <w:b/>
          <w:bCs/>
        </w:rPr>
      </w:pPr>
    </w:p>
    <w:p w14:paraId="005EFD1B" w14:textId="5073797C" w:rsidR="008F40C3" w:rsidRPr="004450EB" w:rsidRDefault="00E010F0" w:rsidP="008F40C3">
      <w:pPr>
        <w:pStyle w:val="ListParagraph"/>
        <w:numPr>
          <w:ilvl w:val="0"/>
          <w:numId w:val="68"/>
        </w:numPr>
        <w:tabs>
          <w:tab w:val="left" w:pos="1509"/>
        </w:tabs>
        <w:spacing w:before="200" w:line="276" w:lineRule="auto"/>
        <w:ind w:left="426"/>
        <w:contextualSpacing/>
        <w:jc w:val="both"/>
        <w:rPr>
          <w:b/>
          <w:bCs/>
          <w:sz w:val="24"/>
          <w:szCs w:val="24"/>
        </w:rPr>
      </w:pPr>
      <w:r w:rsidRPr="00E010F0">
        <w:rPr>
          <w:b/>
          <w:bCs/>
          <w:sz w:val="24"/>
          <w:szCs w:val="24"/>
        </w:rPr>
        <w:t>How do time zone differences and multilayered correspondent banking linkages contribute to the perceived inefficiency of the current cross-border payment system?</w:t>
      </w:r>
    </w:p>
    <w:p w14:paraId="5720A5D0" w14:textId="77777777" w:rsidR="008F40C3" w:rsidRDefault="008F40C3" w:rsidP="008F40C3">
      <w:pPr>
        <w:pStyle w:val="ListParagraph"/>
        <w:tabs>
          <w:tab w:val="left" w:pos="1509"/>
        </w:tabs>
        <w:spacing w:line="276" w:lineRule="auto"/>
        <w:ind w:left="426"/>
        <w:jc w:val="both"/>
        <w:rPr>
          <w:sz w:val="24"/>
          <w:szCs w:val="24"/>
        </w:rPr>
      </w:pPr>
    </w:p>
    <w:p w14:paraId="1A85EE77" w14:textId="77777777" w:rsidR="008F40C3" w:rsidRPr="005F3E5E" w:rsidRDefault="008F40C3" w:rsidP="008F40C3">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42C61D81" w14:textId="4283D260" w:rsidR="008F40C3" w:rsidRPr="00E010F0" w:rsidRDefault="00E010F0" w:rsidP="00E010F0">
      <w:pPr>
        <w:tabs>
          <w:tab w:val="left" w:pos="1509"/>
        </w:tabs>
        <w:spacing w:line="276" w:lineRule="auto"/>
        <w:ind w:left="349"/>
        <w:contextualSpacing/>
        <w:jc w:val="both"/>
      </w:pPr>
      <w:r w:rsidRPr="00E010F0">
        <w:t>Time zone differences and multilayered correspondent banking linkages cause delays and complexities in cross-border payments. Limited overlapping business hours slow communication and issue resolution. Multiple banks involved increase coordination challenges, transaction complexity, and risk of errors. These factors hinder real-time monitoring, contributing to overall inefficiency in the payment system.</w:t>
      </w:r>
    </w:p>
    <w:p w14:paraId="4AB7A0B4" w14:textId="69163D16" w:rsidR="00026C38" w:rsidRDefault="00026C38" w:rsidP="005F3E5E">
      <w:pPr>
        <w:jc w:val="both"/>
        <w:rPr>
          <w:rFonts w:eastAsiaTheme="minorEastAsia"/>
          <w:lang w:val="en-MY"/>
        </w:rPr>
      </w:pPr>
    </w:p>
    <w:p w14:paraId="560B86A1" w14:textId="77777777" w:rsidR="00307AE4" w:rsidRPr="00307AE4" w:rsidRDefault="00307AE4" w:rsidP="00307AE4">
      <w:pPr>
        <w:pStyle w:val="ListParagraph"/>
        <w:jc w:val="both"/>
        <w:rPr>
          <w:rFonts w:eastAsiaTheme="minorEastAsia"/>
          <w:lang w:val="en-MY"/>
        </w:rPr>
      </w:pPr>
    </w:p>
    <w:p w14:paraId="4BF69065" w14:textId="5B953332" w:rsidR="00307AE4" w:rsidRPr="004450EB" w:rsidRDefault="00B25337" w:rsidP="00307AE4">
      <w:pPr>
        <w:pStyle w:val="ListParagraph"/>
        <w:numPr>
          <w:ilvl w:val="0"/>
          <w:numId w:val="68"/>
        </w:numPr>
        <w:tabs>
          <w:tab w:val="left" w:pos="1509"/>
        </w:tabs>
        <w:spacing w:before="200" w:line="276" w:lineRule="auto"/>
        <w:ind w:left="426"/>
        <w:contextualSpacing/>
        <w:jc w:val="both"/>
        <w:rPr>
          <w:b/>
          <w:bCs/>
          <w:sz w:val="24"/>
          <w:szCs w:val="24"/>
        </w:rPr>
      </w:pPr>
      <w:r w:rsidRPr="00B25337">
        <w:rPr>
          <w:b/>
          <w:bCs/>
          <w:sz w:val="24"/>
          <w:szCs w:val="24"/>
        </w:rPr>
        <w:t>Why is it important for Beijing to have a reliable and cheaper alternative to existing payments channels if it seeks to reduce reliance on SWIFT and CHIPS</w:t>
      </w:r>
      <w:r w:rsidR="00307AE4" w:rsidRPr="008F40C3">
        <w:rPr>
          <w:b/>
          <w:bCs/>
          <w:sz w:val="24"/>
          <w:szCs w:val="24"/>
        </w:rPr>
        <w:t>?</w:t>
      </w:r>
    </w:p>
    <w:p w14:paraId="4D0E57C5" w14:textId="77777777" w:rsidR="00307AE4" w:rsidRDefault="00307AE4" w:rsidP="00307AE4">
      <w:pPr>
        <w:pStyle w:val="ListParagraph"/>
        <w:tabs>
          <w:tab w:val="left" w:pos="1509"/>
        </w:tabs>
        <w:spacing w:line="276" w:lineRule="auto"/>
        <w:ind w:left="426"/>
        <w:jc w:val="both"/>
        <w:rPr>
          <w:sz w:val="24"/>
          <w:szCs w:val="24"/>
        </w:rPr>
      </w:pPr>
    </w:p>
    <w:p w14:paraId="3A49FBAE" w14:textId="77777777" w:rsidR="00307AE4" w:rsidRPr="005F3E5E" w:rsidRDefault="00307AE4" w:rsidP="00307AE4">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390ABA72" w14:textId="77777777" w:rsidR="005E6E52" w:rsidRPr="005E6E52" w:rsidRDefault="005E6E52" w:rsidP="005E6E52">
      <w:pPr>
        <w:pStyle w:val="ListParagraph"/>
        <w:numPr>
          <w:ilvl w:val="0"/>
          <w:numId w:val="87"/>
        </w:numPr>
        <w:jc w:val="both"/>
        <w:rPr>
          <w:sz w:val="24"/>
          <w:szCs w:val="24"/>
          <w:lang w:val="en-MY"/>
        </w:rPr>
      </w:pPr>
      <w:r w:rsidRPr="005E6E52">
        <w:rPr>
          <w:sz w:val="24"/>
          <w:szCs w:val="24"/>
          <w:lang w:val="en-MY"/>
        </w:rPr>
        <w:t>Beijing is actively seeking a reliable and cheaper alternative to existing payment channels, such as SWIFT and CHIPS, primarily to address concerns about China’s high dependence on these systems.</w:t>
      </w:r>
    </w:p>
    <w:p w14:paraId="601798D4" w14:textId="77777777" w:rsidR="005E6E52" w:rsidRPr="005E6E52" w:rsidRDefault="005E6E52" w:rsidP="005E6E52">
      <w:pPr>
        <w:pStyle w:val="ListParagraph"/>
        <w:numPr>
          <w:ilvl w:val="0"/>
          <w:numId w:val="87"/>
        </w:numPr>
        <w:jc w:val="both"/>
        <w:rPr>
          <w:sz w:val="24"/>
          <w:szCs w:val="24"/>
          <w:lang w:val="en-MY"/>
        </w:rPr>
      </w:pPr>
      <w:r w:rsidRPr="005E6E52">
        <w:rPr>
          <w:sz w:val="24"/>
          <w:szCs w:val="24"/>
          <w:lang w:val="en-MY"/>
        </w:rPr>
        <w:t>Reducing Dollar Dependency: A reliable alternative supports Beijing’s goal to decrease U.S. dollar usage in cross-border business transactions. This aligns with efforts to reduce exposure to the potential impact of U.S. economic policies and sanctions.</w:t>
      </w:r>
    </w:p>
    <w:p w14:paraId="61F10612" w14:textId="77777777" w:rsidR="005E6E52" w:rsidRPr="005E6E52" w:rsidRDefault="005E6E52" w:rsidP="005E6E52">
      <w:pPr>
        <w:pStyle w:val="ListParagraph"/>
        <w:numPr>
          <w:ilvl w:val="0"/>
          <w:numId w:val="87"/>
        </w:numPr>
        <w:jc w:val="both"/>
        <w:rPr>
          <w:sz w:val="24"/>
          <w:szCs w:val="24"/>
          <w:lang w:val="en-MY"/>
        </w:rPr>
      </w:pPr>
      <w:r w:rsidRPr="005E6E52">
        <w:rPr>
          <w:sz w:val="24"/>
          <w:szCs w:val="24"/>
          <w:lang w:val="en-MY"/>
        </w:rPr>
        <w:t>Strategic Autonomy: Developing a reliable alternative enhances Beijing’s strategic autonomy in the financial realm. It allows China to have greater control over its financial infrastructure, reducing vulnerabilities associated with reliance on external payment systems.</w:t>
      </w:r>
    </w:p>
    <w:p w14:paraId="6A72623D" w14:textId="22A9DCA1" w:rsidR="00307AE4" w:rsidRPr="00307AE4" w:rsidRDefault="005E6E52" w:rsidP="005E6E52">
      <w:pPr>
        <w:pStyle w:val="ListParagraph"/>
        <w:numPr>
          <w:ilvl w:val="0"/>
          <w:numId w:val="87"/>
        </w:numPr>
        <w:jc w:val="both"/>
        <w:rPr>
          <w:sz w:val="24"/>
          <w:szCs w:val="24"/>
          <w:lang w:val="en-MY"/>
        </w:rPr>
      </w:pPr>
      <w:r w:rsidRPr="005E6E52">
        <w:rPr>
          <w:sz w:val="24"/>
          <w:szCs w:val="24"/>
          <w:lang w:val="en-MY"/>
        </w:rPr>
        <w:t xml:space="preserve">China has decided it needs a reliable, cheaper alternative to existing payment channels. To this end, China has taken steps by proposing the Cross-Border Interbank Payment System (CIPS) to facilitate renminbi-denominated transactions with Russia, India, and other </w:t>
      </w:r>
      <w:r w:rsidRPr="005E6E52">
        <w:rPr>
          <w:sz w:val="24"/>
          <w:szCs w:val="24"/>
          <w:lang w:val="en-MY"/>
        </w:rPr>
        <w:t>neighbouring</w:t>
      </w:r>
      <w:r w:rsidRPr="005E6E52">
        <w:rPr>
          <w:sz w:val="24"/>
          <w:szCs w:val="24"/>
          <w:lang w:val="en-MY"/>
        </w:rPr>
        <w:t xml:space="preserve"> countries.</w:t>
      </w:r>
    </w:p>
    <w:p w14:paraId="7F571CBE" w14:textId="77777777" w:rsidR="00307AE4" w:rsidRDefault="00307AE4" w:rsidP="005F3E5E">
      <w:pPr>
        <w:jc w:val="both"/>
        <w:rPr>
          <w:rFonts w:eastAsiaTheme="minorEastAsia"/>
          <w:lang w:val="en-MY"/>
        </w:rPr>
      </w:pPr>
    </w:p>
    <w:p w14:paraId="3809BB7E" w14:textId="77777777" w:rsidR="00307AE4" w:rsidRDefault="00307AE4" w:rsidP="005F3E5E">
      <w:pPr>
        <w:jc w:val="both"/>
        <w:rPr>
          <w:rFonts w:eastAsiaTheme="minorEastAsia"/>
          <w:lang w:val="en-MY"/>
        </w:rPr>
      </w:pPr>
    </w:p>
    <w:p w14:paraId="3B9FC16B" w14:textId="0436CBC5" w:rsidR="005E6E52" w:rsidRPr="004450EB" w:rsidRDefault="008C6979" w:rsidP="005E6E52">
      <w:pPr>
        <w:pStyle w:val="ListParagraph"/>
        <w:numPr>
          <w:ilvl w:val="0"/>
          <w:numId w:val="68"/>
        </w:numPr>
        <w:tabs>
          <w:tab w:val="left" w:pos="1509"/>
        </w:tabs>
        <w:spacing w:before="200" w:line="276" w:lineRule="auto"/>
        <w:ind w:left="426"/>
        <w:contextualSpacing/>
        <w:jc w:val="both"/>
        <w:rPr>
          <w:b/>
          <w:bCs/>
          <w:sz w:val="24"/>
          <w:szCs w:val="24"/>
        </w:rPr>
      </w:pPr>
      <w:r w:rsidRPr="008C6979">
        <w:rPr>
          <w:b/>
          <w:bCs/>
          <w:sz w:val="24"/>
          <w:szCs w:val="24"/>
        </w:rPr>
        <w:t>What does a recent survey of central banks reveal about the current status of Central Bank Digital Currencies (CBDCs) worldwide</w:t>
      </w:r>
      <w:r w:rsidR="005E6E52" w:rsidRPr="008F40C3">
        <w:rPr>
          <w:b/>
          <w:bCs/>
          <w:sz w:val="24"/>
          <w:szCs w:val="24"/>
        </w:rPr>
        <w:t>?</w:t>
      </w:r>
    </w:p>
    <w:p w14:paraId="7ACC0567" w14:textId="77777777" w:rsidR="005E6E52" w:rsidRDefault="005E6E52" w:rsidP="005E6E52">
      <w:pPr>
        <w:pStyle w:val="ListParagraph"/>
        <w:tabs>
          <w:tab w:val="left" w:pos="1509"/>
        </w:tabs>
        <w:spacing w:line="276" w:lineRule="auto"/>
        <w:ind w:left="426"/>
        <w:jc w:val="both"/>
        <w:rPr>
          <w:sz w:val="24"/>
          <w:szCs w:val="24"/>
        </w:rPr>
      </w:pPr>
    </w:p>
    <w:p w14:paraId="7FF830F5" w14:textId="77777777" w:rsidR="005E6E52" w:rsidRPr="005F3E5E" w:rsidRDefault="005E6E52" w:rsidP="005E6E52">
      <w:pPr>
        <w:ind w:firstLine="349"/>
        <w:jc w:val="both"/>
        <w:rPr>
          <w:rFonts w:eastAsiaTheme="minorEastAsia"/>
          <w:lang w:val="en-MY"/>
        </w:rPr>
      </w:pPr>
      <w:r w:rsidRPr="005F3E5E">
        <w:rPr>
          <w:rFonts w:eastAsiaTheme="minorEastAsia"/>
          <w:b/>
          <w:bCs/>
          <w:lang w:val="en-MY"/>
        </w:rPr>
        <w:lastRenderedPageBreak/>
        <w:t>Answer Guide:</w:t>
      </w:r>
      <w:r>
        <w:rPr>
          <w:rFonts w:eastAsiaTheme="minorEastAsia"/>
          <w:b/>
          <w:bCs/>
          <w:lang w:val="en-MY"/>
        </w:rPr>
        <w:t xml:space="preserve"> </w:t>
      </w:r>
    </w:p>
    <w:p w14:paraId="22A5A72C" w14:textId="77777777" w:rsidR="008C6979" w:rsidRPr="008C6979" w:rsidRDefault="008C6979" w:rsidP="008C6979">
      <w:pPr>
        <w:pStyle w:val="ListParagraph"/>
        <w:numPr>
          <w:ilvl w:val="0"/>
          <w:numId w:val="87"/>
        </w:numPr>
        <w:jc w:val="both"/>
        <w:rPr>
          <w:sz w:val="24"/>
          <w:szCs w:val="24"/>
          <w:lang w:val="en-MY"/>
        </w:rPr>
      </w:pPr>
      <w:r w:rsidRPr="008C6979">
        <w:rPr>
          <w:sz w:val="24"/>
          <w:szCs w:val="24"/>
          <w:lang w:val="en-MY"/>
        </w:rPr>
        <w:t>A recent survey indicates that over 60 percent of central banks are experimenting with Central Bank Digital Currencies (CBDCs), with emerging markets showing a stronger inclination toward advanced stages of adoption.</w:t>
      </w:r>
    </w:p>
    <w:p w14:paraId="540E5597" w14:textId="04441F67" w:rsidR="005E6E52" w:rsidRPr="00307AE4" w:rsidRDefault="008C6979" w:rsidP="008C6979">
      <w:pPr>
        <w:pStyle w:val="ListParagraph"/>
        <w:numPr>
          <w:ilvl w:val="0"/>
          <w:numId w:val="87"/>
        </w:numPr>
        <w:jc w:val="both"/>
        <w:rPr>
          <w:sz w:val="24"/>
          <w:szCs w:val="24"/>
          <w:lang w:val="en-MY"/>
        </w:rPr>
      </w:pPr>
      <w:r>
        <w:rPr>
          <w:sz w:val="24"/>
          <w:szCs w:val="24"/>
          <w:lang w:val="en-MY"/>
        </w:rPr>
        <w:t>C</w:t>
      </w:r>
      <w:r w:rsidRPr="008C6979">
        <w:rPr>
          <w:sz w:val="24"/>
          <w:szCs w:val="24"/>
          <w:lang w:val="en-MY"/>
        </w:rPr>
        <w:t>entral banks in these markets have a stronger tendency or preference to move beyond the experimental phase and progress further in the adoption and implementation of Central Bank Digital Currencies (CBDCs)</w:t>
      </w:r>
      <w:r w:rsidR="005E6E52" w:rsidRPr="00307AE4">
        <w:rPr>
          <w:sz w:val="24"/>
          <w:szCs w:val="24"/>
          <w:lang w:val="en-MY"/>
        </w:rPr>
        <w:t>.</w:t>
      </w:r>
    </w:p>
    <w:p w14:paraId="6CE58156" w14:textId="77777777" w:rsidR="005E6E52" w:rsidRDefault="005E6E52" w:rsidP="005F3E5E">
      <w:pPr>
        <w:jc w:val="both"/>
        <w:rPr>
          <w:rFonts w:eastAsiaTheme="minorEastAsia"/>
          <w:lang w:val="en-MY"/>
        </w:rPr>
      </w:pPr>
    </w:p>
    <w:p w14:paraId="0DBB5196" w14:textId="32891182" w:rsidR="005E6E52" w:rsidRPr="004450EB" w:rsidRDefault="00934148" w:rsidP="005E6E52">
      <w:pPr>
        <w:pStyle w:val="ListParagraph"/>
        <w:numPr>
          <w:ilvl w:val="0"/>
          <w:numId w:val="68"/>
        </w:numPr>
        <w:tabs>
          <w:tab w:val="left" w:pos="1509"/>
        </w:tabs>
        <w:spacing w:before="200" w:line="276" w:lineRule="auto"/>
        <w:ind w:left="426"/>
        <w:contextualSpacing/>
        <w:jc w:val="both"/>
        <w:rPr>
          <w:b/>
          <w:bCs/>
          <w:sz w:val="24"/>
          <w:szCs w:val="24"/>
        </w:rPr>
      </w:pPr>
      <w:r w:rsidRPr="00934148">
        <w:rPr>
          <w:b/>
          <w:bCs/>
          <w:sz w:val="24"/>
          <w:szCs w:val="24"/>
        </w:rPr>
        <w:t>What is identified as a major challenge in the establishment of a multi-CBDC arrangement, according to BIS research?</w:t>
      </w:r>
    </w:p>
    <w:p w14:paraId="6635939F" w14:textId="77777777" w:rsidR="005E6E52" w:rsidRDefault="005E6E52" w:rsidP="005E6E52">
      <w:pPr>
        <w:pStyle w:val="ListParagraph"/>
        <w:tabs>
          <w:tab w:val="left" w:pos="1509"/>
        </w:tabs>
        <w:spacing w:line="276" w:lineRule="auto"/>
        <w:ind w:left="426"/>
        <w:jc w:val="both"/>
        <w:rPr>
          <w:sz w:val="24"/>
          <w:szCs w:val="24"/>
        </w:rPr>
      </w:pPr>
    </w:p>
    <w:p w14:paraId="306D3A71" w14:textId="77777777" w:rsidR="005E6E52" w:rsidRPr="005F3E5E" w:rsidRDefault="005E6E52" w:rsidP="005E6E52">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39DF1B54" w14:textId="28553AD5" w:rsidR="005E6E52" w:rsidRPr="00307AE4" w:rsidRDefault="00934148" w:rsidP="005E6E52">
      <w:pPr>
        <w:pStyle w:val="ListParagraph"/>
        <w:numPr>
          <w:ilvl w:val="0"/>
          <w:numId w:val="87"/>
        </w:numPr>
        <w:jc w:val="both"/>
        <w:rPr>
          <w:sz w:val="24"/>
          <w:szCs w:val="24"/>
          <w:lang w:val="en-MY"/>
        </w:rPr>
      </w:pPr>
      <w:r>
        <w:rPr>
          <w:sz w:val="24"/>
          <w:szCs w:val="24"/>
          <w:lang w:val="en-MY"/>
        </w:rPr>
        <w:t>M</w:t>
      </w:r>
      <w:r w:rsidRPr="00934148">
        <w:rPr>
          <w:sz w:val="24"/>
          <w:szCs w:val="24"/>
          <w:lang w:val="en-MY"/>
        </w:rPr>
        <w:t>ajor challenge is that monetary authorities must share the management of rules and governance</w:t>
      </w:r>
      <w:r w:rsidR="005E6E52" w:rsidRPr="00307AE4">
        <w:rPr>
          <w:sz w:val="24"/>
          <w:szCs w:val="24"/>
          <w:lang w:val="en-MY"/>
        </w:rPr>
        <w:t>.</w:t>
      </w:r>
    </w:p>
    <w:p w14:paraId="3922F91B" w14:textId="77777777" w:rsidR="005E6E52" w:rsidRDefault="005E6E52" w:rsidP="005F3E5E">
      <w:pPr>
        <w:jc w:val="both"/>
        <w:rPr>
          <w:rFonts w:eastAsiaTheme="minorEastAsia"/>
          <w:lang w:val="en-MY"/>
        </w:rPr>
      </w:pPr>
    </w:p>
    <w:p w14:paraId="40DADD94" w14:textId="125815F0" w:rsidR="00934148" w:rsidRPr="004450EB" w:rsidRDefault="00B27CA0" w:rsidP="00934148">
      <w:pPr>
        <w:pStyle w:val="ListParagraph"/>
        <w:numPr>
          <w:ilvl w:val="0"/>
          <w:numId w:val="68"/>
        </w:numPr>
        <w:tabs>
          <w:tab w:val="left" w:pos="1509"/>
        </w:tabs>
        <w:spacing w:before="200" w:line="276" w:lineRule="auto"/>
        <w:ind w:left="426"/>
        <w:contextualSpacing/>
        <w:jc w:val="both"/>
        <w:rPr>
          <w:b/>
          <w:bCs/>
          <w:sz w:val="24"/>
          <w:szCs w:val="24"/>
        </w:rPr>
      </w:pPr>
      <w:r w:rsidRPr="00B27CA0">
        <w:rPr>
          <w:b/>
          <w:bCs/>
          <w:sz w:val="24"/>
          <w:szCs w:val="24"/>
        </w:rPr>
        <w:t>What role does Xi Jinping play in the context of digital currencies, according to the passage</w:t>
      </w:r>
      <w:r w:rsidR="00934148" w:rsidRPr="00934148">
        <w:rPr>
          <w:b/>
          <w:bCs/>
          <w:sz w:val="24"/>
          <w:szCs w:val="24"/>
        </w:rPr>
        <w:t>?</w:t>
      </w:r>
    </w:p>
    <w:p w14:paraId="27734EBC" w14:textId="77777777" w:rsidR="00934148" w:rsidRDefault="00934148" w:rsidP="00934148">
      <w:pPr>
        <w:pStyle w:val="ListParagraph"/>
        <w:tabs>
          <w:tab w:val="left" w:pos="1509"/>
        </w:tabs>
        <w:spacing w:line="276" w:lineRule="auto"/>
        <w:ind w:left="426"/>
        <w:jc w:val="both"/>
        <w:rPr>
          <w:sz w:val="24"/>
          <w:szCs w:val="24"/>
        </w:rPr>
      </w:pPr>
    </w:p>
    <w:p w14:paraId="0DA03F38" w14:textId="77777777" w:rsidR="00934148" w:rsidRPr="005F3E5E" w:rsidRDefault="00934148" w:rsidP="00934148">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57A5EE4E" w14:textId="1104BD13" w:rsidR="00934148" w:rsidRPr="00307AE4" w:rsidRDefault="00B27CA0" w:rsidP="00934148">
      <w:pPr>
        <w:pStyle w:val="ListParagraph"/>
        <w:numPr>
          <w:ilvl w:val="0"/>
          <w:numId w:val="87"/>
        </w:numPr>
        <w:jc w:val="both"/>
        <w:rPr>
          <w:sz w:val="24"/>
          <w:szCs w:val="24"/>
          <w:lang w:val="en-MY"/>
        </w:rPr>
      </w:pPr>
      <w:r w:rsidRPr="00B27CA0">
        <w:rPr>
          <w:sz w:val="24"/>
          <w:szCs w:val="24"/>
          <w:lang w:val="en-MY"/>
        </w:rPr>
        <w:t>Xi Jinping has called upon China to play a role in setting standards for digital currencies</w:t>
      </w:r>
      <w:r w:rsidR="00934148" w:rsidRPr="00307AE4">
        <w:rPr>
          <w:sz w:val="24"/>
          <w:szCs w:val="24"/>
          <w:lang w:val="en-MY"/>
        </w:rPr>
        <w:t>.</w:t>
      </w:r>
    </w:p>
    <w:p w14:paraId="2143CB4C" w14:textId="77777777" w:rsidR="00934148" w:rsidRPr="004450EB" w:rsidRDefault="00934148" w:rsidP="005F3E5E">
      <w:pPr>
        <w:jc w:val="both"/>
        <w:rPr>
          <w:rFonts w:eastAsiaTheme="minorEastAsia"/>
          <w:lang w:val="en-MY"/>
        </w:rPr>
      </w:pPr>
    </w:p>
    <w:sectPr w:rsidR="00934148" w:rsidRPr="004450EB" w:rsidSect="007A64A2">
      <w:headerReference w:type="default" r:id="rId12"/>
      <w:footerReference w:type="even" r:id="rId13"/>
      <w:footerReference w:type="default" r:id="rId14"/>
      <w:footerReference w:type="first"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309B3" w14:textId="77777777" w:rsidR="002F54ED" w:rsidRDefault="002F54ED">
      <w:r>
        <w:separator/>
      </w:r>
    </w:p>
  </w:endnote>
  <w:endnote w:type="continuationSeparator" w:id="0">
    <w:p w14:paraId="44AAA775" w14:textId="77777777" w:rsidR="002F54ED" w:rsidRDefault="002F5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48C3" w14:textId="77777777" w:rsidR="002F54ED" w:rsidRDefault="002F54ED">
      <w:r>
        <w:separator/>
      </w:r>
    </w:p>
  </w:footnote>
  <w:footnote w:type="continuationSeparator" w:id="0">
    <w:p w14:paraId="612E7B89" w14:textId="77777777" w:rsidR="002F54ED" w:rsidRDefault="002F5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315F42FB"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B803E1">
      <w:rPr>
        <w:rFonts w:ascii="ITC Galliard Std" w:eastAsia="Trebuchet MS" w:hAnsi="ITC Galliard Std" w:cstheme="minorHAnsi"/>
        <w:b/>
        <w:bCs/>
        <w:sz w:val="32"/>
        <w:szCs w:val="32"/>
      </w:rPr>
      <w:t>6</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7BD5"/>
    <w:multiLevelType w:val="hybridMultilevel"/>
    <w:tmpl w:val="D16461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A3A14"/>
    <w:multiLevelType w:val="multilevel"/>
    <w:tmpl w:val="816A3A0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05693ABE"/>
    <w:multiLevelType w:val="multilevel"/>
    <w:tmpl w:val="7624BDA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B8E7C5E"/>
    <w:multiLevelType w:val="hybridMultilevel"/>
    <w:tmpl w:val="DAB271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C327AE0"/>
    <w:multiLevelType w:val="hybridMultilevel"/>
    <w:tmpl w:val="6C8CC0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5"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4640265"/>
    <w:multiLevelType w:val="hybridMultilevel"/>
    <w:tmpl w:val="F29AB4A6"/>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17"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1F444B6"/>
    <w:multiLevelType w:val="hybridMultilevel"/>
    <w:tmpl w:val="5E42839E"/>
    <w:lvl w:ilvl="0" w:tplc="44090001">
      <w:start w:val="1"/>
      <w:numFmt w:val="bullet"/>
      <w:lvlText w:val=""/>
      <w:lvlJc w:val="left"/>
      <w:pPr>
        <w:ind w:left="1425" w:hanging="360"/>
      </w:pPr>
      <w:rPr>
        <w:rFonts w:ascii="Symbol" w:hAnsi="Symbol" w:hint="default"/>
      </w:rPr>
    </w:lvl>
    <w:lvl w:ilvl="1" w:tplc="44090003" w:tentative="1">
      <w:start w:val="1"/>
      <w:numFmt w:val="bullet"/>
      <w:lvlText w:val="o"/>
      <w:lvlJc w:val="left"/>
      <w:pPr>
        <w:ind w:left="2145" w:hanging="360"/>
      </w:pPr>
      <w:rPr>
        <w:rFonts w:ascii="Courier New" w:hAnsi="Courier New" w:cs="Courier New" w:hint="default"/>
      </w:rPr>
    </w:lvl>
    <w:lvl w:ilvl="2" w:tplc="44090005" w:tentative="1">
      <w:start w:val="1"/>
      <w:numFmt w:val="bullet"/>
      <w:lvlText w:val=""/>
      <w:lvlJc w:val="left"/>
      <w:pPr>
        <w:ind w:left="2865" w:hanging="360"/>
      </w:pPr>
      <w:rPr>
        <w:rFonts w:ascii="Wingdings" w:hAnsi="Wingdings" w:hint="default"/>
      </w:rPr>
    </w:lvl>
    <w:lvl w:ilvl="3" w:tplc="44090001" w:tentative="1">
      <w:start w:val="1"/>
      <w:numFmt w:val="bullet"/>
      <w:lvlText w:val=""/>
      <w:lvlJc w:val="left"/>
      <w:pPr>
        <w:ind w:left="3585" w:hanging="360"/>
      </w:pPr>
      <w:rPr>
        <w:rFonts w:ascii="Symbol" w:hAnsi="Symbol" w:hint="default"/>
      </w:rPr>
    </w:lvl>
    <w:lvl w:ilvl="4" w:tplc="44090003" w:tentative="1">
      <w:start w:val="1"/>
      <w:numFmt w:val="bullet"/>
      <w:lvlText w:val="o"/>
      <w:lvlJc w:val="left"/>
      <w:pPr>
        <w:ind w:left="4305" w:hanging="360"/>
      </w:pPr>
      <w:rPr>
        <w:rFonts w:ascii="Courier New" w:hAnsi="Courier New" w:cs="Courier New" w:hint="default"/>
      </w:rPr>
    </w:lvl>
    <w:lvl w:ilvl="5" w:tplc="44090005" w:tentative="1">
      <w:start w:val="1"/>
      <w:numFmt w:val="bullet"/>
      <w:lvlText w:val=""/>
      <w:lvlJc w:val="left"/>
      <w:pPr>
        <w:ind w:left="5025" w:hanging="360"/>
      </w:pPr>
      <w:rPr>
        <w:rFonts w:ascii="Wingdings" w:hAnsi="Wingdings" w:hint="default"/>
      </w:rPr>
    </w:lvl>
    <w:lvl w:ilvl="6" w:tplc="44090001" w:tentative="1">
      <w:start w:val="1"/>
      <w:numFmt w:val="bullet"/>
      <w:lvlText w:val=""/>
      <w:lvlJc w:val="left"/>
      <w:pPr>
        <w:ind w:left="5745" w:hanging="360"/>
      </w:pPr>
      <w:rPr>
        <w:rFonts w:ascii="Symbol" w:hAnsi="Symbol" w:hint="default"/>
      </w:rPr>
    </w:lvl>
    <w:lvl w:ilvl="7" w:tplc="44090003" w:tentative="1">
      <w:start w:val="1"/>
      <w:numFmt w:val="bullet"/>
      <w:lvlText w:val="o"/>
      <w:lvlJc w:val="left"/>
      <w:pPr>
        <w:ind w:left="6465" w:hanging="360"/>
      </w:pPr>
      <w:rPr>
        <w:rFonts w:ascii="Courier New" w:hAnsi="Courier New" w:cs="Courier New" w:hint="default"/>
      </w:rPr>
    </w:lvl>
    <w:lvl w:ilvl="8" w:tplc="44090005" w:tentative="1">
      <w:start w:val="1"/>
      <w:numFmt w:val="bullet"/>
      <w:lvlText w:val=""/>
      <w:lvlJc w:val="left"/>
      <w:pPr>
        <w:ind w:left="7185" w:hanging="360"/>
      </w:pPr>
      <w:rPr>
        <w:rFonts w:ascii="Wingdings" w:hAnsi="Wingdings" w:hint="default"/>
      </w:rPr>
    </w:lvl>
  </w:abstractNum>
  <w:abstractNum w:abstractNumId="23" w15:restartNumberingAfterBreak="0">
    <w:nsid w:val="257A7AD8"/>
    <w:multiLevelType w:val="multilevel"/>
    <w:tmpl w:val="EAE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27679"/>
    <w:multiLevelType w:val="hybridMultilevel"/>
    <w:tmpl w:val="9226495A"/>
    <w:lvl w:ilvl="0" w:tplc="44090001">
      <w:start w:val="1"/>
      <w:numFmt w:val="bullet"/>
      <w:lvlText w:val=""/>
      <w:lvlJc w:val="left"/>
      <w:pPr>
        <w:ind w:left="1866" w:hanging="360"/>
      </w:pPr>
      <w:rPr>
        <w:rFonts w:ascii="Symbol" w:hAnsi="Symbol" w:hint="default"/>
      </w:rPr>
    </w:lvl>
    <w:lvl w:ilvl="1" w:tplc="44090003" w:tentative="1">
      <w:start w:val="1"/>
      <w:numFmt w:val="bullet"/>
      <w:lvlText w:val="o"/>
      <w:lvlJc w:val="left"/>
      <w:pPr>
        <w:ind w:left="2586" w:hanging="360"/>
      </w:pPr>
      <w:rPr>
        <w:rFonts w:ascii="Courier New" w:hAnsi="Courier New" w:cs="Courier New" w:hint="default"/>
      </w:rPr>
    </w:lvl>
    <w:lvl w:ilvl="2" w:tplc="44090005" w:tentative="1">
      <w:start w:val="1"/>
      <w:numFmt w:val="bullet"/>
      <w:lvlText w:val=""/>
      <w:lvlJc w:val="left"/>
      <w:pPr>
        <w:ind w:left="3306" w:hanging="360"/>
      </w:pPr>
      <w:rPr>
        <w:rFonts w:ascii="Wingdings" w:hAnsi="Wingdings" w:hint="default"/>
      </w:rPr>
    </w:lvl>
    <w:lvl w:ilvl="3" w:tplc="44090001" w:tentative="1">
      <w:start w:val="1"/>
      <w:numFmt w:val="bullet"/>
      <w:lvlText w:val=""/>
      <w:lvlJc w:val="left"/>
      <w:pPr>
        <w:ind w:left="4026" w:hanging="360"/>
      </w:pPr>
      <w:rPr>
        <w:rFonts w:ascii="Symbol" w:hAnsi="Symbol" w:hint="default"/>
      </w:rPr>
    </w:lvl>
    <w:lvl w:ilvl="4" w:tplc="44090003" w:tentative="1">
      <w:start w:val="1"/>
      <w:numFmt w:val="bullet"/>
      <w:lvlText w:val="o"/>
      <w:lvlJc w:val="left"/>
      <w:pPr>
        <w:ind w:left="4746" w:hanging="360"/>
      </w:pPr>
      <w:rPr>
        <w:rFonts w:ascii="Courier New" w:hAnsi="Courier New" w:cs="Courier New" w:hint="default"/>
      </w:rPr>
    </w:lvl>
    <w:lvl w:ilvl="5" w:tplc="44090005" w:tentative="1">
      <w:start w:val="1"/>
      <w:numFmt w:val="bullet"/>
      <w:lvlText w:val=""/>
      <w:lvlJc w:val="left"/>
      <w:pPr>
        <w:ind w:left="5466" w:hanging="360"/>
      </w:pPr>
      <w:rPr>
        <w:rFonts w:ascii="Wingdings" w:hAnsi="Wingdings" w:hint="default"/>
      </w:rPr>
    </w:lvl>
    <w:lvl w:ilvl="6" w:tplc="44090001" w:tentative="1">
      <w:start w:val="1"/>
      <w:numFmt w:val="bullet"/>
      <w:lvlText w:val=""/>
      <w:lvlJc w:val="left"/>
      <w:pPr>
        <w:ind w:left="6186" w:hanging="360"/>
      </w:pPr>
      <w:rPr>
        <w:rFonts w:ascii="Symbol" w:hAnsi="Symbol" w:hint="default"/>
      </w:rPr>
    </w:lvl>
    <w:lvl w:ilvl="7" w:tplc="44090003" w:tentative="1">
      <w:start w:val="1"/>
      <w:numFmt w:val="bullet"/>
      <w:lvlText w:val="o"/>
      <w:lvlJc w:val="left"/>
      <w:pPr>
        <w:ind w:left="6906" w:hanging="360"/>
      </w:pPr>
      <w:rPr>
        <w:rFonts w:ascii="Courier New" w:hAnsi="Courier New" w:cs="Courier New" w:hint="default"/>
      </w:rPr>
    </w:lvl>
    <w:lvl w:ilvl="8" w:tplc="44090005" w:tentative="1">
      <w:start w:val="1"/>
      <w:numFmt w:val="bullet"/>
      <w:lvlText w:val=""/>
      <w:lvlJc w:val="left"/>
      <w:pPr>
        <w:ind w:left="7626" w:hanging="360"/>
      </w:pPr>
      <w:rPr>
        <w:rFonts w:ascii="Wingdings" w:hAnsi="Wingdings" w:hint="default"/>
      </w:rPr>
    </w:lvl>
  </w:abstractNum>
  <w:abstractNum w:abstractNumId="25"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E70DA"/>
    <w:multiLevelType w:val="hybridMultilevel"/>
    <w:tmpl w:val="43520B3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373F2854"/>
    <w:multiLevelType w:val="hybridMultilevel"/>
    <w:tmpl w:val="8D48A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37736F7D"/>
    <w:multiLevelType w:val="hybridMultilevel"/>
    <w:tmpl w:val="D29075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1" w15:restartNumberingAfterBreak="0">
    <w:nsid w:val="39467AD8"/>
    <w:multiLevelType w:val="multilevel"/>
    <w:tmpl w:val="F3DCF4D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2"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C582D7F"/>
    <w:multiLevelType w:val="hybridMultilevel"/>
    <w:tmpl w:val="4030FF6E"/>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44"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45"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51C07DFA"/>
    <w:multiLevelType w:val="hybridMultilevel"/>
    <w:tmpl w:val="63181774"/>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52"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8"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5BF872FA"/>
    <w:multiLevelType w:val="multilevel"/>
    <w:tmpl w:val="3F6C7F8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1"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2"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E971E41"/>
    <w:multiLevelType w:val="hybridMultilevel"/>
    <w:tmpl w:val="A26A5C3C"/>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66"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7"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8"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9"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6D5069D1"/>
    <w:multiLevelType w:val="hybridMultilevel"/>
    <w:tmpl w:val="8E3C1A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7" w15:restartNumberingAfterBreak="0">
    <w:nsid w:val="6E934D2C"/>
    <w:multiLevelType w:val="hybridMultilevel"/>
    <w:tmpl w:val="B9A0A92C"/>
    <w:lvl w:ilvl="0" w:tplc="44090001">
      <w:start w:val="1"/>
      <w:numFmt w:val="bullet"/>
      <w:lvlText w:val=""/>
      <w:lvlJc w:val="left"/>
      <w:pPr>
        <w:ind w:left="709" w:hanging="360"/>
      </w:pPr>
      <w:rPr>
        <w:rFonts w:ascii="Symbol" w:hAnsi="Symbol" w:hint="default"/>
      </w:rPr>
    </w:lvl>
    <w:lvl w:ilvl="1" w:tplc="44090003" w:tentative="1">
      <w:start w:val="1"/>
      <w:numFmt w:val="bullet"/>
      <w:lvlText w:val="o"/>
      <w:lvlJc w:val="left"/>
      <w:pPr>
        <w:ind w:left="1429" w:hanging="360"/>
      </w:pPr>
      <w:rPr>
        <w:rFonts w:ascii="Courier New" w:hAnsi="Courier New" w:cs="Courier New" w:hint="default"/>
      </w:rPr>
    </w:lvl>
    <w:lvl w:ilvl="2" w:tplc="44090005" w:tentative="1">
      <w:start w:val="1"/>
      <w:numFmt w:val="bullet"/>
      <w:lvlText w:val=""/>
      <w:lvlJc w:val="left"/>
      <w:pPr>
        <w:ind w:left="2149" w:hanging="360"/>
      </w:pPr>
      <w:rPr>
        <w:rFonts w:ascii="Wingdings" w:hAnsi="Wingdings" w:hint="default"/>
      </w:rPr>
    </w:lvl>
    <w:lvl w:ilvl="3" w:tplc="44090001" w:tentative="1">
      <w:start w:val="1"/>
      <w:numFmt w:val="bullet"/>
      <w:lvlText w:val=""/>
      <w:lvlJc w:val="left"/>
      <w:pPr>
        <w:ind w:left="2869" w:hanging="360"/>
      </w:pPr>
      <w:rPr>
        <w:rFonts w:ascii="Symbol" w:hAnsi="Symbol" w:hint="default"/>
      </w:rPr>
    </w:lvl>
    <w:lvl w:ilvl="4" w:tplc="44090003" w:tentative="1">
      <w:start w:val="1"/>
      <w:numFmt w:val="bullet"/>
      <w:lvlText w:val="o"/>
      <w:lvlJc w:val="left"/>
      <w:pPr>
        <w:ind w:left="3589" w:hanging="360"/>
      </w:pPr>
      <w:rPr>
        <w:rFonts w:ascii="Courier New" w:hAnsi="Courier New" w:cs="Courier New" w:hint="default"/>
      </w:rPr>
    </w:lvl>
    <w:lvl w:ilvl="5" w:tplc="44090005" w:tentative="1">
      <w:start w:val="1"/>
      <w:numFmt w:val="bullet"/>
      <w:lvlText w:val=""/>
      <w:lvlJc w:val="left"/>
      <w:pPr>
        <w:ind w:left="4309" w:hanging="360"/>
      </w:pPr>
      <w:rPr>
        <w:rFonts w:ascii="Wingdings" w:hAnsi="Wingdings" w:hint="default"/>
      </w:rPr>
    </w:lvl>
    <w:lvl w:ilvl="6" w:tplc="44090001" w:tentative="1">
      <w:start w:val="1"/>
      <w:numFmt w:val="bullet"/>
      <w:lvlText w:val=""/>
      <w:lvlJc w:val="left"/>
      <w:pPr>
        <w:ind w:left="5029" w:hanging="360"/>
      </w:pPr>
      <w:rPr>
        <w:rFonts w:ascii="Symbol" w:hAnsi="Symbol" w:hint="default"/>
      </w:rPr>
    </w:lvl>
    <w:lvl w:ilvl="7" w:tplc="44090003" w:tentative="1">
      <w:start w:val="1"/>
      <w:numFmt w:val="bullet"/>
      <w:lvlText w:val="o"/>
      <w:lvlJc w:val="left"/>
      <w:pPr>
        <w:ind w:left="5749" w:hanging="360"/>
      </w:pPr>
      <w:rPr>
        <w:rFonts w:ascii="Courier New" w:hAnsi="Courier New" w:cs="Courier New" w:hint="default"/>
      </w:rPr>
    </w:lvl>
    <w:lvl w:ilvl="8" w:tplc="44090005" w:tentative="1">
      <w:start w:val="1"/>
      <w:numFmt w:val="bullet"/>
      <w:lvlText w:val=""/>
      <w:lvlJc w:val="left"/>
      <w:pPr>
        <w:ind w:left="6469" w:hanging="360"/>
      </w:pPr>
      <w:rPr>
        <w:rFonts w:ascii="Wingdings" w:hAnsi="Wingdings" w:hint="default"/>
      </w:rPr>
    </w:lvl>
  </w:abstractNum>
  <w:abstractNum w:abstractNumId="78"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2"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4C7539A"/>
    <w:multiLevelType w:val="hybridMultilevel"/>
    <w:tmpl w:val="0F0A365E"/>
    <w:lvl w:ilvl="0" w:tplc="4409000F">
      <w:start w:val="1"/>
      <w:numFmt w:val="decimal"/>
      <w:lvlText w:val="%1."/>
      <w:lvlJc w:val="left"/>
      <w:pPr>
        <w:ind w:left="8441" w:hanging="360"/>
      </w:pPr>
    </w:lvl>
    <w:lvl w:ilvl="1" w:tplc="44090019" w:tentative="1">
      <w:start w:val="1"/>
      <w:numFmt w:val="lowerLetter"/>
      <w:lvlText w:val="%2."/>
      <w:lvlJc w:val="left"/>
      <w:pPr>
        <w:ind w:left="9161" w:hanging="360"/>
      </w:pPr>
    </w:lvl>
    <w:lvl w:ilvl="2" w:tplc="4409001B" w:tentative="1">
      <w:start w:val="1"/>
      <w:numFmt w:val="lowerRoman"/>
      <w:lvlText w:val="%3."/>
      <w:lvlJc w:val="right"/>
      <w:pPr>
        <w:ind w:left="9881" w:hanging="180"/>
      </w:pPr>
    </w:lvl>
    <w:lvl w:ilvl="3" w:tplc="4409000F" w:tentative="1">
      <w:start w:val="1"/>
      <w:numFmt w:val="decimal"/>
      <w:lvlText w:val="%4."/>
      <w:lvlJc w:val="left"/>
      <w:pPr>
        <w:ind w:left="10601" w:hanging="360"/>
      </w:pPr>
    </w:lvl>
    <w:lvl w:ilvl="4" w:tplc="44090019" w:tentative="1">
      <w:start w:val="1"/>
      <w:numFmt w:val="lowerLetter"/>
      <w:lvlText w:val="%5."/>
      <w:lvlJc w:val="left"/>
      <w:pPr>
        <w:ind w:left="11321" w:hanging="360"/>
      </w:pPr>
    </w:lvl>
    <w:lvl w:ilvl="5" w:tplc="4409001B" w:tentative="1">
      <w:start w:val="1"/>
      <w:numFmt w:val="lowerRoman"/>
      <w:lvlText w:val="%6."/>
      <w:lvlJc w:val="right"/>
      <w:pPr>
        <w:ind w:left="12041" w:hanging="180"/>
      </w:pPr>
    </w:lvl>
    <w:lvl w:ilvl="6" w:tplc="4409000F" w:tentative="1">
      <w:start w:val="1"/>
      <w:numFmt w:val="decimal"/>
      <w:lvlText w:val="%7."/>
      <w:lvlJc w:val="left"/>
      <w:pPr>
        <w:ind w:left="12761" w:hanging="360"/>
      </w:pPr>
    </w:lvl>
    <w:lvl w:ilvl="7" w:tplc="44090019" w:tentative="1">
      <w:start w:val="1"/>
      <w:numFmt w:val="lowerLetter"/>
      <w:lvlText w:val="%8."/>
      <w:lvlJc w:val="left"/>
      <w:pPr>
        <w:ind w:left="13481" w:hanging="360"/>
      </w:pPr>
    </w:lvl>
    <w:lvl w:ilvl="8" w:tplc="4409001B" w:tentative="1">
      <w:start w:val="1"/>
      <w:numFmt w:val="lowerRoman"/>
      <w:lvlText w:val="%9."/>
      <w:lvlJc w:val="right"/>
      <w:pPr>
        <w:ind w:left="14201" w:hanging="180"/>
      </w:pPr>
    </w:lvl>
  </w:abstractNum>
  <w:abstractNum w:abstractNumId="85" w15:restartNumberingAfterBreak="0">
    <w:nsid w:val="76DC2ECA"/>
    <w:multiLevelType w:val="multilevel"/>
    <w:tmpl w:val="5DF4E6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6"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8091408">
    <w:abstractNumId w:val="87"/>
  </w:num>
  <w:num w:numId="2" w16cid:durableId="190997584">
    <w:abstractNumId w:val="25"/>
  </w:num>
  <w:num w:numId="3" w16cid:durableId="1695226505">
    <w:abstractNumId w:val="75"/>
  </w:num>
  <w:num w:numId="4" w16cid:durableId="889195973">
    <w:abstractNumId w:val="42"/>
  </w:num>
  <w:num w:numId="5" w16cid:durableId="1459030429">
    <w:abstractNumId w:val="48"/>
  </w:num>
  <w:num w:numId="6" w16cid:durableId="1050303382">
    <w:abstractNumId w:val="59"/>
  </w:num>
  <w:num w:numId="7" w16cid:durableId="940990481">
    <w:abstractNumId w:val="36"/>
  </w:num>
  <w:num w:numId="8" w16cid:durableId="1346519720">
    <w:abstractNumId w:val="3"/>
  </w:num>
  <w:num w:numId="9" w16cid:durableId="830216552">
    <w:abstractNumId w:val="18"/>
  </w:num>
  <w:num w:numId="10" w16cid:durableId="1407220956">
    <w:abstractNumId w:val="11"/>
  </w:num>
  <w:num w:numId="11" w16cid:durableId="939138797">
    <w:abstractNumId w:val="28"/>
  </w:num>
  <w:num w:numId="12" w16cid:durableId="543055036">
    <w:abstractNumId w:val="49"/>
  </w:num>
  <w:num w:numId="13" w16cid:durableId="1972710099">
    <w:abstractNumId w:val="31"/>
  </w:num>
  <w:num w:numId="14" w16cid:durableId="1058673886">
    <w:abstractNumId w:val="14"/>
  </w:num>
  <w:num w:numId="15" w16cid:durableId="18966951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5"/>
  </w:num>
  <w:num w:numId="17" w16cid:durableId="1059356580">
    <w:abstractNumId w:val="66"/>
  </w:num>
  <w:num w:numId="18" w16cid:durableId="1070232155">
    <w:abstractNumId w:val="46"/>
  </w:num>
  <w:num w:numId="19" w16cid:durableId="479925117">
    <w:abstractNumId w:val="0"/>
  </w:num>
  <w:num w:numId="20" w16cid:durableId="828987626">
    <w:abstractNumId w:val="29"/>
  </w:num>
  <w:num w:numId="21" w16cid:durableId="255015950">
    <w:abstractNumId w:val="74"/>
  </w:num>
  <w:num w:numId="22" w16cid:durableId="1715151779">
    <w:abstractNumId w:val="80"/>
  </w:num>
  <w:num w:numId="23" w16cid:durableId="1891917901">
    <w:abstractNumId w:val="4"/>
  </w:num>
  <w:num w:numId="24" w16cid:durableId="1395733558">
    <w:abstractNumId w:val="47"/>
  </w:num>
  <w:num w:numId="25" w16cid:durableId="17315221">
    <w:abstractNumId w:val="70"/>
  </w:num>
  <w:num w:numId="26" w16cid:durableId="1562868907">
    <w:abstractNumId w:val="44"/>
  </w:num>
  <w:num w:numId="27" w16cid:durableId="253637872">
    <w:abstractNumId w:val="53"/>
  </w:num>
  <w:num w:numId="28" w16cid:durableId="1613392154">
    <w:abstractNumId w:val="54"/>
  </w:num>
  <w:num w:numId="29" w16cid:durableId="36854421">
    <w:abstractNumId w:val="73"/>
  </w:num>
  <w:num w:numId="30" w16cid:durableId="1546135850">
    <w:abstractNumId w:val="79"/>
  </w:num>
  <w:num w:numId="31" w16cid:durableId="1021778308">
    <w:abstractNumId w:val="64"/>
  </w:num>
  <w:num w:numId="32" w16cid:durableId="683484183">
    <w:abstractNumId w:val="56"/>
  </w:num>
  <w:num w:numId="33" w16cid:durableId="1063721936">
    <w:abstractNumId w:val="86"/>
  </w:num>
  <w:num w:numId="34" w16cid:durableId="1579443756">
    <w:abstractNumId w:val="83"/>
  </w:num>
  <w:num w:numId="35" w16cid:durableId="2118020221">
    <w:abstractNumId w:val="6"/>
  </w:num>
  <w:num w:numId="36" w16cid:durableId="1100757411">
    <w:abstractNumId w:val="62"/>
  </w:num>
  <w:num w:numId="37" w16cid:durableId="299268243">
    <w:abstractNumId w:val="21"/>
  </w:num>
  <w:num w:numId="38" w16cid:durableId="1736200089">
    <w:abstractNumId w:val="81"/>
  </w:num>
  <w:num w:numId="39" w16cid:durableId="1468355478">
    <w:abstractNumId w:val="57"/>
  </w:num>
  <w:num w:numId="40" w16cid:durableId="1969968080">
    <w:abstractNumId w:val="38"/>
  </w:num>
  <w:num w:numId="41" w16cid:durableId="1835368164">
    <w:abstractNumId w:val="61"/>
  </w:num>
  <w:num w:numId="42" w16cid:durableId="821852630">
    <w:abstractNumId w:val="67"/>
  </w:num>
  <w:num w:numId="43" w16cid:durableId="44571324">
    <w:abstractNumId w:val="63"/>
  </w:num>
  <w:num w:numId="44" w16cid:durableId="692192820">
    <w:abstractNumId w:val="32"/>
  </w:num>
  <w:num w:numId="45" w16cid:durableId="1674456942">
    <w:abstractNumId w:val="50"/>
  </w:num>
  <w:num w:numId="46" w16cid:durableId="148182174">
    <w:abstractNumId w:val="19"/>
  </w:num>
  <w:num w:numId="47" w16cid:durableId="893931279">
    <w:abstractNumId w:val="34"/>
  </w:num>
  <w:num w:numId="48" w16cid:durableId="1296911243">
    <w:abstractNumId w:val="68"/>
  </w:num>
  <w:num w:numId="49" w16cid:durableId="1745836204">
    <w:abstractNumId w:val="17"/>
  </w:num>
  <w:num w:numId="50" w16cid:durableId="2128425944">
    <w:abstractNumId w:val="35"/>
  </w:num>
  <w:num w:numId="51" w16cid:durableId="1722441775">
    <w:abstractNumId w:val="30"/>
  </w:num>
  <w:num w:numId="52" w16cid:durableId="774204605">
    <w:abstractNumId w:val="72"/>
  </w:num>
  <w:num w:numId="53" w16cid:durableId="2128573671">
    <w:abstractNumId w:val="7"/>
  </w:num>
  <w:num w:numId="54" w16cid:durableId="1696079415">
    <w:abstractNumId w:val="8"/>
  </w:num>
  <w:num w:numId="55" w16cid:durableId="222520015">
    <w:abstractNumId w:val="55"/>
  </w:num>
  <w:num w:numId="56" w16cid:durableId="127600040">
    <w:abstractNumId w:val="78"/>
  </w:num>
  <w:num w:numId="57" w16cid:durableId="685015023">
    <w:abstractNumId w:val="69"/>
  </w:num>
  <w:num w:numId="58" w16cid:durableId="763913727">
    <w:abstractNumId w:val="58"/>
  </w:num>
  <w:num w:numId="59" w16cid:durableId="934167204">
    <w:abstractNumId w:val="15"/>
  </w:num>
  <w:num w:numId="60" w16cid:durableId="210312895">
    <w:abstractNumId w:val="1"/>
  </w:num>
  <w:num w:numId="61" w16cid:durableId="741759740">
    <w:abstractNumId w:val="45"/>
  </w:num>
  <w:num w:numId="62" w16cid:durableId="552230992">
    <w:abstractNumId w:val="52"/>
  </w:num>
  <w:num w:numId="63" w16cid:durableId="1072628192">
    <w:abstractNumId w:val="20"/>
  </w:num>
  <w:num w:numId="64" w16cid:durableId="1819179639">
    <w:abstractNumId w:val="26"/>
  </w:num>
  <w:num w:numId="65" w16cid:durableId="1491673104">
    <w:abstractNumId w:val="82"/>
  </w:num>
  <w:num w:numId="66" w16cid:durableId="1363479444">
    <w:abstractNumId w:val="33"/>
  </w:num>
  <w:num w:numId="67" w16cid:durableId="214631386">
    <w:abstractNumId w:val="71"/>
  </w:num>
  <w:num w:numId="68" w16cid:durableId="65031045">
    <w:abstractNumId w:val="84"/>
  </w:num>
  <w:num w:numId="69" w16cid:durableId="1087190993">
    <w:abstractNumId w:val="16"/>
  </w:num>
  <w:num w:numId="70" w16cid:durableId="414254098">
    <w:abstractNumId w:val="65"/>
  </w:num>
  <w:num w:numId="71" w16cid:durableId="575163914">
    <w:abstractNumId w:val="24"/>
  </w:num>
  <w:num w:numId="72" w16cid:durableId="47382895">
    <w:abstractNumId w:val="43"/>
  </w:num>
  <w:num w:numId="73" w16cid:durableId="1383871252">
    <w:abstractNumId w:val="40"/>
  </w:num>
  <w:num w:numId="74" w16cid:durableId="1102333773">
    <w:abstractNumId w:val="27"/>
  </w:num>
  <w:num w:numId="75" w16cid:durableId="1780835812">
    <w:abstractNumId w:val="22"/>
  </w:num>
  <w:num w:numId="76" w16cid:durableId="771634343">
    <w:abstractNumId w:val="39"/>
  </w:num>
  <w:num w:numId="77" w16cid:durableId="281158833">
    <w:abstractNumId w:val="51"/>
  </w:num>
  <w:num w:numId="78" w16cid:durableId="1237738586">
    <w:abstractNumId w:val="12"/>
  </w:num>
  <w:num w:numId="79" w16cid:durableId="2042778519">
    <w:abstractNumId w:val="2"/>
  </w:num>
  <w:num w:numId="80" w16cid:durableId="2040743082">
    <w:abstractNumId w:val="76"/>
  </w:num>
  <w:num w:numId="81" w16cid:durableId="756052181">
    <w:abstractNumId w:val="41"/>
  </w:num>
  <w:num w:numId="82" w16cid:durableId="666246204">
    <w:abstractNumId w:val="85"/>
  </w:num>
  <w:num w:numId="83" w16cid:durableId="914434237">
    <w:abstractNumId w:val="60"/>
  </w:num>
  <w:num w:numId="84" w16cid:durableId="816919651">
    <w:abstractNumId w:val="9"/>
  </w:num>
  <w:num w:numId="85" w16cid:durableId="1427193997">
    <w:abstractNumId w:val="10"/>
  </w:num>
  <w:num w:numId="86" w16cid:durableId="1085759000">
    <w:abstractNumId w:val="23"/>
  </w:num>
  <w:num w:numId="87" w16cid:durableId="1319655022">
    <w:abstractNumId w:val="13"/>
  </w:num>
  <w:num w:numId="88" w16cid:durableId="1061950611">
    <w:abstractNumId w:val="7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6370"/>
    <w:rsid w:val="00067F3A"/>
    <w:rsid w:val="000841A0"/>
    <w:rsid w:val="000863E8"/>
    <w:rsid w:val="000915D1"/>
    <w:rsid w:val="00092AD6"/>
    <w:rsid w:val="00097FBD"/>
    <w:rsid w:val="000A32DA"/>
    <w:rsid w:val="000A71C2"/>
    <w:rsid w:val="000B2108"/>
    <w:rsid w:val="000B2359"/>
    <w:rsid w:val="000C13B4"/>
    <w:rsid w:val="000C25A3"/>
    <w:rsid w:val="000D1E81"/>
    <w:rsid w:val="000D1E88"/>
    <w:rsid w:val="000D388E"/>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338E"/>
    <w:rsid w:val="00124248"/>
    <w:rsid w:val="00124BB3"/>
    <w:rsid w:val="00126E29"/>
    <w:rsid w:val="00126EEA"/>
    <w:rsid w:val="00130A5D"/>
    <w:rsid w:val="00135E89"/>
    <w:rsid w:val="0014073D"/>
    <w:rsid w:val="00140CDC"/>
    <w:rsid w:val="00142D26"/>
    <w:rsid w:val="0014696D"/>
    <w:rsid w:val="00151ACF"/>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77010"/>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2F54ED"/>
    <w:rsid w:val="00302125"/>
    <w:rsid w:val="003063F0"/>
    <w:rsid w:val="00307AE4"/>
    <w:rsid w:val="00310C13"/>
    <w:rsid w:val="003110FE"/>
    <w:rsid w:val="00317129"/>
    <w:rsid w:val="00317D2A"/>
    <w:rsid w:val="003218B2"/>
    <w:rsid w:val="003275D3"/>
    <w:rsid w:val="003364F2"/>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E48D3"/>
    <w:rsid w:val="003F101F"/>
    <w:rsid w:val="004170DD"/>
    <w:rsid w:val="00424504"/>
    <w:rsid w:val="004320C0"/>
    <w:rsid w:val="00436F61"/>
    <w:rsid w:val="004449C1"/>
    <w:rsid w:val="004450EB"/>
    <w:rsid w:val="00446C69"/>
    <w:rsid w:val="004503C6"/>
    <w:rsid w:val="004545F4"/>
    <w:rsid w:val="00456929"/>
    <w:rsid w:val="00465C27"/>
    <w:rsid w:val="00465D01"/>
    <w:rsid w:val="004663EF"/>
    <w:rsid w:val="0046695B"/>
    <w:rsid w:val="00466CC3"/>
    <w:rsid w:val="004709BE"/>
    <w:rsid w:val="00476FED"/>
    <w:rsid w:val="00485EDA"/>
    <w:rsid w:val="00486B76"/>
    <w:rsid w:val="004937A2"/>
    <w:rsid w:val="00494843"/>
    <w:rsid w:val="00494D4E"/>
    <w:rsid w:val="004973E1"/>
    <w:rsid w:val="004A2300"/>
    <w:rsid w:val="004B29F9"/>
    <w:rsid w:val="004B7386"/>
    <w:rsid w:val="004C33EF"/>
    <w:rsid w:val="004C46D4"/>
    <w:rsid w:val="004D240C"/>
    <w:rsid w:val="004D341C"/>
    <w:rsid w:val="004D5F99"/>
    <w:rsid w:val="004E1293"/>
    <w:rsid w:val="004E569D"/>
    <w:rsid w:val="004E73DE"/>
    <w:rsid w:val="004E75B6"/>
    <w:rsid w:val="004F03B8"/>
    <w:rsid w:val="004F411D"/>
    <w:rsid w:val="004F78A1"/>
    <w:rsid w:val="0050375F"/>
    <w:rsid w:val="005037E9"/>
    <w:rsid w:val="0050424E"/>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873F8"/>
    <w:rsid w:val="00595DD8"/>
    <w:rsid w:val="00595ECC"/>
    <w:rsid w:val="005A4E37"/>
    <w:rsid w:val="005B0EF1"/>
    <w:rsid w:val="005B143C"/>
    <w:rsid w:val="005C01A4"/>
    <w:rsid w:val="005C09AC"/>
    <w:rsid w:val="005C3443"/>
    <w:rsid w:val="005D1957"/>
    <w:rsid w:val="005D7F84"/>
    <w:rsid w:val="005E28EB"/>
    <w:rsid w:val="005E6E52"/>
    <w:rsid w:val="005E7495"/>
    <w:rsid w:val="005E7DB3"/>
    <w:rsid w:val="005F0092"/>
    <w:rsid w:val="005F18E9"/>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F1007"/>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97760"/>
    <w:rsid w:val="007A45EE"/>
    <w:rsid w:val="007A4E4F"/>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0F3B"/>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979"/>
    <w:rsid w:val="008C6ADE"/>
    <w:rsid w:val="008D0C21"/>
    <w:rsid w:val="008D1903"/>
    <w:rsid w:val="008D28D2"/>
    <w:rsid w:val="008E0E76"/>
    <w:rsid w:val="008E1204"/>
    <w:rsid w:val="008E2721"/>
    <w:rsid w:val="008E2989"/>
    <w:rsid w:val="008E35A3"/>
    <w:rsid w:val="008E4526"/>
    <w:rsid w:val="008E4603"/>
    <w:rsid w:val="008E53DE"/>
    <w:rsid w:val="008E769D"/>
    <w:rsid w:val="008F3261"/>
    <w:rsid w:val="008F40C3"/>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4148"/>
    <w:rsid w:val="009355DD"/>
    <w:rsid w:val="00941F33"/>
    <w:rsid w:val="009421EE"/>
    <w:rsid w:val="00944A31"/>
    <w:rsid w:val="00950046"/>
    <w:rsid w:val="00950B21"/>
    <w:rsid w:val="00956E7E"/>
    <w:rsid w:val="00960F48"/>
    <w:rsid w:val="00961C49"/>
    <w:rsid w:val="00971991"/>
    <w:rsid w:val="00975564"/>
    <w:rsid w:val="009814A2"/>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1868"/>
    <w:rsid w:val="00A660E4"/>
    <w:rsid w:val="00A66488"/>
    <w:rsid w:val="00A73BE9"/>
    <w:rsid w:val="00A753D8"/>
    <w:rsid w:val="00A8429B"/>
    <w:rsid w:val="00A852C7"/>
    <w:rsid w:val="00A8533A"/>
    <w:rsid w:val="00A85AC9"/>
    <w:rsid w:val="00A918B2"/>
    <w:rsid w:val="00A91B5B"/>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17F7E"/>
    <w:rsid w:val="00B20A94"/>
    <w:rsid w:val="00B211D2"/>
    <w:rsid w:val="00B2452E"/>
    <w:rsid w:val="00B25337"/>
    <w:rsid w:val="00B257DE"/>
    <w:rsid w:val="00B25A5D"/>
    <w:rsid w:val="00B25DAE"/>
    <w:rsid w:val="00B27CA0"/>
    <w:rsid w:val="00B355FE"/>
    <w:rsid w:val="00B377F8"/>
    <w:rsid w:val="00B42033"/>
    <w:rsid w:val="00B457C6"/>
    <w:rsid w:val="00B45CF0"/>
    <w:rsid w:val="00B45E38"/>
    <w:rsid w:val="00B46190"/>
    <w:rsid w:val="00B53ECC"/>
    <w:rsid w:val="00B54C76"/>
    <w:rsid w:val="00B55677"/>
    <w:rsid w:val="00B60289"/>
    <w:rsid w:val="00B622DB"/>
    <w:rsid w:val="00B65C8B"/>
    <w:rsid w:val="00B66066"/>
    <w:rsid w:val="00B7078C"/>
    <w:rsid w:val="00B73C22"/>
    <w:rsid w:val="00B754BE"/>
    <w:rsid w:val="00B77122"/>
    <w:rsid w:val="00B803E1"/>
    <w:rsid w:val="00B83B32"/>
    <w:rsid w:val="00B83C3C"/>
    <w:rsid w:val="00B854EF"/>
    <w:rsid w:val="00B93EE2"/>
    <w:rsid w:val="00B96C9C"/>
    <w:rsid w:val="00BA0B4A"/>
    <w:rsid w:val="00BA0CA5"/>
    <w:rsid w:val="00BA74A0"/>
    <w:rsid w:val="00BB2A58"/>
    <w:rsid w:val="00BB4158"/>
    <w:rsid w:val="00BB4FA3"/>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244D"/>
    <w:rsid w:val="00C73C41"/>
    <w:rsid w:val="00C768A7"/>
    <w:rsid w:val="00C80EB6"/>
    <w:rsid w:val="00C907D7"/>
    <w:rsid w:val="00C91441"/>
    <w:rsid w:val="00C9677F"/>
    <w:rsid w:val="00CA01B6"/>
    <w:rsid w:val="00CA3632"/>
    <w:rsid w:val="00CB3CBA"/>
    <w:rsid w:val="00CB5968"/>
    <w:rsid w:val="00CB6057"/>
    <w:rsid w:val="00CC0501"/>
    <w:rsid w:val="00CC240B"/>
    <w:rsid w:val="00CC5A92"/>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006C"/>
    <w:rsid w:val="00D62A85"/>
    <w:rsid w:val="00D657FC"/>
    <w:rsid w:val="00D65A6A"/>
    <w:rsid w:val="00D673DB"/>
    <w:rsid w:val="00D91E21"/>
    <w:rsid w:val="00D9200B"/>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10F0"/>
    <w:rsid w:val="00E03E9F"/>
    <w:rsid w:val="00E049B9"/>
    <w:rsid w:val="00E069B7"/>
    <w:rsid w:val="00E10171"/>
    <w:rsid w:val="00E170D3"/>
    <w:rsid w:val="00E20D42"/>
    <w:rsid w:val="00E213D1"/>
    <w:rsid w:val="00E247B2"/>
    <w:rsid w:val="00E30597"/>
    <w:rsid w:val="00E3206A"/>
    <w:rsid w:val="00E32183"/>
    <w:rsid w:val="00E363A4"/>
    <w:rsid w:val="00E40E00"/>
    <w:rsid w:val="00E43E50"/>
    <w:rsid w:val="00E44605"/>
    <w:rsid w:val="00E514B3"/>
    <w:rsid w:val="00E51F72"/>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4B6F"/>
    <w:rsid w:val="00ED2526"/>
    <w:rsid w:val="00ED5135"/>
    <w:rsid w:val="00ED6813"/>
    <w:rsid w:val="00EE2C00"/>
    <w:rsid w:val="00EE3267"/>
    <w:rsid w:val="00EE52B7"/>
    <w:rsid w:val="00EE647C"/>
    <w:rsid w:val="00EE66E5"/>
    <w:rsid w:val="00EF2360"/>
    <w:rsid w:val="00EF562C"/>
    <w:rsid w:val="00EF7A49"/>
    <w:rsid w:val="00F0164F"/>
    <w:rsid w:val="00F04A1B"/>
    <w:rsid w:val="00F04E69"/>
    <w:rsid w:val="00F13047"/>
    <w:rsid w:val="00F16B49"/>
    <w:rsid w:val="00F2074A"/>
    <w:rsid w:val="00F227DE"/>
    <w:rsid w:val="00F2340D"/>
    <w:rsid w:val="00F236AB"/>
    <w:rsid w:val="00F23CA5"/>
    <w:rsid w:val="00F251F4"/>
    <w:rsid w:val="00F25D8A"/>
    <w:rsid w:val="00F27008"/>
    <w:rsid w:val="00F304D3"/>
    <w:rsid w:val="00F31AB8"/>
    <w:rsid w:val="00F31EC6"/>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55CA"/>
    <w:rsid w:val="00F7637B"/>
    <w:rsid w:val="00F76A3A"/>
    <w:rsid w:val="00F805E1"/>
    <w:rsid w:val="00F8259A"/>
    <w:rsid w:val="00F83FB8"/>
    <w:rsid w:val="00F9068F"/>
    <w:rsid w:val="00F910F4"/>
    <w:rsid w:val="00F94AF8"/>
    <w:rsid w:val="00F96B8E"/>
    <w:rsid w:val="00FA18F0"/>
    <w:rsid w:val="00FA508A"/>
    <w:rsid w:val="00FB4013"/>
    <w:rsid w:val="00FB661B"/>
    <w:rsid w:val="00FB6C8D"/>
    <w:rsid w:val="00FC39ED"/>
    <w:rsid w:val="00FC3ED1"/>
    <w:rsid w:val="00FC6894"/>
    <w:rsid w:val="00FC6C76"/>
    <w:rsid w:val="00FC6E2A"/>
    <w:rsid w:val="00FD1506"/>
    <w:rsid w:val="00FD68BD"/>
    <w:rsid w:val="00FD6C30"/>
    <w:rsid w:val="00FE2EC7"/>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52585812">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220413041">
      <w:bodyDiv w:val="1"/>
      <w:marLeft w:val="0"/>
      <w:marRight w:val="0"/>
      <w:marTop w:val="0"/>
      <w:marBottom w:val="0"/>
      <w:divBdr>
        <w:top w:val="none" w:sz="0" w:space="0" w:color="auto"/>
        <w:left w:val="none" w:sz="0" w:space="0" w:color="auto"/>
        <w:bottom w:val="none" w:sz="0" w:space="0" w:color="auto"/>
        <w:right w:val="none" w:sz="0" w:space="0" w:color="auto"/>
      </w:divBdr>
    </w:div>
    <w:div w:id="307636394">
      <w:bodyDiv w:val="1"/>
      <w:marLeft w:val="0"/>
      <w:marRight w:val="0"/>
      <w:marTop w:val="0"/>
      <w:marBottom w:val="0"/>
      <w:divBdr>
        <w:top w:val="none" w:sz="0" w:space="0" w:color="auto"/>
        <w:left w:val="none" w:sz="0" w:space="0" w:color="auto"/>
        <w:bottom w:val="none" w:sz="0" w:space="0" w:color="auto"/>
        <w:right w:val="none" w:sz="0" w:space="0" w:color="auto"/>
      </w:divBdr>
    </w:div>
    <w:div w:id="316568098">
      <w:bodyDiv w:val="1"/>
      <w:marLeft w:val="0"/>
      <w:marRight w:val="0"/>
      <w:marTop w:val="0"/>
      <w:marBottom w:val="0"/>
      <w:divBdr>
        <w:top w:val="none" w:sz="0" w:space="0" w:color="auto"/>
        <w:left w:val="none" w:sz="0" w:space="0" w:color="auto"/>
        <w:bottom w:val="none" w:sz="0" w:space="0" w:color="auto"/>
        <w:right w:val="none" w:sz="0" w:space="0" w:color="auto"/>
      </w:divBdr>
    </w:div>
    <w:div w:id="345441982">
      <w:bodyDiv w:val="1"/>
      <w:marLeft w:val="0"/>
      <w:marRight w:val="0"/>
      <w:marTop w:val="0"/>
      <w:marBottom w:val="0"/>
      <w:divBdr>
        <w:top w:val="none" w:sz="0" w:space="0" w:color="auto"/>
        <w:left w:val="none" w:sz="0" w:space="0" w:color="auto"/>
        <w:bottom w:val="none" w:sz="0" w:space="0" w:color="auto"/>
        <w:right w:val="none" w:sz="0" w:space="0" w:color="auto"/>
      </w:divBdr>
    </w:div>
    <w:div w:id="382758600">
      <w:bodyDiv w:val="1"/>
      <w:marLeft w:val="0"/>
      <w:marRight w:val="0"/>
      <w:marTop w:val="0"/>
      <w:marBottom w:val="0"/>
      <w:divBdr>
        <w:top w:val="none" w:sz="0" w:space="0" w:color="auto"/>
        <w:left w:val="none" w:sz="0" w:space="0" w:color="auto"/>
        <w:bottom w:val="none" w:sz="0" w:space="0" w:color="auto"/>
        <w:right w:val="none" w:sz="0" w:space="0" w:color="auto"/>
      </w:divBdr>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456603693">
      <w:bodyDiv w:val="1"/>
      <w:marLeft w:val="0"/>
      <w:marRight w:val="0"/>
      <w:marTop w:val="0"/>
      <w:marBottom w:val="0"/>
      <w:divBdr>
        <w:top w:val="none" w:sz="0" w:space="0" w:color="auto"/>
        <w:left w:val="none" w:sz="0" w:space="0" w:color="auto"/>
        <w:bottom w:val="none" w:sz="0" w:space="0" w:color="auto"/>
        <w:right w:val="none" w:sz="0" w:space="0" w:color="auto"/>
      </w:divBdr>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558905083">
      <w:bodyDiv w:val="1"/>
      <w:marLeft w:val="0"/>
      <w:marRight w:val="0"/>
      <w:marTop w:val="0"/>
      <w:marBottom w:val="0"/>
      <w:divBdr>
        <w:top w:val="none" w:sz="0" w:space="0" w:color="auto"/>
        <w:left w:val="none" w:sz="0" w:space="0" w:color="auto"/>
        <w:bottom w:val="none" w:sz="0" w:space="0" w:color="auto"/>
        <w:right w:val="none" w:sz="0" w:space="0" w:color="auto"/>
      </w:divBdr>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693305585">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294750048">
      <w:bodyDiv w:val="1"/>
      <w:marLeft w:val="0"/>
      <w:marRight w:val="0"/>
      <w:marTop w:val="0"/>
      <w:marBottom w:val="0"/>
      <w:divBdr>
        <w:top w:val="none" w:sz="0" w:space="0" w:color="auto"/>
        <w:left w:val="none" w:sz="0" w:space="0" w:color="auto"/>
        <w:bottom w:val="none" w:sz="0" w:space="0" w:color="auto"/>
        <w:right w:val="none" w:sz="0" w:space="0" w:color="auto"/>
      </w:divBdr>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427074875">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595093999">
      <w:bodyDiv w:val="1"/>
      <w:marLeft w:val="0"/>
      <w:marRight w:val="0"/>
      <w:marTop w:val="0"/>
      <w:marBottom w:val="0"/>
      <w:divBdr>
        <w:top w:val="none" w:sz="0" w:space="0" w:color="auto"/>
        <w:left w:val="none" w:sz="0" w:space="0" w:color="auto"/>
        <w:bottom w:val="none" w:sz="0" w:space="0" w:color="auto"/>
        <w:right w:val="none" w:sz="0" w:space="0" w:color="auto"/>
      </w:divBdr>
    </w:div>
    <w:div w:id="1714304581">
      <w:bodyDiv w:val="1"/>
      <w:marLeft w:val="0"/>
      <w:marRight w:val="0"/>
      <w:marTop w:val="0"/>
      <w:marBottom w:val="0"/>
      <w:divBdr>
        <w:top w:val="none" w:sz="0" w:space="0" w:color="auto"/>
        <w:left w:val="none" w:sz="0" w:space="0" w:color="auto"/>
        <w:bottom w:val="none" w:sz="0" w:space="0" w:color="auto"/>
        <w:right w:val="none" w:sz="0" w:space="0" w:color="auto"/>
      </w:divBdr>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 w:id="209126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3.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customXml/itemProps5.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14</cp:revision>
  <cp:lastPrinted>2024-08-30T03:24:00Z</cp:lastPrinted>
  <dcterms:created xsi:type="dcterms:W3CDTF">2025-05-15T08:15:00Z</dcterms:created>
  <dcterms:modified xsi:type="dcterms:W3CDTF">2025-05-15T08:39:00Z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