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65A82"/>
          <w:sz w:val="34"/>
          <w:szCs w:val="34"/>
        </w:rPr>
        <w:t xml:space="preserve">OMI CTD Pipeline v2 — Processing Decisions Memo</w:t>
      </w:r>
    </w:p>
    <w:p>
      <w:pPr>
        <w:spacing w:after="40"/>
      </w:pPr>
      <w:r>
        <w:rPr>
          <w:i/>
          <w:iCs/>
          <w:color w:val="595959"/>
          <w:sz w:val="22"/>
          <w:szCs w:val="22"/>
        </w:rPr>
        <w:t xml:space="preserve">Restructure of the CTD/SUNA pipeline to the June 2026 L0/L1/L2/L3 specification</w:t>
      </w:r>
    </w:p>
    <w:p>
      <w:pPr>
        <w:pBdr>
          <w:bottom w:val="single" w:color="065A82" w:sz="6" w:space="2"/>
        </w:pBdr>
        <w:spacing w:after="240"/>
      </w:pPr>
      <w:r>
        <w:rPr>
          <w:color w:val="595959"/>
          <w:sz w:val="20"/>
          <w:szCs w:val="20"/>
        </w:rPr>
        <w:t xml:space="preserve">Prepared by Maurice Edusei (Reez)  ·  For: Pierre Marrec, Drew Lucas  ·  Cruise P45_06 (April 2026)</w:t>
      </w:r>
    </w:p>
    <w:p>
      <w:pPr>
        <w:spacing w:after="160"/>
      </w:pPr>
      <w:r>
        <w:rPr>
          <w:b/>
          <w:bCs/>
        </w:rPr>
        <w:t xml:space="preserve">Purpose. </w:t>
      </w:r>
      <w:r>
        <w:t xml:space="preserve">This memo records the processing decisions taken while restructuring the CTD pipeline to the cruise-centric L0/L1/L2/L3 layout in the June 2026 deck. Two decisions need your input: (1) whether to apply Cell Thermal Mass correction, and (2) how to handle despiking now that Wild Edit and Filter have been dropped from the canonical chain. Both are implemented as toggles so either choice is one flag change, with no further code edits.</w:t>
      </w:r>
    </w:p>
    <w:p>
      <w:pPr>
        <w:pStyle w:val="Heading1"/>
      </w:pPr>
      <w:r>
        <w:t xml:space="preserve">1. Summary of the restructure</w:t>
      </w:r>
    </w:p>
    <w:p>
      <w:pPr>
        <w:spacing w:after="160"/>
      </w:pPr>
      <w:r>
        <w:t xml:space="preserve">The pipeline now mirrors the deck: </w:t>
      </w:r>
      <w:r>
        <w:rPr>
          <w:b/>
          <w:bCs/>
        </w:rPr>
        <w:t xml:space="preserve">L0</w:t>
      </w:r>
      <w:r>
        <w:t xml:space="preserve"> holds raw </w:t>
      </w:r>
      <w:r>
        <w:rPr>
          <w:i/>
          <w:iCs/>
        </w:rPr>
        <w:t xml:space="preserve">.hex</w:t>
      </w:r>
      <w:r>
        <w:t xml:space="preserve"> / </w:t>
      </w:r>
      <w:r>
        <w:rPr>
          <w:i/>
          <w:iCs/>
        </w:rPr>
        <w:t xml:space="preserve">.bin</w:t>
      </w:r>
      <w:r>
        <w:t xml:space="preserve">; </w:t>
      </w:r>
      <w:r>
        <w:rPr>
          <w:b/>
          <w:bCs/>
        </w:rPr>
        <w:t xml:space="preserve">L1</w:t>
      </w:r>
      <w:r>
        <w:t xml:space="preserve"> holds readable full-cast </w:t>
      </w:r>
      <w:r>
        <w:rPr>
          <w:i/>
          <w:iCs/>
        </w:rPr>
        <w:t xml:space="preserve">.cnv</w:t>
      </w:r>
      <w:r>
        <w:t xml:space="preserve"> (Data Conversion only, no binning) and SUNA </w:t>
      </w:r>
      <w:r>
        <w:rPr>
          <w:i/>
          <w:iCs/>
        </w:rPr>
        <w:t xml:space="preserve">.csv</w:t>
      </w:r>
      <w:r>
        <w:t xml:space="preserve">; </w:t>
      </w:r>
      <w:r>
        <w:rPr>
          <w:b/>
          <w:bCs/>
        </w:rPr>
        <w:t xml:space="preserve">L2</w:t>
      </w:r>
      <w:r>
        <w:t xml:space="preserve"> holds all CTD post-processing and the 1 m / 1 s binning, plus the merged CTD+SUNA product; </w:t>
      </w:r>
      <w:r>
        <w:rPr>
          <w:b/>
          <w:bCs/>
        </w:rPr>
        <w:t xml:space="preserve">L3</w:t>
      </w:r>
      <w:r>
        <w:t xml:space="preserve"> is reserved for the quality-controlled nitrate product. The key code-level correction from v1 is that Data Conversion now writes to L1 and </w:t>
      </w:r>
      <w:r>
        <w:rPr>
          <w:b/>
          <w:bCs/>
        </w:rPr>
        <w:t xml:space="preserve">every subsequent module writes to L2</w:t>
      </w:r>
      <w:r>
        <w:t xml:space="preserve"> — in v1 the binned products were incorrectly written under L1.</w:t>
      </w:r>
    </w:p>
    <w:p>
      <w:pPr>
        <w:spacing w:after="160"/>
      </w:pPr>
      <w:r>
        <w:t xml:space="preserve">The canonical Sea-Bird chain was reduced to the five modules whose PSA files exist in </w:t>
      </w:r>
      <w:r>
        <w:rPr>
          <w:i/>
          <w:iCs/>
        </w:rPr>
        <w:t xml:space="preserve">ctd_pipeline_v2/ctd/psa/</w:t>
      </w:r>
      <w:r>
        <w:t xml:space="preserve">, with the optional modules retained in code but gated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Module</w:t>
            </w:r>
          </w:p>
        </w:tc>
        <w:tc>
          <w:tcPr>
            <w:tcW w:type="dxa" w:w="150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v2 default</w:t>
            </w:r>
          </w:p>
        </w:tc>
        <w:tc>
          <w:tcPr>
            <w:tcW w:type="dxa" w:w="596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Rationale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DatCnv</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 → L1</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Required. Readable full-cast CNV — the L1 deliverable, not a binned product.</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AlignCTD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 → L2</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Required. Corrects sensor-to-pressure lag; primary defence against salinity and oxygen spiking.</w:t>
            </w:r>
          </w:p>
        </w:tc>
      </w:tr>
      <w:tr>
        <w:tc>
          <w:tcPr>
            <w:tcW w:type="dxa" w:w="19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Wild Edit</w:t>
            </w:r>
          </w:p>
        </w:tc>
        <w:tc>
          <w:tcPr>
            <w:tcW w:type="dxa" w:w="15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OFF (gated)</w:t>
            </w:r>
          </w:p>
        </w:tc>
        <w:tc>
          <w:tcPr>
            <w:tcW w:type="dxa" w:w="596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Despiking. Sea-Bird recommends it before Loop Edit/Derive. Dropped from the canonical chain to match the 5 supplied PSAs — see Section 3, this leaves no despiking.</w:t>
            </w:r>
          </w:p>
        </w:tc>
      </w:tr>
      <w:tr>
        <w:tc>
          <w:tcPr>
            <w:tcW w:type="dxa" w:w="19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Cell Thermal Mass</w:t>
            </w:r>
          </w:p>
        </w:tc>
        <w:tc>
          <w:tcPr>
            <w:tcW w:type="dxa" w:w="15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OFF (gated)</w:t>
            </w:r>
          </w:p>
        </w:tc>
        <w:tc>
          <w:tcPr>
            <w:tcW w:type="dxa" w:w="596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Open question for Drew (slide 6). Recommended ON for the stratified Gulf of Guinea shelf — see Section 2.</w:t>
            </w:r>
          </w:p>
        </w:tc>
      </w:tr>
      <w:tr>
        <w:tc>
          <w:tcPr>
            <w:tcW w:type="dxa" w:w="19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Filter</w:t>
            </w:r>
          </w:p>
        </w:tc>
        <w:tc>
          <w:tcPr>
            <w:tcW w:type="dxa" w:w="150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OFF (gated)</w:t>
            </w:r>
          </w:p>
        </w:tc>
        <w:tc>
          <w:tcPr>
            <w:tcW w:type="dxa" w:w="5960"/>
            <w:tcBorders>
              <w:top w:val="single" w:color="BBBBBB" w:sz="1"/>
              <w:left w:val="single" w:color="BBBBBB" w:sz="1"/>
              <w:bottom w:val="single" w:color="BBBBBB" w:sz="1"/>
              <w:right w:val="single" w:color="BBBBBB" w:sz="1"/>
            </w:tcBorders>
            <w:shd w:fill="F4DEDE" w:val="clear"/>
            <w:tcMar>
              <w:top w:type="dxa" w:w="80"/>
              <w:left w:type="dxa" w:w="120"/>
              <w:bottom w:type="dxa" w:w="80"/>
              <w:right w:type="dxa" w:w="120"/>
            </w:tcMar>
          </w:tcPr>
          <w:p>
            <w:r>
              <w:rPr>
                <w:b w:val="false"/>
                <w:bCs w:val="false"/>
                <w:color w:val="000000"/>
              </w:rPr>
              <w:t xml:space="preserve">Low-pass on pressure/conductivity. Not in v2 PSA set; gated for optional re-enable.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Loop Edit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 → L2</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Required. Flags scans where descent rate falls below threshold (ship heave).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Derive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 → L2</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Required. Salinity, density, etc. Output is the unbinned hub for both bin branches.</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Bin Average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ON ×2</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1 m downcast (science profiles, slide 6) and 1 s full cast (SUNA merge, slide 7). Both read the same derived CNV.</w:t>
            </w:r>
          </w:p>
        </w:tc>
      </w:tr>
    </w:tbl>
    <w:p>
      <w:pPr>
        <w:spacing w:after="160"/>
      </w:pPr>
      <w:r>
        <w:rPr>
          <w:i/>
          <w:iCs/>
          <w:color w:val="595959"/>
          <w:sz w:val="20"/>
          <w:szCs w:val="20"/>
        </w:rPr>
        <w:t xml:space="preserve">Note: 08a (1 m full) and 08c (1 m up) Bin Average products from v1 are intentionally excluded — slide 6 specifies downcast-only 1 m binning and slide 7 the 1 s full cast.</w:t>
      </w:r>
    </w:p>
    <w:p>
      <w:pPr>
        <w:pStyle w:val="Heading1"/>
      </w:pPr>
      <w:r>
        <w:t xml:space="preserve">2. Cell Thermal Mass — the “Question for Drew”</w:t>
      </w:r>
    </w:p>
    <w:p>
      <w:pPr>
        <w:spacing w:after="160"/>
      </w:pPr>
      <w:r>
        <w:t xml:space="preserve">Cell Thermal Mass (CTM) correction compensates for the thermal inertia of the conductivity cell: as the cell passes through a temperature gradient, the glass and the water inside it lag the true temperature, biasing conductivity and therefore salinity. Sea-Bird’s guidance is that CTM </w:t>
      </w:r>
      <w:r>
        <w:rPr>
          <w:b/>
          <w:bCs/>
        </w:rPr>
        <w:t xml:space="preserve">only matters when salinity accuracy better than 0.01 PSU is required in regions with steep gradients</w:t>
      </w:r>
      <w:r>
        <w:t xml:space="preserve"> (Sea-Bird Seasoft manual); the correction follows Lueck (1990) and Morison et al. (1994).</w:t>
      </w:r>
    </w:p>
    <w:p>
      <w:pPr>
        <w:spacing w:after="160"/>
      </w:pPr>
      <w:r>
        <w:rPr>
          <w:b/>
          <w:bCs/>
        </w:rPr>
        <w:t xml:space="preserve">Recommendation: apply CTM for the P45 casts. </w:t>
      </w:r>
      <w:r>
        <w:t xml:space="preserve">The Ghana shelf / Gulf of Guinea margin is strongly stratified, with a sharp thermocline over the Guinea Current and seasonal upwelling — exactly the steep-gradient regime where the uncorrected cell-thermal lag produces visible salinity spiking at the thermocline, which propagates into density and into the salinity the SUNA nitrate correction depends on. CTM is cheap to run and standard in shelf hydrography. The argument against — that for weakly stratified open casts CTM is within noise — does not apply here.</w:t>
      </w:r>
    </w:p>
    <w:p>
      <w:pPr>
        <w:spacing w:after="160"/>
      </w:pPr>
      <w:r>
        <w:t xml:space="preserve">Decision needed from Drew: confirm CTM on. If yes, set </w:t>
      </w:r>
      <w:r>
        <w:rPr>
          <w:i/>
          <w:iCs/>
        </w:rPr>
        <w:t xml:space="preserve">APPLY_CELLTM = True</w:t>
      </w:r>
      <w:r>
        <w:t xml:space="preserve"> and add </w:t>
      </w:r>
      <w:r>
        <w:rPr>
          <w:i/>
          <w:iCs/>
        </w:rPr>
        <w:t xml:space="preserve">04_celltm.psa</w:t>
      </w:r>
      <w:r>
        <w:t xml:space="preserve"> to the psa folder. The chain order is already correct (Section 4).</w:t>
      </w:r>
    </w:p>
    <w:p>
      <w:pPr>
        <w:pStyle w:val="Heading1"/>
      </w:pPr>
      <w:r>
        <w:t xml:space="preserve">3. Despiking — the gap from dropping Wild Edit and Filter</w:t>
      </w:r>
    </w:p>
    <w:p>
      <w:pPr>
        <w:spacing w:after="160"/>
      </w:pPr>
      <w:r>
        <w:t xml:space="preserve">With Wild Edit and Filter gated off, the canonical chain has </w:t>
      </w:r>
      <w:r>
        <w:rPr>
          <w:b/>
          <w:bCs/>
        </w:rPr>
        <w:t xml:space="preserve">no despiking step at all</w:t>
      </w:r>
      <w:r>
        <w:t xml:space="preserve">. This is a real change in data treatment, not cosmetic, and deserves an explicit decision rather than being left implicit in the PSA selection. Two independent lines of evidence argue for keeping despiking somewhere:</w:t>
      </w:r>
    </w:p>
    <w:p>
      <w:pPr>
        <w:pStyle w:val="ListParagraph"/>
        <w:numPr>
          <w:ilvl w:val="0"/>
          <w:numId w:val="2"/>
        </w:numPr>
        <w:spacing w:after="100"/>
      </w:pPr>
      <w:r>
        <w:rPr>
          <w:b/>
          <w:bCs/>
        </w:rPr>
        <w:t xml:space="preserve">Sea-Bird’s recommended order </w:t>
      </w:r>
      <w:r>
        <w:t xml:space="preserve">places Wild Edit (remove outliers exceeding the local mean by a multiple of the standard deviation) and Filter (low-pass the pressure and conductivity signals) </w:t>
      </w:r>
      <w:r>
        <w:rPr>
          <w:i/>
          <w:iCs/>
        </w:rPr>
        <w:t xml:space="preserve">before</w:t>
      </w:r>
      <w:r>
        <w:t xml:space="preserve"> Loop Edit and Derive, so spikes are not carried into derived salinity and density.</w:t>
      </w:r>
    </w:p>
    <w:p>
      <w:pPr>
        <w:pStyle w:val="ListParagraph"/>
        <w:numPr>
          <w:ilvl w:val="0"/>
          <w:numId w:val="2"/>
        </w:numPr>
        <w:spacing w:after="100"/>
      </w:pPr>
      <w:r>
        <w:rPr>
          <w:b/>
          <w:bCs/>
        </w:rPr>
        <w:t xml:space="preserve">The SUNA dependency. </w:t>
      </w:r>
      <w:r>
        <w:t xml:space="preserve">Zheng et al. (2024), the method this project’s L3 nitrate QC is modelled on, apply a dedicated salinity despike (response-time and lag matching of the thermistor to the conductivity cell, after Ferrari &amp; Rudnick 2000) </w:t>
      </w:r>
      <w:r>
        <w:rPr>
          <w:i/>
          <w:iCs/>
        </w:rPr>
        <w:t xml:space="preserve">specifically because</w:t>
      </w:r>
      <w:r>
        <w:t xml:space="preserve"> raw salinity spikes corrupt the temperature–salinity–pressure correction nitrate relies on. Removing CTD-side despiking without adding it on the SUNA side leaves the nitrate product exposed to the same spike contamination.</w:t>
      </w:r>
    </w:p>
    <w:p>
      <w:pPr>
        <w:spacing w:after="160"/>
      </w:pPr>
      <w:r>
        <w:rPr>
          <w:b/>
          <w:bCs/>
        </w:rPr>
        <w:t xml:space="preserve">Recommended options, in order of preference:</w:t>
      </w:r>
    </w:p>
    <w:p>
      <w:pPr>
        <w:pStyle w:val="ListParagraph"/>
        <w:numPr>
          <w:ilvl w:val="0"/>
          <w:numId w:val="2"/>
        </w:numPr>
        <w:spacing w:after="100"/>
      </w:pPr>
      <w:r>
        <w:rPr>
          <w:b/>
          <w:bCs/>
        </w:rPr>
        <w:t xml:space="preserve">(a) Re-enable Wild Edit </w:t>
      </w:r>
      <w:r>
        <w:t xml:space="preserve">as a gated step (set </w:t>
      </w:r>
      <w:r>
        <w:rPr>
          <w:i/>
          <w:iCs/>
        </w:rPr>
        <w:t xml:space="preserve">APPLY_WILDEDIT = True</w:t>
      </w:r>
      <w:r>
        <w:t xml:space="preserve">, add </w:t>
      </w:r>
      <w:r>
        <w:rPr>
          <w:i/>
          <w:iCs/>
        </w:rPr>
        <w:t xml:space="preserve">03_wildedit.psa</w:t>
      </w:r>
      <w:r>
        <w:t xml:space="preserve">). Simplest; matches Sea-Bird practice; keeps despiking where the manual puts it.</w:t>
      </w:r>
    </w:p>
    <w:p>
      <w:pPr>
        <w:pStyle w:val="ListParagraph"/>
        <w:numPr>
          <w:ilvl w:val="0"/>
          <w:numId w:val="2"/>
        </w:numPr>
        <w:spacing w:after="100"/>
      </w:pPr>
      <w:r>
        <w:rPr>
          <w:b/>
          <w:bCs/>
        </w:rPr>
        <w:t xml:space="preserve">(b) Defer to the merge </w:t>
      </w:r>
      <w:r>
        <w:t xml:space="preserve">and apply a Zheng/Ferrari–Rudnick salinity despike inside step02 before the 1 s salinity touches nitrate (implemented as </w:t>
      </w:r>
      <w:r>
        <w:rPr>
          <w:i/>
          <w:iCs/>
        </w:rPr>
        <w:t xml:space="preserve">APPLY_SALINITY_DESPIKE</w:t>
      </w:r>
      <w:r>
        <w:t xml:space="preserve">). More faithful to the SUNA literature but more code to maintain.</w:t>
      </w:r>
    </w:p>
    <w:p>
      <w:pPr>
        <w:pStyle w:val="ListParagraph"/>
        <w:numPr>
          <w:ilvl w:val="0"/>
          <w:numId w:val="2"/>
        </w:numPr>
        <w:spacing w:after="100"/>
      </w:pPr>
      <w:r>
        <w:rPr>
          <w:b/>
          <w:bCs/>
        </w:rPr>
        <w:t xml:space="preserve">(c) Accept no despiking </w:t>
      </w:r>
      <w:r>
        <w:t xml:space="preserve">only if the P45 raw profiles are demonstrably clean (verified by plotting). If so, it should be a recorded, deliberate choice — not a side effect of the PSA list.</w:t>
      </w:r>
    </w:p>
    <w:p>
      <w:pPr>
        <w:spacing w:after="160"/>
      </w:pPr>
      <w:r>
        <w:rPr>
          <w:i/>
          <w:iCs/>
          <w:color w:val="595959"/>
          <w:sz w:val="20"/>
          <w:szCs w:val="20"/>
        </w:rPr>
        <w:t xml:space="preserve">Until decided, the v2 default is (c) with the toggles in place, so switching to (a) or (b) is a single flag change.</w:t>
      </w:r>
    </w:p>
    <w:p>
      <w:pPr>
        <w:pStyle w:val="Heading1"/>
      </w:pPr>
      <w:r>
        <w:t xml:space="preserve">4. Module order if gated steps are re-enabled</w:t>
      </w:r>
    </w:p>
    <w:p>
      <w:pPr>
        <w:spacing w:after="160"/>
      </w:pPr>
      <w:r>
        <w:t xml:space="preserve">The canonical Sea-Bird order is AlignCTD → Wild Edit → Cell Thermal Mass → Filter → Loop Edit → Derive. The v2 module list preserves this order, so enabling any gated module slots it into the correct position automatically — no reordering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Canonical SBE order</w:t>
            </w:r>
          </w:p>
        </w:tc>
        <w:tc>
          <w:tcPr>
            <w:tcW w:type="dxa" w:w="312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v2 enabled chain</w:t>
            </w:r>
          </w:p>
        </w:tc>
        <w:tc>
          <w:tcPr>
            <w:tcW w:type="dxa" w:w="3120"/>
            <w:tcBorders>
              <w:top w:val="single" w:color="BBBBBB" w:sz="1"/>
              <w:left w:val="single" w:color="BBBBBB" w:sz="1"/>
              <w:bottom w:val="single" w:color="BBBBBB" w:sz="1"/>
              <w:right w:val="single" w:color="BBBBBB" w:sz="1"/>
            </w:tcBorders>
            <w:shd w:fill="065A82" w:val="clear"/>
            <w:tcMar>
              <w:top w:type="dxa" w:w="80"/>
              <w:left w:type="dxa" w:w="120"/>
              <w:bottom w:type="dxa" w:w="80"/>
              <w:right w:type="dxa" w:w="120"/>
            </w:tcMar>
          </w:tcPr>
          <w:p>
            <w:r>
              <w:rPr>
                <w:b/>
                <w:bCs/>
                <w:color w:val="FFFFFF"/>
              </w:rPr>
              <w:t xml:space="preserve">v2 with all gates 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DatCnv</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DatCnv</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DatCnv</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AlignCTD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AlignCTD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AlignCTD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Wild Edit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Wild Edit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Cell Thermal Mass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Cell Thermal Mass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Filter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Filter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Loop Edit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Loop Edit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Loop Edit</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Derive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Derive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Derive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Bin Average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Bin Average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Bin Average</w:t>
            </w:r>
          </w:p>
        </w:tc>
      </w:tr>
    </w:tbl>
    <w:p>
      <w:pPr>
        <w:pStyle w:val="Heading1"/>
      </w:pPr>
      <w:r>
        <w:t xml:space="preserve">5. What I need from you</w:t>
      </w:r>
    </w:p>
    <w:p>
      <w:pPr>
        <w:pStyle w:val="ListParagraph"/>
        <w:numPr>
          <w:ilvl w:val="0"/>
          <w:numId w:val="2"/>
        </w:numPr>
        <w:spacing w:after="100"/>
      </w:pPr>
      <w:r>
        <w:rPr>
          <w:b/>
          <w:bCs/>
        </w:rPr>
        <w:t xml:space="preserve">Drew: </w:t>
      </w:r>
      <w:r>
        <w:t xml:space="preserve">confirm Cell Thermal Mass on (Section 2). My recommendation is yes for the stratified shelf.</w:t>
      </w:r>
    </w:p>
    <w:p>
      <w:pPr>
        <w:pStyle w:val="ListParagraph"/>
        <w:numPr>
          <w:ilvl w:val="0"/>
          <w:numId w:val="2"/>
        </w:numPr>
        <w:spacing w:after="100"/>
      </w:pPr>
      <w:r>
        <w:rPr>
          <w:b/>
          <w:bCs/>
        </w:rPr>
        <w:t xml:space="preserve">Pierre / Drew: </w:t>
      </w:r>
      <w:r>
        <w:t xml:space="preserve">pick a despiking option (Section 3). My recommendation is (a), re-enable Wild Edit.</w:t>
      </w:r>
    </w:p>
    <w:p>
      <w:pPr>
        <w:pStyle w:val="ListParagraph"/>
        <w:numPr>
          <w:ilvl w:val="0"/>
          <w:numId w:val="2"/>
        </w:numPr>
        <w:spacing w:after="100"/>
      </w:pPr>
      <w:r>
        <w:rPr>
          <w:b/>
          <w:bCs/>
        </w:rPr>
        <w:t xml:space="preserve">Both: </w:t>
      </w:r>
      <w:r>
        <w:t xml:space="preserve">confirm the cruise-folder location — v2 nests cruises under </w:t>
      </w:r>
      <w:r>
        <w:rPr>
          <w:i/>
          <w:iCs/>
        </w:rPr>
        <w:t xml:space="preserve">ctd/cruises/P45_06/</w:t>
      </w:r>
      <w:r>
        <w:t xml:space="preserve">. If you prefer the bare </w:t>
      </w:r>
      <w:r>
        <w:rPr>
          <w:i/>
          <w:iCs/>
        </w:rPr>
        <w:t xml:space="preserve">P45_06/</w:t>
      </w:r>
      <w:r>
        <w:t xml:space="preserve"> at project root as drawn on slide 3, it is a one-line change.</w:t>
      </w:r>
    </w:p>
    <w:p>
      <w:pPr>
        <w:pBdr>
          <w:top w:val="single" w:color="BBBBBB" w:sz="4" w:space="2"/>
        </w:pBdr>
        <w:spacing w:before="240"/>
      </w:pPr>
      <w:r>
        <w:rPr>
          <w:rFonts w:ascii="Cambria" w:cs="Cambria" w:eastAsia="Cambria" w:hAnsi="Cambria"/>
          <w:b/>
          <w:bCs/>
          <w:color w:val="065A82"/>
          <w:sz w:val="22"/>
          <w:szCs w:val="22"/>
        </w:rPr>
        <w:t xml:space="preserve">References</w:t>
      </w:r>
    </w:p>
    <w:p>
      <w:pPr>
        <w:spacing w:after="80"/>
      </w:pPr>
      <w:r>
        <w:t xml:space="preserve">Ferrari, R., &amp; Rudnick, D. L. (2000). Thermohaline variability in the upper ocean. </w:t>
      </w:r>
      <w:r>
        <w:rPr>
          <w:i/>
          <w:iCs/>
        </w:rPr>
        <w:t xml:space="preserve">J. Geophys. Res. Oceans, 105,</w:t>
      </w:r>
      <w:r>
        <w:t xml:space="preserve"> 16857–16883.</w:t>
      </w:r>
    </w:p>
    <w:p>
      <w:pPr>
        <w:spacing w:after="80"/>
      </w:pPr>
      <w:r>
        <w:t xml:space="preserve">Lueck, R. G. (1990). Thermal inertia of conductivity cells: theory. </w:t>
      </w:r>
      <w:r>
        <w:rPr>
          <w:i/>
          <w:iCs/>
        </w:rPr>
        <w:t xml:space="preserve">J. Atmos. Oceanic Technol., 7,</w:t>
      </w:r>
      <w:r>
        <w:t xml:space="preserve"> 741–755.</w:t>
      </w:r>
    </w:p>
    <w:p>
      <w:pPr>
        <w:spacing w:after="80"/>
      </w:pPr>
      <w:r>
        <w:t xml:space="preserve">Morison, J., Andersen, R., Larson, N., D’Asaro, E., &amp; Boyd, T. (1994). The correction for thermal-lag effects in Sea-Bird CTD data. </w:t>
      </w:r>
      <w:r>
        <w:rPr>
          <w:i/>
          <w:iCs/>
        </w:rPr>
        <w:t xml:space="preserve">J. Atmos. Oceanic Technol., 11,</w:t>
      </w:r>
      <w:r>
        <w:t xml:space="preserve"> 1151–1164.</w:t>
      </w:r>
    </w:p>
    <w:p>
      <w:pPr>
        <w:spacing w:after="80"/>
      </w:pPr>
      <w:r>
        <w:t xml:space="preserve">Sea-Bird Scientific. SBE Data Processing / Seasoft module documentation (DatCnv, AlignCTD, WildEdit, CellTM, Filter, LoopEdit, Derive, BinAvg).</w:t>
      </w:r>
    </w:p>
    <w:p>
      <w:pPr>
        <w:spacing w:after="80"/>
      </w:pPr>
      <w:r>
        <w:t xml:space="preserve">Zheng, B., Crockford, E. T., Zhang, W., Ji, R., &amp; Sosik, H. M. (2024). Bias-corrected high-resolution vertical nitrate profiles from the CTD rosette-mounted SUNA. </w:t>
      </w:r>
      <w:r>
        <w:rPr>
          <w:i/>
          <w:iCs/>
        </w:rPr>
        <w:t xml:space="preserve">Limnol. Oceanogr.: Methods, 22,</w:t>
      </w:r>
      <w:r>
        <w:t xml:space="preserve"> 889–902.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mbria" w:cs="Cambria" w:eastAsia="Cambria" w:hAnsi="Cambria"/>
      <w:b/>
      <w:bCs/>
      <w:color w:val="065A82"/>
      <w:sz w:val="30"/>
      <w:szCs w:val="30"/>
    </w:rPr>
  </w:style>
  <w:style w:type="paragraph" w:styleId="Heading2">
    <w:name w:val="Heading 2"/>
    <w:basedOn w:val="Normal"/>
    <w:next w:val="Normal"/>
    <w:qFormat/>
    <w:pPr>
      <w:spacing w:after="120" w:before="220"/>
      <w:outlineLvl w:val="1"/>
    </w:pPr>
    <w:rPr>
      <w:rFonts w:ascii="Cambria" w:cs="Cambria" w:eastAsia="Cambria" w:hAnsi="Cambria"/>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2026-06-15T14:11:16.885Z</dcterms:created>
  <dcterms:modified xsi:type="dcterms:W3CDTF">2026-06-15T14:11:16.885Z</dcterms:modified>
</cp:coreProperties>
</file>

<file path=docProps/custom.xml><?xml version="1.0" encoding="utf-8"?>
<Properties xmlns="http://schemas.openxmlformats.org/officeDocument/2006/custom-properties" xmlns:vt="http://schemas.openxmlformats.org/officeDocument/2006/docPropsVTypes"/>
</file>