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2BC" w:rsidRDefault="00DC3F65" w:rsidP="00DC3F65">
      <w:pPr>
        <w:jc w:val="center"/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 xml:space="preserve">Who votes for the AKP party in Turkey? </w:t>
      </w:r>
    </w:p>
    <w:p w:rsidR="00D4533C" w:rsidRPr="00DC3F65" w:rsidRDefault="00DD2ADB" w:rsidP="00DC3F65">
      <w:pPr>
        <w:spacing w:line="240" w:lineRule="auto"/>
        <w:rPr>
          <w:b/>
          <w:bCs/>
        </w:rPr>
      </w:pPr>
      <w:r w:rsidRPr="00DC3F65">
        <w:rPr>
          <w:b/>
          <w:bCs/>
          <w:lang w:val="en-CA"/>
        </w:rPr>
        <w:t xml:space="preserve">Research/Project Questions: </w:t>
      </w:r>
    </w:p>
    <w:p w:rsidR="00D4533C" w:rsidRPr="00DC3F65" w:rsidRDefault="00DD2ADB" w:rsidP="00DC3F65">
      <w:pPr>
        <w:spacing w:line="240" w:lineRule="auto"/>
      </w:pPr>
      <w:r w:rsidRPr="00DC3F65">
        <w:rPr>
          <w:lang w:val="en-CA"/>
        </w:rPr>
        <w:t>Who votes for the AKP party in Turkey?</w:t>
      </w:r>
      <w:r w:rsidR="00DC3F65">
        <w:t xml:space="preserve"> </w:t>
      </w:r>
      <w:r w:rsidRPr="00DC3F65">
        <w:rPr>
          <w:lang w:val="en-CA"/>
        </w:rPr>
        <w:t>What factors drive the voting tendency in Turkey?</w:t>
      </w:r>
    </w:p>
    <w:p w:rsidR="00D4533C" w:rsidRPr="00DC3F65" w:rsidRDefault="00DD2ADB" w:rsidP="00DC3F65">
      <w:pPr>
        <w:spacing w:line="240" w:lineRule="auto"/>
        <w:rPr>
          <w:b/>
          <w:bCs/>
        </w:rPr>
      </w:pPr>
      <w:r w:rsidRPr="00DC3F65">
        <w:rPr>
          <w:b/>
          <w:bCs/>
          <w:lang w:val="en-CA"/>
        </w:rPr>
        <w:t xml:space="preserve"> Literature Hypotheses </w:t>
      </w:r>
    </w:p>
    <w:p w:rsidR="00D4533C" w:rsidRPr="00DC3F65" w:rsidRDefault="00DD2ADB" w:rsidP="00DC3F65">
      <w:pPr>
        <w:tabs>
          <w:tab w:val="num" w:pos="1440"/>
        </w:tabs>
        <w:spacing w:line="240" w:lineRule="auto"/>
      </w:pPr>
      <w:r w:rsidRPr="00DC3F65">
        <w:t xml:space="preserve">People who are religious and conservative tend to vote for the AKP </w:t>
      </w:r>
      <w:proofErr w:type="gramStart"/>
      <w:r w:rsidRPr="00DC3F65">
        <w:t xml:space="preserve">Party </w:t>
      </w:r>
      <w:r w:rsidR="00DC3F65">
        <w:t>.</w:t>
      </w:r>
      <w:proofErr w:type="gramEnd"/>
      <w:r w:rsidR="00DC3F65">
        <w:t xml:space="preserve"> </w:t>
      </w:r>
      <w:r w:rsidRPr="00DC3F65">
        <w:t>People who have high economic optimism</w:t>
      </w:r>
      <w:r w:rsidR="00DC3F65">
        <w:t xml:space="preserve"> tend to vote for the AKP Party. </w:t>
      </w:r>
      <w:r w:rsidRPr="00DC3F65">
        <w:t xml:space="preserve">Kurdish people do not </w:t>
      </w:r>
      <w:r w:rsidR="00DC3F65">
        <w:t xml:space="preserve">tend to vote for the AKP Party. </w:t>
      </w:r>
      <w:r w:rsidRPr="00DC3F65">
        <w:t>Wo</w:t>
      </w:r>
      <w:r w:rsidR="00DC3F65">
        <w:t xml:space="preserve">men vote less for the AKP Party. </w:t>
      </w:r>
      <w:r w:rsidRPr="00DC3F65">
        <w:t>People who are highly educate</w:t>
      </w:r>
      <w:r w:rsidR="00DC3F65">
        <w:t xml:space="preserve">d do not vote for the AKP Party. </w:t>
      </w:r>
      <w:r w:rsidRPr="00DC3F65">
        <w:t xml:space="preserve">High social class people do not tend to vote for the </w:t>
      </w:r>
      <w:r w:rsidR="00DC3F65">
        <w:t xml:space="preserve">AKP Party. </w:t>
      </w:r>
      <w:r w:rsidRPr="00DC3F65">
        <w:t>Young and well educated people do not tend to vote for the AKP Party</w:t>
      </w:r>
      <w:r w:rsidR="00DC3F65">
        <w:t xml:space="preserve">. </w:t>
      </w:r>
    </w:p>
    <w:p w:rsidR="00DC3F65" w:rsidRPr="00DC3F65" w:rsidRDefault="00DC3F65" w:rsidP="00DC3F65">
      <w:pPr>
        <w:spacing w:line="240" w:lineRule="auto"/>
        <w:rPr>
          <w:b/>
          <w:bCs/>
        </w:rPr>
      </w:pPr>
      <w:r>
        <w:rPr>
          <w:b/>
          <w:bCs/>
          <w:lang w:val="en-CA"/>
        </w:rPr>
        <w:t xml:space="preserve">Data Description </w:t>
      </w:r>
      <w:r w:rsidRPr="00DC3F65">
        <w:rPr>
          <w:b/>
          <w:bCs/>
          <w:lang w:val="en-CA"/>
        </w:rPr>
        <w:t xml:space="preserve"> </w:t>
      </w:r>
    </w:p>
    <w:p w:rsidR="00C87DA7" w:rsidRPr="00156719" w:rsidRDefault="00DC3F65" w:rsidP="00156719">
      <w:pPr>
        <w:rPr>
          <w:b/>
          <w:bCs/>
          <w:u w:val="single"/>
        </w:rPr>
      </w:pPr>
      <w:r>
        <w:t>Data retrieved from the Worlds Values Survey website. The World Values Survey is a periodical survey conducted every 2 – 3 years and highlights trends and patterns in the global politics.</w:t>
      </w:r>
      <w:r w:rsidRPr="00156719">
        <w:rPr>
          <w:rFonts w:cstheme="minorHAnsi"/>
        </w:rPr>
        <w:t xml:space="preserve"> The </w:t>
      </w:r>
      <w:r w:rsidR="00156719">
        <w:rPr>
          <w:rFonts w:cstheme="minorHAnsi"/>
        </w:rPr>
        <w:t>dataset</w:t>
      </w:r>
      <w:r w:rsidRPr="00156719">
        <w:rPr>
          <w:rFonts w:cstheme="minorHAnsi"/>
        </w:rPr>
        <w:t xml:space="preserve"> is representative of the adult population o</w:t>
      </w:r>
      <w:r w:rsidR="00156719">
        <w:rPr>
          <w:rFonts w:cstheme="minorHAnsi"/>
        </w:rPr>
        <w:t>f Turkey aged 18+ and the</w:t>
      </w:r>
      <w:r w:rsidRPr="00156719">
        <w:rPr>
          <w:rFonts w:cstheme="minorHAnsi"/>
        </w:rPr>
        <w:t xml:space="preserve"> size is 1,605 respondents</w:t>
      </w:r>
      <w:r w:rsidR="00156719">
        <w:rPr>
          <w:rFonts w:cstheme="minorHAnsi"/>
        </w:rPr>
        <w:t xml:space="preserve">. The dependent variable was the respondents’ votes in the last Turkish elections classified into three classes: Vote for AKP, Not Vote, Other. The below independent variables have been selected: </w:t>
      </w:r>
      <w:r w:rsidR="00156719">
        <w:rPr>
          <w:b/>
          <w:bCs/>
          <w:u w:val="single"/>
        </w:rPr>
        <w:t xml:space="preserve"> </w:t>
      </w:r>
      <w:proofErr w:type="spellStart"/>
      <w:r w:rsidR="00C87DA7" w:rsidRPr="00C87DA7">
        <w:rPr>
          <w:lang w:val="en-CA"/>
        </w:rPr>
        <w:t>Religiousity_</w:t>
      </w:r>
      <w:proofErr w:type="gramStart"/>
      <w:r w:rsidR="00C87DA7" w:rsidRPr="00C87DA7">
        <w:rPr>
          <w:lang w:val="en-CA"/>
        </w:rPr>
        <w:t>Coded</w:t>
      </w:r>
      <w:proofErr w:type="spellEnd"/>
      <w:r w:rsidR="00C87DA7" w:rsidRPr="00C87DA7">
        <w:rPr>
          <w:lang w:val="en-CA"/>
        </w:rPr>
        <w:t xml:space="preserve"> </w:t>
      </w:r>
      <w:r w:rsidR="00156719">
        <w:rPr>
          <w:lang w:val="en-CA"/>
        </w:rPr>
        <w:t>,</w:t>
      </w:r>
      <w:proofErr w:type="gramEnd"/>
      <w:r w:rsidR="00156719">
        <w:rPr>
          <w:lang w:val="en-CA"/>
        </w:rPr>
        <w:t xml:space="preserve">  </w:t>
      </w:r>
      <w:proofErr w:type="spellStart"/>
      <w:r w:rsidR="00156719">
        <w:rPr>
          <w:lang w:val="en-CA"/>
        </w:rPr>
        <w:t>Economic_Satisfaction_Coded</w:t>
      </w:r>
      <w:proofErr w:type="spellEnd"/>
      <w:r w:rsidR="00156719">
        <w:rPr>
          <w:lang w:val="en-CA"/>
        </w:rPr>
        <w:t xml:space="preserve">,  </w:t>
      </w:r>
      <w:proofErr w:type="spellStart"/>
      <w:r w:rsidR="00156719">
        <w:rPr>
          <w:lang w:val="en-CA"/>
        </w:rPr>
        <w:t>Ideology_Coded</w:t>
      </w:r>
      <w:proofErr w:type="spellEnd"/>
      <w:r w:rsidR="00156719">
        <w:rPr>
          <w:lang w:val="en-CA"/>
        </w:rPr>
        <w:t xml:space="preserve">, </w:t>
      </w:r>
      <w:proofErr w:type="spellStart"/>
      <w:r w:rsidR="00156719">
        <w:rPr>
          <w:lang w:val="en-CA"/>
        </w:rPr>
        <w:t>Employment_Coded</w:t>
      </w:r>
      <w:proofErr w:type="spellEnd"/>
      <w:r w:rsidR="00156719">
        <w:rPr>
          <w:lang w:val="en-CA"/>
        </w:rPr>
        <w:t xml:space="preserve">, </w:t>
      </w:r>
      <w:proofErr w:type="spellStart"/>
      <w:r w:rsidR="00156719">
        <w:rPr>
          <w:lang w:val="en-CA"/>
        </w:rPr>
        <w:t>Social_Class_Coded</w:t>
      </w:r>
      <w:proofErr w:type="spellEnd"/>
      <w:r w:rsidR="00156719">
        <w:rPr>
          <w:lang w:val="en-CA"/>
        </w:rPr>
        <w:t xml:space="preserve">, </w:t>
      </w:r>
      <w:proofErr w:type="spellStart"/>
      <w:r w:rsidR="00156719">
        <w:rPr>
          <w:lang w:val="en-CA"/>
        </w:rPr>
        <w:t>Income_Coded</w:t>
      </w:r>
      <w:proofErr w:type="spellEnd"/>
      <w:r w:rsidR="00156719">
        <w:rPr>
          <w:lang w:val="en-CA"/>
        </w:rPr>
        <w:t xml:space="preserve">, </w:t>
      </w:r>
      <w:proofErr w:type="spellStart"/>
      <w:r w:rsidR="00156719">
        <w:rPr>
          <w:lang w:val="en-CA"/>
        </w:rPr>
        <w:t>Sex_Coded</w:t>
      </w:r>
      <w:proofErr w:type="spellEnd"/>
      <w:r w:rsidR="00156719">
        <w:rPr>
          <w:lang w:val="en-CA"/>
        </w:rPr>
        <w:t xml:space="preserve">, </w:t>
      </w:r>
      <w:proofErr w:type="spellStart"/>
      <w:r w:rsidR="00156719">
        <w:rPr>
          <w:lang w:val="en-CA"/>
        </w:rPr>
        <w:t>Age_Coded</w:t>
      </w:r>
      <w:proofErr w:type="spellEnd"/>
      <w:r w:rsidR="00156719">
        <w:rPr>
          <w:lang w:val="en-CA"/>
        </w:rPr>
        <w:t xml:space="preserve">, </w:t>
      </w:r>
      <w:proofErr w:type="spellStart"/>
      <w:r w:rsidR="00156719">
        <w:rPr>
          <w:lang w:val="en-CA"/>
        </w:rPr>
        <w:t>Ethnicity_Coded</w:t>
      </w:r>
      <w:proofErr w:type="spellEnd"/>
      <w:r w:rsidR="00156719">
        <w:rPr>
          <w:lang w:val="en-CA"/>
        </w:rPr>
        <w:t>,</w:t>
      </w:r>
      <w:r w:rsidR="00C87DA7" w:rsidRPr="00C87DA7">
        <w:rPr>
          <w:lang w:val="en-CA"/>
        </w:rPr>
        <w:t xml:space="preserve"> </w:t>
      </w:r>
      <w:proofErr w:type="spellStart"/>
      <w:r w:rsidR="00C87DA7" w:rsidRPr="00C87DA7">
        <w:rPr>
          <w:lang w:val="en-CA"/>
        </w:rPr>
        <w:t>Education_Coded</w:t>
      </w:r>
      <w:proofErr w:type="spellEnd"/>
      <w:r w:rsidR="00156719">
        <w:rPr>
          <w:lang w:val="en-CA"/>
        </w:rPr>
        <w:t xml:space="preserve">. </w:t>
      </w:r>
    </w:p>
    <w:p w:rsidR="00EB4205" w:rsidRDefault="00EB4205" w:rsidP="00156719">
      <w:pPr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 xml:space="preserve">Research Question Answers: </w:t>
      </w:r>
    </w:p>
    <w:p w:rsidR="00D4533C" w:rsidRPr="00EB4205" w:rsidRDefault="00DD2ADB" w:rsidP="00EB4205">
      <w:r w:rsidRPr="00EB4205">
        <w:rPr>
          <w:lang w:val="en-CA"/>
        </w:rPr>
        <w:t xml:space="preserve">We can describe the voters of AKP party in Turkey are predicted to be religious married +30years who are ethnically Turkish and ideologically rightists, with middle to high income and mostly living in east of Turkey. </w:t>
      </w:r>
    </w:p>
    <w:p w:rsidR="00156719" w:rsidRPr="00156719" w:rsidRDefault="00EB4205" w:rsidP="00156719">
      <w:pPr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 xml:space="preserve">Models Scores &amp; </w:t>
      </w:r>
      <w:r w:rsidR="00156719" w:rsidRPr="00156719">
        <w:rPr>
          <w:b/>
          <w:bCs/>
          <w:u w:val="single"/>
          <w:lang w:val="en-CA"/>
        </w:rPr>
        <w:t xml:space="preserve">Results: </w:t>
      </w:r>
    </w:p>
    <w:p w:rsidR="00C87DA7" w:rsidRDefault="00156719" w:rsidP="00156719">
      <w:pPr>
        <w:rPr>
          <w:lang w:val="en-CA"/>
        </w:rPr>
      </w:pPr>
      <w:r>
        <w:rPr>
          <w:lang w:val="en-CA"/>
        </w:rPr>
        <w:t xml:space="preserve">The </w:t>
      </w:r>
      <w:r w:rsidR="00C87DA7" w:rsidRPr="00C87DA7">
        <w:rPr>
          <w:lang w:val="en-CA"/>
        </w:rPr>
        <w:t>R-squared</w:t>
      </w:r>
      <w:r>
        <w:rPr>
          <w:lang w:val="en-CA"/>
        </w:rPr>
        <w:t xml:space="preserve"> of initial OLS regression was around 0</w:t>
      </w:r>
      <w:r w:rsidR="00C87DA7" w:rsidRPr="00C87DA7">
        <w:rPr>
          <w:lang w:val="en-CA"/>
        </w:rPr>
        <w:t xml:space="preserve">.15 </w:t>
      </w:r>
      <w:r>
        <w:rPr>
          <w:lang w:val="en-CA"/>
        </w:rPr>
        <w:t xml:space="preserve">and </w:t>
      </w:r>
      <w:r w:rsidR="00C87DA7" w:rsidRPr="00C87DA7">
        <w:rPr>
          <w:lang w:val="en-CA"/>
        </w:rPr>
        <w:t xml:space="preserve">some </w:t>
      </w:r>
      <w:r>
        <w:rPr>
          <w:lang w:val="en-CA"/>
        </w:rPr>
        <w:t xml:space="preserve">variables held </w:t>
      </w:r>
      <w:r w:rsidR="00C87DA7" w:rsidRPr="00C87DA7">
        <w:rPr>
          <w:lang w:val="en-CA"/>
        </w:rPr>
        <w:t>insignificant P-Values</w:t>
      </w:r>
      <w:r>
        <w:rPr>
          <w:lang w:val="en-CA"/>
        </w:rPr>
        <w:t xml:space="preserve">. Thus, classification models reflected better performance results and predication accuracies. </w:t>
      </w:r>
    </w:p>
    <w:p w:rsidR="00EB4205" w:rsidRDefault="00EB4205" w:rsidP="00156719">
      <w:pPr>
        <w:rPr>
          <w:lang w:val="en-CA"/>
        </w:rPr>
      </w:pPr>
      <w:r>
        <w:rPr>
          <w:lang w:val="en-CA"/>
        </w:rPr>
        <w:t xml:space="preserve">The best classification score came by Random Forest Model enhanced with </w:t>
      </w:r>
      <w:proofErr w:type="spellStart"/>
      <w:r>
        <w:rPr>
          <w:lang w:val="en-CA"/>
        </w:rPr>
        <w:t>Gridsearch</w:t>
      </w:r>
      <w:proofErr w:type="spellEnd"/>
      <w:r>
        <w:rPr>
          <w:lang w:val="en-CA"/>
        </w:rPr>
        <w:t xml:space="preserve"> at 0.61. This is just slightly more than KNN-</w:t>
      </w:r>
      <w:proofErr w:type="spellStart"/>
      <w:r>
        <w:rPr>
          <w:lang w:val="en-CA"/>
        </w:rPr>
        <w:t>gridsearched</w:t>
      </w:r>
      <w:proofErr w:type="spellEnd"/>
      <w:r>
        <w:rPr>
          <w:lang w:val="en-CA"/>
        </w:rPr>
        <w:t xml:space="preserve"> with 0.60 and SVM-</w:t>
      </w:r>
      <w:proofErr w:type="spellStart"/>
      <w:r>
        <w:rPr>
          <w:lang w:val="en-CA"/>
        </w:rPr>
        <w:t>gridsearched</w:t>
      </w:r>
      <w:proofErr w:type="spellEnd"/>
      <w:r>
        <w:rPr>
          <w:lang w:val="en-CA"/>
        </w:rPr>
        <w:t xml:space="preserve"> with 0.59. For further details of the </w:t>
      </w:r>
      <w:r w:rsidR="00C32815">
        <w:rPr>
          <w:lang w:val="en-CA"/>
        </w:rPr>
        <w:t xml:space="preserve">best parameters for each </w:t>
      </w:r>
      <w:proofErr w:type="spellStart"/>
      <w:r w:rsidR="00C32815">
        <w:rPr>
          <w:lang w:val="en-CA"/>
        </w:rPr>
        <w:t>gridsearch</w:t>
      </w:r>
      <w:proofErr w:type="spellEnd"/>
      <w:r w:rsidR="00C32815">
        <w:rPr>
          <w:lang w:val="en-CA"/>
        </w:rPr>
        <w:t xml:space="preserve">, see blow: </w:t>
      </w:r>
    </w:p>
    <w:tbl>
      <w:tblPr>
        <w:tblStyle w:val="TableGrid"/>
        <w:tblW w:w="0" w:type="auto"/>
        <w:tblInd w:w="619" w:type="dxa"/>
        <w:tblLook w:val="04A0"/>
      </w:tblPr>
      <w:tblGrid>
        <w:gridCol w:w="3227"/>
        <w:gridCol w:w="2693"/>
        <w:gridCol w:w="3402"/>
      </w:tblGrid>
      <w:tr w:rsidR="00EB4205" w:rsidTr="00EB4205">
        <w:tc>
          <w:tcPr>
            <w:tcW w:w="3227" w:type="dxa"/>
          </w:tcPr>
          <w:p w:rsidR="00EB4205" w:rsidRPr="00EB4205" w:rsidRDefault="00EB4205" w:rsidP="00EB4205">
            <w:pPr>
              <w:jc w:val="center"/>
              <w:rPr>
                <w:b/>
                <w:bCs/>
                <w:lang w:val="en-CA"/>
              </w:rPr>
            </w:pPr>
            <w:r w:rsidRPr="00EB4205">
              <w:rPr>
                <w:b/>
                <w:bCs/>
                <w:lang w:val="en-CA"/>
              </w:rPr>
              <w:t>Model</w:t>
            </w:r>
          </w:p>
        </w:tc>
        <w:tc>
          <w:tcPr>
            <w:tcW w:w="2693" w:type="dxa"/>
          </w:tcPr>
          <w:p w:rsidR="00EB4205" w:rsidRPr="00EB4205" w:rsidRDefault="00EB4205" w:rsidP="00EB4205">
            <w:pPr>
              <w:jc w:val="center"/>
              <w:rPr>
                <w:b/>
                <w:bCs/>
                <w:lang w:val="en-CA"/>
              </w:rPr>
            </w:pPr>
            <w:r w:rsidRPr="00EB4205">
              <w:rPr>
                <w:b/>
                <w:bCs/>
                <w:lang w:val="en-CA"/>
              </w:rPr>
              <w:t>Model Score</w:t>
            </w:r>
          </w:p>
        </w:tc>
        <w:tc>
          <w:tcPr>
            <w:tcW w:w="3402" w:type="dxa"/>
          </w:tcPr>
          <w:p w:rsidR="00EB4205" w:rsidRPr="00EB4205" w:rsidRDefault="00EB4205" w:rsidP="00EB4205">
            <w:pPr>
              <w:jc w:val="center"/>
              <w:rPr>
                <w:b/>
                <w:bCs/>
                <w:lang w:val="en-CA"/>
              </w:rPr>
            </w:pPr>
            <w:proofErr w:type="spellStart"/>
            <w:r w:rsidRPr="00EB4205">
              <w:rPr>
                <w:b/>
                <w:bCs/>
                <w:lang w:val="en-CA"/>
              </w:rPr>
              <w:t>GridSearch</w:t>
            </w:r>
            <w:proofErr w:type="spellEnd"/>
            <w:r w:rsidRPr="00EB4205">
              <w:rPr>
                <w:b/>
                <w:bCs/>
                <w:lang w:val="en-CA"/>
              </w:rPr>
              <w:t xml:space="preserve"> Score</w:t>
            </w:r>
          </w:p>
        </w:tc>
      </w:tr>
      <w:tr w:rsidR="00EB4205" w:rsidTr="00EB4205">
        <w:tc>
          <w:tcPr>
            <w:tcW w:w="3227" w:type="dxa"/>
          </w:tcPr>
          <w:p w:rsidR="00EB4205" w:rsidRDefault="00EB4205" w:rsidP="00156719">
            <w:pPr>
              <w:rPr>
                <w:lang w:val="en-CA"/>
              </w:rPr>
            </w:pPr>
            <w:r>
              <w:rPr>
                <w:lang w:val="en-CA"/>
              </w:rPr>
              <w:t xml:space="preserve">Logistic Regression </w:t>
            </w:r>
          </w:p>
        </w:tc>
        <w:tc>
          <w:tcPr>
            <w:tcW w:w="2693" w:type="dxa"/>
          </w:tcPr>
          <w:p w:rsidR="00EB4205" w:rsidRDefault="00EB4205" w:rsidP="00156719">
            <w:pPr>
              <w:rPr>
                <w:lang w:val="en-CA"/>
              </w:rPr>
            </w:pPr>
            <w:r>
              <w:rPr>
                <w:lang w:val="en-CA"/>
              </w:rPr>
              <w:t>0.526</w:t>
            </w:r>
          </w:p>
        </w:tc>
        <w:tc>
          <w:tcPr>
            <w:tcW w:w="3402" w:type="dxa"/>
          </w:tcPr>
          <w:p w:rsidR="00EB4205" w:rsidRDefault="00EB4205" w:rsidP="00156719">
            <w:pPr>
              <w:rPr>
                <w:lang w:val="en-CA"/>
              </w:rPr>
            </w:pPr>
            <w:r>
              <w:rPr>
                <w:lang w:val="en-CA"/>
              </w:rPr>
              <w:t>0.55</w:t>
            </w:r>
          </w:p>
        </w:tc>
      </w:tr>
      <w:tr w:rsidR="00EB4205" w:rsidTr="00EB4205">
        <w:tc>
          <w:tcPr>
            <w:tcW w:w="3227" w:type="dxa"/>
          </w:tcPr>
          <w:p w:rsidR="00EB4205" w:rsidRDefault="00EB4205" w:rsidP="00156719">
            <w:pPr>
              <w:rPr>
                <w:lang w:val="en-CA"/>
              </w:rPr>
            </w:pPr>
            <w:r>
              <w:rPr>
                <w:lang w:val="en-CA"/>
              </w:rPr>
              <w:t>KNN</w:t>
            </w:r>
          </w:p>
        </w:tc>
        <w:tc>
          <w:tcPr>
            <w:tcW w:w="2693" w:type="dxa"/>
          </w:tcPr>
          <w:p w:rsidR="00EB4205" w:rsidRDefault="00EB4205" w:rsidP="00156719">
            <w:pPr>
              <w:rPr>
                <w:lang w:val="en-CA"/>
              </w:rPr>
            </w:pPr>
            <w:r>
              <w:rPr>
                <w:lang w:val="en-CA"/>
              </w:rPr>
              <w:t>0.502</w:t>
            </w:r>
          </w:p>
        </w:tc>
        <w:tc>
          <w:tcPr>
            <w:tcW w:w="3402" w:type="dxa"/>
          </w:tcPr>
          <w:p w:rsidR="00EB4205" w:rsidRDefault="00EB4205" w:rsidP="00156719">
            <w:pPr>
              <w:rPr>
                <w:lang w:val="en-CA"/>
              </w:rPr>
            </w:pPr>
            <w:r>
              <w:rPr>
                <w:lang w:val="en-CA"/>
              </w:rPr>
              <w:t>0.6</w:t>
            </w:r>
            <w:r w:rsidR="00DD2ADB">
              <w:rPr>
                <w:lang w:val="en-CA"/>
              </w:rPr>
              <w:t>21</w:t>
            </w:r>
          </w:p>
        </w:tc>
      </w:tr>
      <w:tr w:rsidR="00EB4205" w:rsidTr="00EB4205">
        <w:tc>
          <w:tcPr>
            <w:tcW w:w="3227" w:type="dxa"/>
          </w:tcPr>
          <w:p w:rsidR="00EB4205" w:rsidRDefault="00EB4205" w:rsidP="00156719">
            <w:pPr>
              <w:rPr>
                <w:lang w:val="en-CA"/>
              </w:rPr>
            </w:pPr>
            <w:r>
              <w:rPr>
                <w:lang w:val="en-CA"/>
              </w:rPr>
              <w:t xml:space="preserve">Random Forest </w:t>
            </w:r>
          </w:p>
        </w:tc>
        <w:tc>
          <w:tcPr>
            <w:tcW w:w="2693" w:type="dxa"/>
          </w:tcPr>
          <w:p w:rsidR="00EB4205" w:rsidRDefault="00EB4205" w:rsidP="00156719">
            <w:pPr>
              <w:rPr>
                <w:lang w:val="en-CA"/>
              </w:rPr>
            </w:pPr>
            <w:r>
              <w:rPr>
                <w:lang w:val="en-CA"/>
              </w:rPr>
              <w:t>0.487</w:t>
            </w:r>
          </w:p>
        </w:tc>
        <w:tc>
          <w:tcPr>
            <w:tcW w:w="3402" w:type="dxa"/>
          </w:tcPr>
          <w:p w:rsidR="00EB4205" w:rsidRDefault="00EB4205" w:rsidP="00156719">
            <w:pPr>
              <w:rPr>
                <w:lang w:val="en-CA"/>
              </w:rPr>
            </w:pPr>
            <w:r>
              <w:rPr>
                <w:lang w:val="en-CA"/>
              </w:rPr>
              <w:t>0.613</w:t>
            </w:r>
          </w:p>
        </w:tc>
      </w:tr>
      <w:tr w:rsidR="00EB4205" w:rsidTr="00EB4205">
        <w:tc>
          <w:tcPr>
            <w:tcW w:w="3227" w:type="dxa"/>
          </w:tcPr>
          <w:p w:rsidR="00EB4205" w:rsidRDefault="00EB4205" w:rsidP="00156719">
            <w:pPr>
              <w:rPr>
                <w:lang w:val="en-CA"/>
              </w:rPr>
            </w:pPr>
            <w:r>
              <w:rPr>
                <w:lang w:val="en-CA"/>
              </w:rPr>
              <w:t>SVM</w:t>
            </w:r>
          </w:p>
        </w:tc>
        <w:tc>
          <w:tcPr>
            <w:tcW w:w="2693" w:type="dxa"/>
          </w:tcPr>
          <w:p w:rsidR="00EB4205" w:rsidRDefault="00EB4205" w:rsidP="00156719">
            <w:pPr>
              <w:rPr>
                <w:lang w:val="en-CA"/>
              </w:rPr>
            </w:pPr>
            <w:r>
              <w:rPr>
                <w:lang w:val="en-CA"/>
              </w:rPr>
              <w:t>0.525</w:t>
            </w:r>
          </w:p>
        </w:tc>
        <w:tc>
          <w:tcPr>
            <w:tcW w:w="3402" w:type="dxa"/>
          </w:tcPr>
          <w:p w:rsidR="00EB4205" w:rsidRDefault="00EB4205" w:rsidP="00156719">
            <w:pPr>
              <w:rPr>
                <w:lang w:val="en-CA"/>
              </w:rPr>
            </w:pPr>
            <w:r>
              <w:rPr>
                <w:lang w:val="en-CA"/>
              </w:rPr>
              <w:t>0.592</w:t>
            </w:r>
          </w:p>
        </w:tc>
      </w:tr>
    </w:tbl>
    <w:p w:rsidR="00EB4205" w:rsidRDefault="00EB4205" w:rsidP="00156719">
      <w:pPr>
        <w:rPr>
          <w:lang w:val="en-CA"/>
        </w:rPr>
      </w:pPr>
    </w:p>
    <w:p w:rsidR="00D765F7" w:rsidRDefault="00D765F7" w:rsidP="00C87DA7">
      <w:pPr>
        <w:rPr>
          <w:lang w:val="en-CA"/>
        </w:rPr>
      </w:pPr>
      <w:r>
        <w:rPr>
          <w:b/>
          <w:bCs/>
          <w:u w:val="single"/>
          <w:lang w:val="en-CA"/>
        </w:rPr>
        <w:t xml:space="preserve">Logistic Regression </w:t>
      </w:r>
    </w:p>
    <w:p w:rsidR="00D765F7" w:rsidRDefault="0091409C" w:rsidP="00C87DA7">
      <w:pPr>
        <w:rPr>
          <w:lang w:val="en-CA"/>
        </w:rPr>
      </w:pPr>
      <w:r>
        <w:rPr>
          <w:noProof/>
        </w:rPr>
        <w:drawing>
          <wp:inline distT="0" distB="0" distL="0" distR="0">
            <wp:extent cx="5124450" cy="1171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5F7" w:rsidRDefault="00AB7614" w:rsidP="00C87DA7">
      <w:pPr>
        <w:pBdr>
          <w:bottom w:val="single" w:sz="6" w:space="1" w:color="auto"/>
        </w:pBdr>
        <w:rPr>
          <w:lang w:val="en-CA"/>
        </w:rPr>
      </w:pPr>
      <w:r>
        <w:rPr>
          <w:noProof/>
        </w:rPr>
        <w:lastRenderedPageBreak/>
        <w:drawing>
          <wp:inline distT="0" distB="0" distL="0" distR="0">
            <wp:extent cx="4962525" cy="19621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5F7" w:rsidRDefault="00D765F7" w:rsidP="00C87DA7">
      <w:pPr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 xml:space="preserve">KNN </w:t>
      </w:r>
    </w:p>
    <w:p w:rsidR="00D765F7" w:rsidRDefault="00D765F7" w:rsidP="00C87DA7">
      <w:pPr>
        <w:rPr>
          <w:b/>
          <w:bCs/>
          <w:u w:val="single"/>
          <w:lang w:val="en-CA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010150" cy="914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5F7" w:rsidRDefault="000653DA" w:rsidP="00C87DA7">
      <w:pPr>
        <w:rPr>
          <w:b/>
          <w:bCs/>
          <w:u w:val="single"/>
          <w:lang w:val="en-CA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076825" cy="1733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DB" w:rsidRDefault="00DD2ADB" w:rsidP="00C87DA7">
      <w:pPr>
        <w:rPr>
          <w:b/>
          <w:bCs/>
          <w:u w:val="single"/>
          <w:lang w:val="en-CA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990975" cy="619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725" w:rsidRDefault="00CD1725" w:rsidP="00EB4205">
      <w:pPr>
        <w:ind w:firstLine="720"/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 xml:space="preserve">Random Forest </w:t>
      </w:r>
    </w:p>
    <w:p w:rsidR="00CD1725" w:rsidRDefault="00CD1725" w:rsidP="00C87DA7">
      <w:pPr>
        <w:rPr>
          <w:b/>
          <w:bCs/>
          <w:u w:val="single"/>
          <w:lang w:val="en-CA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4972050" cy="1438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725" w:rsidRDefault="00CD2283" w:rsidP="00C87DA7">
      <w:pPr>
        <w:rPr>
          <w:b/>
          <w:bCs/>
          <w:u w:val="single"/>
          <w:lang w:val="en-CA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>
            <wp:extent cx="5153025" cy="14763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EDA" w:rsidRDefault="00864EDA" w:rsidP="00C87DA7">
      <w:pPr>
        <w:rPr>
          <w:b/>
          <w:bCs/>
          <w:u w:val="single"/>
          <w:lang w:val="en-CA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076825" cy="30956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F2C" w:rsidRDefault="005C7350" w:rsidP="00C87DA7">
      <w:pPr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 xml:space="preserve">SVM </w:t>
      </w:r>
    </w:p>
    <w:p w:rsidR="005C7350" w:rsidRDefault="005C7350" w:rsidP="00C87DA7">
      <w:pPr>
        <w:rPr>
          <w:b/>
          <w:bCs/>
          <w:u w:val="single"/>
          <w:lang w:val="en-CA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4276725" cy="5429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50" w:rsidRDefault="005C7350" w:rsidP="00C87DA7">
      <w:pPr>
        <w:rPr>
          <w:b/>
          <w:bCs/>
          <w:u w:val="single"/>
          <w:lang w:val="en-CA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4086225" cy="4857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50" w:rsidRDefault="005C7350" w:rsidP="00C87DA7">
      <w:pPr>
        <w:rPr>
          <w:b/>
          <w:bCs/>
          <w:u w:val="single"/>
          <w:lang w:val="en-CA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>
            <wp:extent cx="5048250" cy="27051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052" w:rsidRDefault="00843052" w:rsidP="00C87DA7">
      <w:pPr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>MLP</w:t>
      </w:r>
    </w:p>
    <w:p w:rsidR="00DC3F65" w:rsidRDefault="00DC3F65" w:rsidP="00C87DA7">
      <w:pPr>
        <w:rPr>
          <w:b/>
          <w:bCs/>
          <w:u w:val="single"/>
          <w:lang w:val="en-CA"/>
        </w:rPr>
      </w:pPr>
    </w:p>
    <w:p w:rsidR="005C7350" w:rsidRDefault="005C7350" w:rsidP="00C87DA7">
      <w:pPr>
        <w:rPr>
          <w:b/>
          <w:bCs/>
          <w:u w:val="single"/>
          <w:lang w:val="en-CA"/>
        </w:rPr>
      </w:pPr>
    </w:p>
    <w:p w:rsidR="005C7350" w:rsidRDefault="005C7350" w:rsidP="00C87DA7">
      <w:pPr>
        <w:rPr>
          <w:b/>
          <w:bCs/>
          <w:u w:val="single"/>
          <w:lang w:val="en-CA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086350" cy="20193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DB" w:rsidRDefault="00DD2ADB">
      <w:pPr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br w:type="page"/>
      </w:r>
    </w:p>
    <w:p w:rsidR="00EB4205" w:rsidRPr="00EB4205" w:rsidRDefault="00EB4205" w:rsidP="00EB4205">
      <w:pPr>
        <w:rPr>
          <w:b/>
          <w:bCs/>
          <w:u w:val="single"/>
        </w:rPr>
      </w:pPr>
      <w:r w:rsidRPr="00EB4205">
        <w:rPr>
          <w:b/>
          <w:bCs/>
          <w:u w:val="single"/>
          <w:lang w:val="en-CA"/>
        </w:rPr>
        <w:lastRenderedPageBreak/>
        <w:t>References</w:t>
      </w:r>
    </w:p>
    <w:p w:rsidR="00D4533C" w:rsidRPr="00EB4205" w:rsidRDefault="004B2F7B" w:rsidP="00EB4205">
      <w:pPr>
        <w:numPr>
          <w:ilvl w:val="0"/>
          <w:numId w:val="2"/>
        </w:numPr>
        <w:rPr>
          <w:b/>
          <w:bCs/>
          <w:u w:val="single"/>
        </w:rPr>
      </w:pPr>
      <w:hyperlink r:id="rId17" w:history="1">
        <w:r w:rsidR="00DD2ADB" w:rsidRPr="00EB4205">
          <w:rPr>
            <w:rStyle w:val="Hyperlink"/>
            <w:b/>
            <w:bCs/>
          </w:rPr>
          <w:t>http://www.worldvaluessurvey.org/WVSDocumentationWV6.jsp</w:t>
        </w:r>
      </w:hyperlink>
      <w:r w:rsidR="00DD2ADB" w:rsidRPr="00EB4205">
        <w:rPr>
          <w:b/>
          <w:bCs/>
          <w:u w:val="single"/>
        </w:rPr>
        <w:t xml:space="preserve"> </w:t>
      </w:r>
    </w:p>
    <w:p w:rsidR="00D4533C" w:rsidRPr="00EB4205" w:rsidRDefault="00DD2ADB" w:rsidP="00EB4205">
      <w:pPr>
        <w:numPr>
          <w:ilvl w:val="0"/>
          <w:numId w:val="2"/>
        </w:numPr>
        <w:rPr>
          <w:b/>
          <w:bCs/>
          <w:u w:val="single"/>
        </w:rPr>
      </w:pPr>
      <w:r w:rsidRPr="00EB4205">
        <w:rPr>
          <w:b/>
          <w:bCs/>
          <w:u w:val="single"/>
        </w:rPr>
        <w:t xml:space="preserve">Cook, R. Dennis (February 1977). "Detection of Influential Observations in Linear Regression". </w:t>
      </w:r>
      <w:proofErr w:type="spellStart"/>
      <w:r w:rsidRPr="00EB4205">
        <w:rPr>
          <w:b/>
          <w:bCs/>
          <w:u w:val="single"/>
        </w:rPr>
        <w:t>Technometrics</w:t>
      </w:r>
      <w:proofErr w:type="spellEnd"/>
      <w:r w:rsidRPr="00EB4205">
        <w:rPr>
          <w:b/>
          <w:bCs/>
          <w:u w:val="single"/>
        </w:rPr>
        <w:t xml:space="preserve">. American Statistical Association. 19 (1): 15–18. </w:t>
      </w:r>
      <w:proofErr w:type="gramStart"/>
      <w:r w:rsidRPr="00EB4205">
        <w:rPr>
          <w:b/>
          <w:bCs/>
          <w:u w:val="single"/>
        </w:rPr>
        <w:t>doi:</w:t>
      </w:r>
      <w:proofErr w:type="gramEnd"/>
      <w:r w:rsidRPr="00EB4205">
        <w:rPr>
          <w:b/>
          <w:bCs/>
          <w:u w:val="single"/>
        </w:rPr>
        <w:t>10.2307/1268249. JSTOR 1268249. MR 0436478.</w:t>
      </w:r>
    </w:p>
    <w:p w:rsidR="00D4533C" w:rsidRPr="00EB4205" w:rsidRDefault="004B2F7B" w:rsidP="00EB4205">
      <w:pPr>
        <w:numPr>
          <w:ilvl w:val="0"/>
          <w:numId w:val="2"/>
        </w:numPr>
        <w:rPr>
          <w:b/>
          <w:bCs/>
          <w:u w:val="single"/>
        </w:rPr>
      </w:pPr>
      <w:hyperlink r:id="rId18" w:history="1">
        <w:r w:rsidR="00DD2ADB" w:rsidRPr="00EB4205">
          <w:rPr>
            <w:rStyle w:val="Hyperlink"/>
            <w:b/>
            <w:bCs/>
          </w:rPr>
          <w:t>https://datascienceplus.com/perform-logistic-regression-in-r/</w:t>
        </w:r>
      </w:hyperlink>
      <w:r w:rsidR="00DD2ADB" w:rsidRPr="00EB4205">
        <w:rPr>
          <w:b/>
          <w:bCs/>
          <w:u w:val="single"/>
        </w:rPr>
        <w:t xml:space="preserve"> </w:t>
      </w:r>
    </w:p>
    <w:p w:rsidR="00D4533C" w:rsidRPr="00EB4205" w:rsidRDefault="00DD2ADB" w:rsidP="00EB4205">
      <w:pPr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EB4205">
        <w:rPr>
          <w:b/>
          <w:bCs/>
          <w:u w:val="single"/>
        </w:rPr>
        <w:t>Akarca</w:t>
      </w:r>
      <w:proofErr w:type="spellEnd"/>
      <w:r w:rsidRPr="00EB4205">
        <w:rPr>
          <w:b/>
          <w:bCs/>
          <w:u w:val="single"/>
        </w:rPr>
        <w:t xml:space="preserve">, A. T. (2009). A prediction for AKP’s nationwide vote share in the 29 March 2009 Turkish local elections. </w:t>
      </w:r>
      <w:proofErr w:type="spellStart"/>
      <w:r w:rsidRPr="00EB4205">
        <w:rPr>
          <w:b/>
          <w:bCs/>
          <w:i/>
          <w:iCs/>
          <w:u w:val="single"/>
        </w:rPr>
        <w:t>İktisat</w:t>
      </w:r>
      <w:proofErr w:type="spellEnd"/>
      <w:r w:rsidRPr="00EB4205">
        <w:rPr>
          <w:b/>
          <w:bCs/>
          <w:i/>
          <w:iCs/>
          <w:u w:val="single"/>
        </w:rPr>
        <w:t xml:space="preserve"> </w:t>
      </w:r>
      <w:proofErr w:type="spellStart"/>
      <w:r w:rsidRPr="00EB4205">
        <w:rPr>
          <w:b/>
          <w:bCs/>
          <w:i/>
          <w:iCs/>
          <w:u w:val="single"/>
        </w:rPr>
        <w:t>İşletme</w:t>
      </w:r>
      <w:proofErr w:type="spellEnd"/>
      <w:r w:rsidRPr="00EB4205">
        <w:rPr>
          <w:b/>
          <w:bCs/>
          <w:i/>
          <w:iCs/>
          <w:u w:val="single"/>
        </w:rPr>
        <w:t xml:space="preserve"> </w:t>
      </w:r>
      <w:proofErr w:type="spellStart"/>
      <w:r w:rsidRPr="00EB4205">
        <w:rPr>
          <w:b/>
          <w:bCs/>
          <w:i/>
          <w:iCs/>
          <w:u w:val="single"/>
        </w:rPr>
        <w:t>ve</w:t>
      </w:r>
      <w:proofErr w:type="spellEnd"/>
      <w:r w:rsidRPr="00EB4205">
        <w:rPr>
          <w:b/>
          <w:bCs/>
          <w:i/>
          <w:iCs/>
          <w:u w:val="single"/>
        </w:rPr>
        <w:t xml:space="preserve"> </w:t>
      </w:r>
      <w:proofErr w:type="spellStart"/>
      <w:proofErr w:type="gramStart"/>
      <w:r w:rsidRPr="00EB4205">
        <w:rPr>
          <w:b/>
          <w:bCs/>
          <w:i/>
          <w:iCs/>
          <w:u w:val="single"/>
        </w:rPr>
        <w:t>Finans</w:t>
      </w:r>
      <w:proofErr w:type="spellEnd"/>
      <w:r w:rsidRPr="00EB4205">
        <w:rPr>
          <w:b/>
          <w:bCs/>
          <w:u w:val="single"/>
        </w:rPr>
        <w:t xml:space="preserve"> </w:t>
      </w:r>
      <w:r w:rsidRPr="00EB4205">
        <w:rPr>
          <w:b/>
          <w:bCs/>
          <w:i/>
          <w:iCs/>
          <w:u w:val="single"/>
        </w:rPr>
        <w:t>,</w:t>
      </w:r>
      <w:proofErr w:type="gramEnd"/>
      <w:r w:rsidRPr="00EB4205">
        <w:rPr>
          <w:b/>
          <w:bCs/>
          <w:i/>
          <w:iCs/>
          <w:u w:val="single"/>
        </w:rPr>
        <w:t xml:space="preserve"> 24</w:t>
      </w:r>
      <w:r w:rsidRPr="00EB4205">
        <w:rPr>
          <w:b/>
          <w:bCs/>
          <w:u w:val="single"/>
        </w:rPr>
        <w:t xml:space="preserve"> (276), 8-22.</w:t>
      </w:r>
    </w:p>
    <w:p w:rsidR="00D4533C" w:rsidRPr="00EB4205" w:rsidRDefault="00DD2ADB" w:rsidP="00EB4205">
      <w:pPr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EB4205">
        <w:rPr>
          <w:b/>
          <w:bCs/>
          <w:u w:val="single"/>
        </w:rPr>
        <w:t>Baslevent</w:t>
      </w:r>
      <w:proofErr w:type="spellEnd"/>
      <w:r w:rsidRPr="00EB4205">
        <w:rPr>
          <w:b/>
          <w:bCs/>
          <w:u w:val="single"/>
        </w:rPr>
        <w:t xml:space="preserve">, C., &amp; </w:t>
      </w:r>
      <w:proofErr w:type="spellStart"/>
      <w:r w:rsidRPr="00EB4205">
        <w:rPr>
          <w:b/>
          <w:bCs/>
          <w:u w:val="single"/>
        </w:rPr>
        <w:t>Akarca</w:t>
      </w:r>
      <w:proofErr w:type="spellEnd"/>
      <w:r w:rsidRPr="00EB4205">
        <w:rPr>
          <w:b/>
          <w:bCs/>
          <w:u w:val="single"/>
        </w:rPr>
        <w:t xml:space="preserve">, A. T. (2008). </w:t>
      </w:r>
      <w:r w:rsidRPr="00EB4205">
        <w:rPr>
          <w:b/>
          <w:bCs/>
          <w:i/>
          <w:iCs/>
          <w:u w:val="single"/>
        </w:rPr>
        <w:t>Micro evidence on inter-party vote movements in turkey: Who voted for AKP in 2002?</w:t>
      </w:r>
      <w:r w:rsidRPr="00EB4205">
        <w:rPr>
          <w:b/>
          <w:bCs/>
          <w:u w:val="single"/>
        </w:rPr>
        <w:t xml:space="preserve"> Munich: Munich Personal </w:t>
      </w:r>
      <w:proofErr w:type="spellStart"/>
      <w:r w:rsidRPr="00EB4205">
        <w:rPr>
          <w:b/>
          <w:bCs/>
          <w:u w:val="single"/>
        </w:rPr>
        <w:t>RePEc</w:t>
      </w:r>
      <w:proofErr w:type="spellEnd"/>
      <w:r w:rsidRPr="00EB4205">
        <w:rPr>
          <w:b/>
          <w:bCs/>
          <w:u w:val="single"/>
        </w:rPr>
        <w:t xml:space="preserve"> Archive (MPRA).</w:t>
      </w:r>
    </w:p>
    <w:p w:rsidR="00D4533C" w:rsidRPr="00EB4205" w:rsidRDefault="00DD2ADB" w:rsidP="00EB4205">
      <w:pPr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EB4205">
        <w:rPr>
          <w:b/>
          <w:bCs/>
          <w:u w:val="single"/>
        </w:rPr>
        <w:t>Carkoglu</w:t>
      </w:r>
      <w:proofErr w:type="spellEnd"/>
      <w:r w:rsidRPr="00EB4205">
        <w:rPr>
          <w:b/>
          <w:bCs/>
          <w:u w:val="single"/>
        </w:rPr>
        <w:t xml:space="preserve">, A. (2011). Turkey’s 2011 General Elections: Towards a Dominant Party System? </w:t>
      </w:r>
      <w:r w:rsidRPr="00EB4205">
        <w:rPr>
          <w:b/>
          <w:bCs/>
          <w:i/>
          <w:iCs/>
          <w:u w:val="single"/>
        </w:rPr>
        <w:t xml:space="preserve">Insight </w:t>
      </w:r>
      <w:proofErr w:type="gramStart"/>
      <w:r w:rsidRPr="00EB4205">
        <w:rPr>
          <w:b/>
          <w:bCs/>
          <w:i/>
          <w:iCs/>
          <w:u w:val="single"/>
        </w:rPr>
        <w:t>Turkey</w:t>
      </w:r>
      <w:r w:rsidRPr="00EB4205">
        <w:rPr>
          <w:b/>
          <w:bCs/>
          <w:u w:val="single"/>
        </w:rPr>
        <w:t xml:space="preserve"> </w:t>
      </w:r>
      <w:r w:rsidRPr="00EB4205">
        <w:rPr>
          <w:b/>
          <w:bCs/>
          <w:i/>
          <w:iCs/>
          <w:u w:val="single"/>
        </w:rPr>
        <w:t>,</w:t>
      </w:r>
      <w:proofErr w:type="gramEnd"/>
      <w:r w:rsidRPr="00EB4205">
        <w:rPr>
          <w:b/>
          <w:bCs/>
          <w:i/>
          <w:iCs/>
          <w:u w:val="single"/>
        </w:rPr>
        <w:t xml:space="preserve"> 13</w:t>
      </w:r>
      <w:r w:rsidRPr="00EB4205">
        <w:rPr>
          <w:b/>
          <w:bCs/>
          <w:u w:val="single"/>
        </w:rPr>
        <w:t xml:space="preserve"> (3), 43-62.</w:t>
      </w:r>
    </w:p>
    <w:p w:rsidR="00D4533C" w:rsidRPr="00EB4205" w:rsidRDefault="00DD2ADB" w:rsidP="00EB4205">
      <w:pPr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EB4205">
        <w:rPr>
          <w:b/>
          <w:bCs/>
          <w:u w:val="single"/>
        </w:rPr>
        <w:t>Carkoglu</w:t>
      </w:r>
      <w:proofErr w:type="spellEnd"/>
      <w:r w:rsidRPr="00EB4205">
        <w:rPr>
          <w:b/>
          <w:bCs/>
          <w:u w:val="single"/>
        </w:rPr>
        <w:t xml:space="preserve">, A., &amp; </w:t>
      </w:r>
      <w:proofErr w:type="spellStart"/>
      <w:r w:rsidRPr="00EB4205">
        <w:rPr>
          <w:b/>
          <w:bCs/>
          <w:u w:val="single"/>
        </w:rPr>
        <w:t>Hinich</w:t>
      </w:r>
      <w:proofErr w:type="spellEnd"/>
      <w:r w:rsidRPr="00EB4205">
        <w:rPr>
          <w:b/>
          <w:bCs/>
          <w:u w:val="single"/>
        </w:rPr>
        <w:t xml:space="preserve">, M. J. (2006). A spatial analysis of Turkish party preferences. </w:t>
      </w:r>
      <w:r w:rsidRPr="00EB4205">
        <w:rPr>
          <w:b/>
          <w:bCs/>
          <w:i/>
          <w:iCs/>
          <w:u w:val="single"/>
        </w:rPr>
        <w:t xml:space="preserve">Electoral </w:t>
      </w:r>
      <w:proofErr w:type="gramStart"/>
      <w:r w:rsidRPr="00EB4205">
        <w:rPr>
          <w:b/>
          <w:bCs/>
          <w:i/>
          <w:iCs/>
          <w:u w:val="single"/>
        </w:rPr>
        <w:t>Studies</w:t>
      </w:r>
      <w:r w:rsidRPr="00EB4205">
        <w:rPr>
          <w:b/>
          <w:bCs/>
          <w:u w:val="single"/>
        </w:rPr>
        <w:t xml:space="preserve"> </w:t>
      </w:r>
      <w:r w:rsidRPr="00EB4205">
        <w:rPr>
          <w:b/>
          <w:bCs/>
          <w:i/>
          <w:iCs/>
          <w:u w:val="single"/>
        </w:rPr>
        <w:t>,</w:t>
      </w:r>
      <w:proofErr w:type="gramEnd"/>
      <w:r w:rsidRPr="00EB4205">
        <w:rPr>
          <w:b/>
          <w:bCs/>
          <w:i/>
          <w:iCs/>
          <w:u w:val="single"/>
        </w:rPr>
        <w:t xml:space="preserve"> 25</w:t>
      </w:r>
      <w:r w:rsidRPr="00EB4205">
        <w:rPr>
          <w:b/>
          <w:bCs/>
          <w:u w:val="single"/>
        </w:rPr>
        <w:t xml:space="preserve"> (2), 369-392.</w:t>
      </w:r>
    </w:p>
    <w:p w:rsidR="00D4533C" w:rsidRPr="00EB4205" w:rsidRDefault="00DD2ADB" w:rsidP="00EB4205">
      <w:pPr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EB4205">
        <w:rPr>
          <w:b/>
          <w:bCs/>
          <w:u w:val="single"/>
        </w:rPr>
        <w:t>Çarkoglu</w:t>
      </w:r>
      <w:proofErr w:type="spellEnd"/>
      <w:r w:rsidRPr="00EB4205">
        <w:rPr>
          <w:b/>
          <w:bCs/>
          <w:u w:val="single"/>
        </w:rPr>
        <w:t xml:space="preserve">, A. (2009). Turkey's local elections of 2009: winners and </w:t>
      </w:r>
      <w:proofErr w:type="spellStart"/>
      <w:r w:rsidRPr="00EB4205">
        <w:rPr>
          <w:b/>
          <w:bCs/>
          <w:u w:val="single"/>
        </w:rPr>
        <w:t>losers.</w:t>
      </w:r>
      <w:r w:rsidRPr="00EB4205">
        <w:rPr>
          <w:b/>
          <w:bCs/>
          <w:i/>
          <w:iCs/>
          <w:u w:val="single"/>
        </w:rPr>
        <w:t>Insight</w:t>
      </w:r>
      <w:proofErr w:type="spellEnd"/>
      <w:r w:rsidRPr="00EB4205">
        <w:rPr>
          <w:b/>
          <w:bCs/>
          <w:i/>
          <w:iCs/>
          <w:u w:val="single"/>
        </w:rPr>
        <w:t xml:space="preserve"> Turkey</w:t>
      </w:r>
      <w:r w:rsidRPr="00EB4205">
        <w:rPr>
          <w:b/>
          <w:bCs/>
          <w:u w:val="single"/>
        </w:rPr>
        <w:t>, </w:t>
      </w:r>
      <w:r w:rsidRPr="00EB4205">
        <w:rPr>
          <w:b/>
          <w:bCs/>
          <w:i/>
          <w:iCs/>
          <w:u w:val="single"/>
        </w:rPr>
        <w:t>11</w:t>
      </w:r>
      <w:r w:rsidRPr="00EB4205">
        <w:rPr>
          <w:b/>
          <w:bCs/>
          <w:u w:val="single"/>
        </w:rPr>
        <w:t>(2), 1.</w:t>
      </w:r>
    </w:p>
    <w:p w:rsidR="00D4533C" w:rsidRPr="00EB4205" w:rsidRDefault="00DD2ADB" w:rsidP="00EB4205">
      <w:pPr>
        <w:numPr>
          <w:ilvl w:val="0"/>
          <w:numId w:val="2"/>
        </w:numPr>
        <w:rPr>
          <w:b/>
          <w:bCs/>
          <w:u w:val="single"/>
        </w:rPr>
      </w:pPr>
      <w:r w:rsidRPr="00EB4205">
        <w:rPr>
          <w:b/>
          <w:bCs/>
          <w:u w:val="single"/>
        </w:rPr>
        <w:t xml:space="preserve">Dickenson, M. (2012). Turkish Foreign Policy and Public Opinion in the AKP Era. </w:t>
      </w:r>
      <w:r w:rsidRPr="00EB4205">
        <w:rPr>
          <w:b/>
          <w:bCs/>
          <w:i/>
          <w:iCs/>
          <w:u w:val="single"/>
        </w:rPr>
        <w:t xml:space="preserve">Foreign Policy </w:t>
      </w:r>
      <w:proofErr w:type="gramStart"/>
      <w:r w:rsidRPr="00EB4205">
        <w:rPr>
          <w:b/>
          <w:bCs/>
          <w:i/>
          <w:iCs/>
          <w:u w:val="single"/>
        </w:rPr>
        <w:t>Analysis</w:t>
      </w:r>
      <w:r w:rsidRPr="00EB4205">
        <w:rPr>
          <w:b/>
          <w:bCs/>
          <w:u w:val="single"/>
        </w:rPr>
        <w:t xml:space="preserve"> ,</w:t>
      </w:r>
      <w:proofErr w:type="gramEnd"/>
      <w:r w:rsidRPr="00EB4205">
        <w:rPr>
          <w:b/>
          <w:bCs/>
          <w:u w:val="single"/>
        </w:rPr>
        <w:t xml:space="preserve"> 1-18.</w:t>
      </w:r>
    </w:p>
    <w:p w:rsidR="00EB4205" w:rsidRPr="00CD1725" w:rsidRDefault="00EB4205" w:rsidP="00C87DA7">
      <w:pPr>
        <w:rPr>
          <w:b/>
          <w:bCs/>
          <w:u w:val="single"/>
          <w:lang w:val="en-CA"/>
        </w:rPr>
      </w:pPr>
    </w:p>
    <w:sectPr w:rsidR="00EB4205" w:rsidRPr="00CD1725" w:rsidSect="00C87DA7">
      <w:pgSz w:w="12240" w:h="15840"/>
      <w:pgMar w:top="709" w:right="1183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56C3A"/>
    <w:multiLevelType w:val="hybridMultilevel"/>
    <w:tmpl w:val="60284CB2"/>
    <w:lvl w:ilvl="0" w:tplc="B9EC1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07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A1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E7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E47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A2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725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E4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4AB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3776B39"/>
    <w:multiLevelType w:val="hybridMultilevel"/>
    <w:tmpl w:val="6B4837EA"/>
    <w:lvl w:ilvl="0" w:tplc="5650A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62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BAE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A0C0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F21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0E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A0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3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AC3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5B63286"/>
    <w:multiLevelType w:val="hybridMultilevel"/>
    <w:tmpl w:val="D730EB44"/>
    <w:lvl w:ilvl="0" w:tplc="43B25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CA608">
      <w:start w:val="18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80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E6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8E6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A0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6C7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D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D00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DA7"/>
    <w:rsid w:val="000653DA"/>
    <w:rsid w:val="00156719"/>
    <w:rsid w:val="004B2F7B"/>
    <w:rsid w:val="005C7350"/>
    <w:rsid w:val="00715531"/>
    <w:rsid w:val="00843052"/>
    <w:rsid w:val="00864EDA"/>
    <w:rsid w:val="0091409C"/>
    <w:rsid w:val="009202BC"/>
    <w:rsid w:val="00AB7614"/>
    <w:rsid w:val="00AF6F2C"/>
    <w:rsid w:val="00C32815"/>
    <w:rsid w:val="00C87DA7"/>
    <w:rsid w:val="00CD1725"/>
    <w:rsid w:val="00CD2283"/>
    <w:rsid w:val="00D37E69"/>
    <w:rsid w:val="00D4533C"/>
    <w:rsid w:val="00D765F7"/>
    <w:rsid w:val="00DC3F65"/>
    <w:rsid w:val="00DD2ADB"/>
    <w:rsid w:val="00EB4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5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420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2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3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2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7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78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78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2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62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86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6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89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44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7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89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9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46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1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2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7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atascienceplus.com/perform-logistic-regression-in-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worldvaluessurvey.org/WVSDocumentationWV6.j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478</Words>
  <Characters>3028</Characters>
  <Application>Microsoft Office Word</Application>
  <DocSecurity>0</DocSecurity>
  <Lines>63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ramsey</dc:creator>
  <cp:lastModifiedBy>ramsey</cp:lastModifiedBy>
  <cp:revision>4</cp:revision>
  <dcterms:created xsi:type="dcterms:W3CDTF">2018-11-04T01:42:00Z</dcterms:created>
  <dcterms:modified xsi:type="dcterms:W3CDTF">2019-03-04T22:32:00Z</dcterms:modified>
</cp:coreProperties>
</file>