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6"/>
          <w:szCs w:val="56"/>
          <w:u w:val="single"/>
        </w:rPr>
      </w:pPr>
      <w:r w:rsidDel="00000000" w:rsidR="00000000" w:rsidRPr="00000000">
        <w:rPr>
          <w:sz w:val="56"/>
          <w:szCs w:val="56"/>
          <w:u w:val="single"/>
          <w:rtl w:val="0"/>
        </w:rPr>
        <w:t xml:space="preserve">LAB Logbook</w:t>
      </w:r>
    </w:p>
    <w:p w:rsidR="00000000" w:rsidDel="00000000" w:rsidP="00000000" w:rsidRDefault="00000000" w:rsidRPr="00000000" w14:paraId="00000002">
      <w:pPr>
        <w:jc w:val="center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 class is utilized to store and manipulate the entire cybersecurity dataset, providing a tabular structure with labeled axes for rows and columns.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Series class represents individual columns like 'Attack Type' and 'Timestamp', offering a one-dimensional labeled array capability for efficient data access and computation.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Resampler class is produced by the resample method and is instrumental in handling time-series data, specifically for grouping attacks into monthly intervals for trend analysis.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DataFrameGroupBy class, resulting from the groupby method, allows the data to be split into groups based on 'Year' and 'Attack Type' for aggregate analysis and summary generation.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76" w:lineRule="auto"/>
        <w:ind w:left="45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The RangeIndex class serves as the default immutable integer index for the DataFrame, ensuring that each of the 40,000 attack records has a unique sequential identifier.</w:t>
      </w:r>
    </w:p>
    <w:p w:rsidR="00000000" w:rsidDel="00000000" w:rsidP="00000000" w:rsidRDefault="00000000" w:rsidRPr="00000000" w14:paraId="0000000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2</w:t>
      </w:r>
    </w:p>
    <w:p w:rsidR="00000000" w:rsidDel="00000000" w:rsidP="00000000" w:rsidRDefault="00000000" w:rsidRPr="00000000" w14:paraId="0000000A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Attack Type:</w:t>
      </w:r>
    </w:p>
    <w:p w:rsidR="00000000" w:rsidDel="00000000" w:rsidP="00000000" w:rsidRDefault="00000000" w:rsidRPr="00000000" w14:paraId="0000000B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MOVEit File Transfer Hack (2023)</w:t>
      </w:r>
    </w:p>
    <w:p w:rsidR="00000000" w:rsidDel="00000000" w:rsidP="00000000" w:rsidRDefault="00000000" w:rsidRPr="00000000" w14:paraId="0000000C">
      <w:pPr>
        <w:spacing w:after="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Key Source:</w:t>
      </w:r>
    </w:p>
    <w:p w:rsidR="00000000" w:rsidDel="00000000" w:rsidP="00000000" w:rsidRDefault="00000000" w:rsidRPr="00000000" w14:paraId="0000000E">
      <w:pPr>
        <w:spacing w:after="0" w:line="276" w:lineRule="auto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CISA Cybersecurity Advisory AA23-158a</w:t>
        <w:br w:type="textWrapping"/>
        <w:t xml:space="preserve">https://www.cisa.gov/news-events/cybersecurity-advisories/aa23-158a</w:t>
      </w:r>
      <w:r w:rsidDel="00000000" w:rsidR="00000000" w:rsidRPr="00000000">
        <w:rPr>
          <w:sz w:val="28"/>
          <w:szCs w:val="2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3</w:t>
      </w:r>
    </w:p>
    <w:p w:rsidR="00000000" w:rsidDel="00000000" w:rsidP="00000000" w:rsidRDefault="00000000" w:rsidRPr="00000000" w14:paraId="00000010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4</w:t>
      </w:r>
    </w:p>
    <w:p w:rsidR="00000000" w:rsidDel="00000000" w:rsidP="00000000" w:rsidRDefault="00000000" w:rsidRPr="00000000" w14:paraId="00000012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5</w:t>
      </w:r>
    </w:p>
    <w:p w:rsidR="00000000" w:rsidDel="00000000" w:rsidP="00000000" w:rsidRDefault="00000000" w:rsidRPr="00000000" w14:paraId="00000014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6</w:t>
      </w:r>
    </w:p>
    <w:p w:rsidR="00000000" w:rsidDel="00000000" w:rsidP="00000000" w:rsidRDefault="00000000" w:rsidRPr="00000000" w14:paraId="00000016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7</w:t>
      </w:r>
    </w:p>
    <w:p w:rsidR="00000000" w:rsidDel="00000000" w:rsidP="00000000" w:rsidRDefault="00000000" w:rsidRPr="00000000" w14:paraId="00000018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8</w:t>
      </w:r>
    </w:p>
    <w:p w:rsidR="00000000" w:rsidDel="00000000" w:rsidP="00000000" w:rsidRDefault="00000000" w:rsidRPr="00000000" w14:paraId="0000001A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9 </w:t>
      </w:r>
    </w:p>
    <w:p w:rsidR="00000000" w:rsidDel="00000000" w:rsidP="00000000" w:rsidRDefault="00000000" w:rsidRPr="00000000" w14:paraId="0000001C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10</w:t>
      </w:r>
    </w:p>
    <w:p w:rsidR="00000000" w:rsidDel="00000000" w:rsidP="00000000" w:rsidRDefault="00000000" w:rsidRPr="00000000" w14:paraId="0000001E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11</w:t>
      </w:r>
    </w:p>
    <w:p w:rsidR="00000000" w:rsidDel="00000000" w:rsidP="00000000" w:rsidRDefault="00000000" w:rsidRPr="00000000" w14:paraId="00000020">
      <w:pPr>
        <w:jc w:val="both"/>
        <w:rPr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44"/>
          <w:szCs w:val="44"/>
          <w:u w:val="single"/>
        </w:rPr>
      </w:pPr>
      <w:r w:rsidDel="00000000" w:rsidR="00000000" w:rsidRPr="00000000">
        <w:rPr>
          <w:sz w:val="44"/>
          <w:szCs w:val="44"/>
          <w:u w:val="single"/>
          <w:rtl w:val="0"/>
        </w:rPr>
        <w:t xml:space="preserve">Lab 12</w:t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