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56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56"/>
          <w:u w:val="single"/>
          <w:shd w:fill="auto" w:val="clear"/>
        </w:rPr>
        <w:t xml:space="preserve">LAB Logbook</w:t>
      </w:r>
    </w:p>
    <w:p>
      <w:pPr>
        <w:spacing w:before="0" w:after="160" w:line="259"/>
        <w:ind w:right="0" w:left="0" w:firstLine="0"/>
        <w:jc w:val="center"/>
        <w:rPr>
          <w:rFonts w:ascii="Calibri" w:hAnsi="Calibri" w:cs="Calibri" w:eastAsia="Calibri"/>
          <w:color w:val="auto"/>
          <w:spacing w:val="0"/>
          <w:position w:val="0"/>
          <w:sz w:val="44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  <w:t xml:space="preserve">Lab 1</w:t>
      </w:r>
    </w:p>
    <w:p>
      <w:pPr>
        <w:numPr>
          <w:ilvl w:val="0"/>
          <w:numId w:val="3"/>
        </w:numPr>
        <w:spacing w:before="0" w:after="0" w:line="276"/>
        <w:ind w:right="0" w:left="45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 DataFrame class is utilized to store and manipulate the entire cybersecurity dataset, providing a tabular structure with labeled axes for rows and columns.</w:t>
      </w:r>
    </w:p>
    <w:p>
      <w:pPr>
        <w:numPr>
          <w:ilvl w:val="0"/>
          <w:numId w:val="3"/>
        </w:numPr>
        <w:spacing w:before="0" w:after="0" w:line="276"/>
        <w:ind w:right="0" w:left="45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 Series class represents individual columns like 'Attack Type' and 'Timestamp', offering a one-dimensional labeled array capability for efficient data access and computation.</w:t>
      </w:r>
    </w:p>
    <w:p>
      <w:pPr>
        <w:numPr>
          <w:ilvl w:val="0"/>
          <w:numId w:val="3"/>
        </w:numPr>
        <w:spacing w:before="0" w:after="0" w:line="276"/>
        <w:ind w:right="0" w:left="45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 Resampler class is produced by the resample method and is instrumental in handling time-series data, specifically for grouping attacks into monthly intervals for trend analysis.</w:t>
      </w:r>
    </w:p>
    <w:p>
      <w:pPr>
        <w:numPr>
          <w:ilvl w:val="0"/>
          <w:numId w:val="3"/>
        </w:numPr>
        <w:spacing w:before="0" w:after="0" w:line="276"/>
        <w:ind w:right="0" w:left="45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 DataFrameGroupBy class, resulting from the groupby method, allows the data to be split into groups based on 'Year' and 'Attack Type' for aggregate analysis and summary generation.</w:t>
      </w:r>
    </w:p>
    <w:p>
      <w:pPr>
        <w:numPr>
          <w:ilvl w:val="0"/>
          <w:numId w:val="3"/>
        </w:numPr>
        <w:spacing w:before="0" w:after="0" w:line="276"/>
        <w:ind w:right="0" w:left="45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8"/>
          <w:shd w:fill="auto" w:val="clear"/>
        </w:rPr>
        <w:t xml:space="preserve">The RangeIndex class serves as the default immutable integer index for the DataFrame, ensuring that each of the 40,000 attack records has a unique sequential identifier.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  <w:t xml:space="preserve">Lab 2</w:t>
      </w:r>
    </w:p>
    <w:p>
      <w:pPr>
        <w:spacing w:before="0" w:after="0" w:line="276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8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  <w:t xml:space="preserve">Lab 3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  <w:t xml:space="preserve">Lab 4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  <w:t xml:space="preserve">Lab 5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  <w:t xml:space="preserve">Lab 6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  <w:t xml:space="preserve">Lab 7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  <w:t xml:space="preserve">Lab 8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  <w:t xml:space="preserve">Lab 9 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  <w:t xml:space="preserve">Lab 10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  <w:t xml:space="preserve">Lab 11</w:t>
      </w: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shd w:fill="auto" w:val="clear"/>
        </w:rPr>
      </w:pPr>
    </w:p>
    <w:p>
      <w:pPr>
        <w:spacing w:before="0" w:after="160" w:line="259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44"/>
          <w:u w:val="single"/>
          <w:shd w:fill="auto" w:val="clear"/>
        </w:rPr>
        <w:t xml:space="preserve">Lab 12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