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  <w:u w:val="single"/>
        </w:rPr>
      </w:pPr>
      <w:r w:rsidDel="00000000" w:rsidR="00000000" w:rsidRPr="00000000">
        <w:rPr>
          <w:sz w:val="56"/>
          <w:szCs w:val="56"/>
          <w:u w:val="single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="276" w:lineRule="auto"/>
        <w:ind w:left="45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DataFrame class is utilized to store and manipulate the entire cybersecurity dataset, providing a tabular structure with labeled axes for rows and columns.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76" w:lineRule="auto"/>
        <w:ind w:left="45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Series class represents individual columns like 'Attack Type' and 'Timestamp', offering a one-dimensional labeled array capability for efficient data access and computation.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76" w:lineRule="auto"/>
        <w:ind w:left="45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Resampler class is produced by the resample method and is instrumental in handling time-series data, specifically for grouping attacks into monthly intervals for trend analysis.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76" w:lineRule="auto"/>
        <w:ind w:left="45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DataFrameGroupBy class, resulting from the groupby method, allows the data to be split into groups based on 'Year' and 'Attack Type' for aggregate analysis and summary generation.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76" w:lineRule="auto"/>
        <w:ind w:left="45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RangeIndex class serves as the default immutable integer index for the DataFrame, ensuring that each of the 40,000 attack records has a unique sequential identifier.</w:t>
        <w:br w:type="textWrapping"/>
      </w:r>
    </w:p>
    <w:p w:rsidR="00000000" w:rsidDel="00000000" w:rsidP="00000000" w:rsidRDefault="00000000" w:rsidRPr="00000000" w14:paraId="0000000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A">
      <w:pPr>
        <w:spacing w:after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Attack Type:</w:t>
      </w:r>
    </w:p>
    <w:p w:rsidR="00000000" w:rsidDel="00000000" w:rsidP="00000000" w:rsidRDefault="00000000" w:rsidRPr="00000000" w14:paraId="0000000B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MOVEit File Transfer Hack (2023)</w:t>
      </w:r>
    </w:p>
    <w:p w:rsidR="00000000" w:rsidDel="00000000" w:rsidP="00000000" w:rsidRDefault="00000000" w:rsidRPr="00000000" w14:paraId="0000000C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Source:</w:t>
      </w:r>
    </w:p>
    <w:p w:rsidR="00000000" w:rsidDel="00000000" w:rsidP="00000000" w:rsidRDefault="00000000" w:rsidRPr="00000000" w14:paraId="0000000E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CISA Cybersecurity Advisory AA23-158a</w:t>
        <w:br w:type="textWrapping"/>
        <w:t xml:space="preserve">https://www.cisa.gov/news-events/cybersecurity-advisories/aa23-158a</w:t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488715</wp:posOffset>
            </wp:positionV>
            <wp:extent cx="2566988" cy="2213159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22131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2819400</wp:posOffset>
            </wp:positionH>
            <wp:positionV relativeFrom="paragraph">
              <wp:posOffset>573033</wp:posOffset>
            </wp:positionV>
            <wp:extent cx="2930423" cy="1479605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0423" cy="1479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161925</wp:posOffset>
            </wp:positionV>
            <wp:extent cx="5731200" cy="27559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2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2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2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2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2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2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3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32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