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 class is utilized to store and manipulate the entire cybersecurity dataset, providing a tabular structure with labeled axes for rows and columns.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Series class represents individual columns like 'Attack Type' and 'Timestamp', offering a one-dimensional labeled array capability for efficient data access and computation.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Resampler class is produced by the resample method and is instrumental in handling time-series data, specifically for grouping attacks into monthly intervals for trend analysis.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DataFrameGroupBy class, resulting from the groupby method, allows the data to be split into groups based on 'Year' and 'Attack Type' for aggregate analysis and summary generation.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RangeIndex class serves as the default immutable integer index for the DataFrame, ensuring that each of the 40,000 attack records has a unique sequential identifier.</w:t>
        <w:br w:type="textWrapping"/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A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Attack Type:</w:t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MOVEit File Transfer Hack (2023)</w:t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Source:</w:t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CISA Cybersecurity Advisory AA23-158a</w:t>
        <w:br w:type="textWrapping"/>
        <w:t xml:space="preserve">https://www.cisa.gov/news-events/cybersecurity-advisories/aa23-158a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105400" cy="4486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3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3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3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