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sz w:val="56"/>
          <w:szCs w:val="56"/>
          <w:u w:val="single"/>
        </w:rPr>
      </w:pPr>
      <w:r w:rsidDel="00000000" w:rsidR="00000000" w:rsidRPr="00000000">
        <w:rPr>
          <w:sz w:val="56"/>
          <w:szCs w:val="56"/>
          <w:u w:val="single"/>
          <w:rtl w:val="0"/>
        </w:rPr>
        <w:t xml:space="preserve">LAB Logbook</w:t>
      </w:r>
    </w:p>
    <w:p w:rsidR="00000000" w:rsidDel="00000000" w:rsidP="00000000" w:rsidRDefault="00000000" w:rsidRPr="00000000" w14:paraId="00000002">
      <w:pPr>
        <w:jc w:val="center"/>
        <w:rPr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sz w:val="44"/>
          <w:szCs w:val="44"/>
          <w:u w:val="single"/>
          <w:rtl w:val="0"/>
        </w:rPr>
        <w:t xml:space="preserve">Lab 1</w:t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spacing w:after="0" w:line="276" w:lineRule="auto"/>
        <w:ind w:left="45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The DataFrame class is utilized to store and manipulate the entire cybersecurity dataset, providing a tabular structure with labeled axes for rows and columns.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spacing w:after="0" w:line="276" w:lineRule="auto"/>
        <w:ind w:left="45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The Series class represents individual columns like 'Attack Type' and 'Timestamp', offering a one-dimensional labeled array capability for efficient data access and computation.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pacing w:after="0" w:line="276" w:lineRule="auto"/>
        <w:ind w:left="45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The Resampler class is produced by the resample method and is instrumental in handling time-series data, specifically for grouping attacks into monthly intervals for trend analysis.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after="0" w:line="276" w:lineRule="auto"/>
        <w:ind w:left="45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The DataFrameGroupBy class, resulting from the groupby method, allows the data to be split into groups based on 'Year' and 'Attack Type' for aggregate analysis and summary generation.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after="0" w:line="276" w:lineRule="auto"/>
        <w:ind w:left="45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The RangeIndex class serves as the default immutable integer index for the DataFrame, ensuring that each of the 40,000 attack records has a unique sequential identifier.</w:t>
        <w:br w:type="textWrapping"/>
      </w:r>
    </w:p>
    <w:p w:rsidR="00000000" w:rsidDel="00000000" w:rsidP="00000000" w:rsidRDefault="00000000" w:rsidRPr="00000000" w14:paraId="00000009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sz w:val="44"/>
          <w:szCs w:val="44"/>
          <w:u w:val="single"/>
          <w:rtl w:val="0"/>
        </w:rPr>
        <w:t xml:space="preserve">Lab 2</w:t>
      </w:r>
    </w:p>
    <w:p w:rsidR="00000000" w:rsidDel="00000000" w:rsidP="00000000" w:rsidRDefault="00000000" w:rsidRPr="00000000" w14:paraId="0000000A">
      <w:pPr>
        <w:spacing w:after="0" w:line="276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Attack Type:</w:t>
      </w:r>
    </w:p>
    <w:p w:rsidR="00000000" w:rsidDel="00000000" w:rsidP="00000000" w:rsidRDefault="00000000" w:rsidRPr="00000000" w14:paraId="0000000B">
      <w:pPr>
        <w:spacing w:after="0" w:line="276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MOVEit File Transfer Hack (2023)</w:t>
      </w:r>
    </w:p>
    <w:p w:rsidR="00000000" w:rsidDel="00000000" w:rsidP="00000000" w:rsidRDefault="00000000" w:rsidRPr="00000000" w14:paraId="0000000C">
      <w:pPr>
        <w:spacing w:after="0" w:line="276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line="276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Key Source:</w:t>
      </w:r>
    </w:p>
    <w:p w:rsidR="00000000" w:rsidDel="00000000" w:rsidP="00000000" w:rsidRDefault="00000000" w:rsidRPr="00000000" w14:paraId="0000000E">
      <w:pPr>
        <w:spacing w:after="0" w:line="276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CISA Cybersecurity Advisory AA23-158a</w:t>
        <w:br w:type="textWrapping"/>
        <w:t xml:space="preserve">https://www.cisa.gov/news-events/cybersecurity-advisories/aa23-158a</w:t>
      </w:r>
      <w:r w:rsidDel="00000000" w:rsidR="00000000" w:rsidRPr="00000000">
        <w:rPr>
          <w:sz w:val="28"/>
          <w:szCs w:val="28"/>
          <w:rtl w:val="0"/>
        </w:rPr>
        <w:br w:type="textWrapping"/>
      </w:r>
    </w:p>
    <w:p w:rsidR="00000000" w:rsidDel="00000000" w:rsidP="00000000" w:rsidRDefault="00000000" w:rsidRPr="00000000" w14:paraId="0000000F">
      <w:pPr>
        <w:spacing w:after="0" w:line="276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line="276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line="276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line="276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line="276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sz w:val="44"/>
          <w:szCs w:val="44"/>
          <w:u w:val="single"/>
          <w:rtl w:val="0"/>
        </w:rPr>
        <w:t xml:space="preserve">Lab 3</w:t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-57149</wp:posOffset>
            </wp:positionH>
            <wp:positionV relativeFrom="paragraph">
              <wp:posOffset>497537</wp:posOffset>
            </wp:positionV>
            <wp:extent cx="3290888" cy="3105150"/>
            <wp:effectExtent b="0" l="0" r="0" t="0"/>
            <wp:wrapNone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90888" cy="3105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5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3238500</wp:posOffset>
            </wp:positionH>
            <wp:positionV relativeFrom="paragraph">
              <wp:posOffset>262352</wp:posOffset>
            </wp:positionV>
            <wp:extent cx="3208170" cy="1608317"/>
            <wp:effectExtent b="0" l="0" r="0" t="0"/>
            <wp:wrapNone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08170" cy="16083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7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-542924</wp:posOffset>
            </wp:positionH>
            <wp:positionV relativeFrom="paragraph">
              <wp:posOffset>190500</wp:posOffset>
            </wp:positionV>
            <wp:extent cx="6991350" cy="3590925"/>
            <wp:effectExtent b="0" l="0" r="0" t="0"/>
            <wp:wrapNone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91350" cy="35909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D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sz w:val="44"/>
          <w:szCs w:val="44"/>
          <w:u w:val="single"/>
          <w:rtl w:val="0"/>
        </w:rPr>
        <w:t xml:space="preserve">Lab 4</w:t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19051</wp:posOffset>
            </wp:positionH>
            <wp:positionV relativeFrom="paragraph">
              <wp:posOffset>485775</wp:posOffset>
            </wp:positionV>
            <wp:extent cx="5443538" cy="3495168"/>
            <wp:effectExtent b="0" l="0" r="0" t="0"/>
            <wp:wrapNone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43538" cy="349516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7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sz w:val="44"/>
          <w:szCs w:val="44"/>
          <w:u w:val="single"/>
        </w:rPr>
        <w:drawing>
          <wp:inline distB="114300" distT="114300" distL="114300" distR="114300">
            <wp:extent cx="5105400" cy="4486275"/>
            <wp:effectExtent b="0" l="0" r="0" t="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44862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sz w:val="44"/>
          <w:szCs w:val="44"/>
          <w:u w:val="single"/>
          <w:rtl w:val="0"/>
        </w:rPr>
        <w:t xml:space="preserve">Lab 5</w:t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-1424</wp:posOffset>
            </wp:positionH>
            <wp:positionV relativeFrom="paragraph">
              <wp:posOffset>504825</wp:posOffset>
            </wp:positionV>
            <wp:extent cx="5731200" cy="3708400"/>
            <wp:effectExtent b="0" l="0" r="0" t="0"/>
            <wp:wrapNone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7084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1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sz w:val="44"/>
          <w:szCs w:val="44"/>
          <w:u w:val="single"/>
          <w:rtl w:val="0"/>
        </w:rPr>
        <w:t xml:space="preserve">Lab 6</w:t>
      </w:r>
    </w:p>
    <w:p w:rsidR="00000000" w:rsidDel="00000000" w:rsidP="00000000" w:rsidRDefault="00000000" w:rsidRPr="00000000" w14:paraId="0000003B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sz w:val="44"/>
          <w:szCs w:val="44"/>
          <w:u w:val="single"/>
          <w:rtl w:val="0"/>
        </w:rPr>
        <w:t xml:space="preserve">Lab 7</w:t>
      </w:r>
    </w:p>
    <w:p w:rsidR="00000000" w:rsidDel="00000000" w:rsidP="00000000" w:rsidRDefault="00000000" w:rsidRPr="00000000" w14:paraId="0000003D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sz w:val="44"/>
          <w:szCs w:val="44"/>
          <w:u w:val="single"/>
          <w:rtl w:val="0"/>
        </w:rPr>
        <w:t xml:space="preserve">Lab 8</w:t>
      </w:r>
    </w:p>
    <w:p w:rsidR="00000000" w:rsidDel="00000000" w:rsidP="00000000" w:rsidRDefault="00000000" w:rsidRPr="00000000" w14:paraId="0000003F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sz w:val="44"/>
          <w:szCs w:val="44"/>
          <w:u w:val="single"/>
          <w:rtl w:val="0"/>
        </w:rPr>
        <w:t xml:space="preserve">Lab 9 </w:t>
      </w:r>
    </w:p>
    <w:p w:rsidR="00000000" w:rsidDel="00000000" w:rsidP="00000000" w:rsidRDefault="00000000" w:rsidRPr="00000000" w14:paraId="00000041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sz w:val="44"/>
          <w:szCs w:val="44"/>
          <w:u w:val="single"/>
          <w:rtl w:val="0"/>
        </w:rPr>
        <w:t xml:space="preserve">Lab 10</w:t>
      </w:r>
    </w:p>
    <w:p w:rsidR="00000000" w:rsidDel="00000000" w:rsidP="00000000" w:rsidRDefault="00000000" w:rsidRPr="00000000" w14:paraId="00000043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sz w:val="44"/>
          <w:szCs w:val="44"/>
          <w:u w:val="single"/>
          <w:rtl w:val="0"/>
        </w:rPr>
        <w:t xml:space="preserve">Lab 11</w:t>
      </w:r>
    </w:p>
    <w:p w:rsidR="00000000" w:rsidDel="00000000" w:rsidP="00000000" w:rsidRDefault="00000000" w:rsidRPr="00000000" w14:paraId="00000045">
      <w:pPr>
        <w:jc w:val="both"/>
        <w:rPr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sz w:val="44"/>
          <w:szCs w:val="44"/>
          <w:u w:val="single"/>
          <w:rtl w:val="0"/>
        </w:rPr>
        <w:t xml:space="preserve">Lab 12</w:t>
      </w:r>
    </w:p>
    <w:sectPr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_GB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1.png"/><Relationship Id="rId10" Type="http://schemas.openxmlformats.org/officeDocument/2006/relationships/image" Target="media/image4.png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