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Métricas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Más de 400 personas informadas directamente sobre el proyecto y el servicio de menús.Aumento sostenido de pedidos al servicio de reparto a domicilio Captación de nuevas usuarias, especialmente personas grandes con dificultades de movilidad o red familiar.Generación de vínculos con colectivos como </w:t>
      </w:r>
      <w:r w:rsidDel="00000000" w:rsidR="00000000" w:rsidRPr="00000000">
        <w:rPr>
          <w:rtl w:val="0"/>
        </w:rPr>
        <w:t xml:space="preserve">Lacho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Baji</w:t>
      </w:r>
      <w:r w:rsidDel="00000000" w:rsidR="00000000" w:rsidRPr="00000000">
        <w:rPr>
          <w:rtl w:val="0"/>
        </w:rPr>
        <w:t xml:space="preserve"> Cale, </w:t>
      </w:r>
      <w:r w:rsidDel="00000000" w:rsidR="00000000" w:rsidRPr="00000000">
        <w:rPr>
          <w:rtl w:val="0"/>
        </w:rPr>
        <w:t xml:space="preserve">Keras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Buti</w:t>
      </w:r>
      <w:r w:rsidDel="00000000" w:rsidR="00000000" w:rsidRPr="00000000">
        <w:rPr>
          <w:rtl w:val="0"/>
        </w:rPr>
        <w:t xml:space="preserve">, La Colectiva, entre otros y participación de la cooperativa en la vida comunitaria de los barrios de </w:t>
      </w:r>
      <w:r w:rsidDel="00000000" w:rsidR="00000000" w:rsidRPr="00000000">
        <w:rPr>
          <w:rtl w:val="0"/>
        </w:rPr>
        <w:t xml:space="preserve">Bellvitge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Collblanc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Gornal</w:t>
      </w:r>
      <w:r w:rsidDel="00000000" w:rsidR="00000000" w:rsidRPr="00000000">
        <w:rPr>
          <w:rtl w:val="0"/>
        </w:rPr>
        <w:t xml:space="preserve"> y El Torreón.Mantenimiento de 2 puestos de trabajo vinculados a la cocina y reparto.Acciones orientadas a personas grandes, migrantes y colectivos estigmatizados (como el pueblo gitano).Refuerzo del tejido cooperativo y comunitario mediante la colaboración y el apoyo mutuo. 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Ámbito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Impacto socioeconómico previsto (antes del proyecto)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Resultados finales e impacto real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Mejora de las condiciones de vida y alimentación de personas grandes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Cubrir la necesidad de alimentación saludable y accesible para personas grandes con movilidad reducida y/o situación de soledad.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han consolidado 25 pedidos diarios a domicilio para personas grandes. Se ha mejorado la alimentación, reducido la carga de tareas, incrementado el bienestar y establecido vínculos de confianza para detectar vulnerabilidad.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Ocupación local e inclusiva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quería generar ocupación en el marco del proyecto de mantenimiento de 2 jornadas de trabajo y contratación de 1.5 jornadas nuevas.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 nuevas contrataciones (cocina y gestión </w:t>
      </w:r>
      <w:r w:rsidDel="00000000" w:rsidR="00000000" w:rsidRPr="00000000">
        <w:rPr>
          <w:rtl w:val="0"/>
        </w:rPr>
        <w:t xml:space="preserve">delrepartiment)</w:t>
      </w:r>
      <w:r w:rsidDel="00000000" w:rsidR="00000000" w:rsidRPr="00000000">
        <w:rPr>
          <w:rtl w:val="0"/>
        </w:rPr>
        <w:t xml:space="preserve">, y 2 puestos de trabajo consolidados. Las personas incorporadas han recibido formación y acompañamiento, mejorando su empleabilidad.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Dinamización comunitaria y cooperativa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Trabajo en red con entidades, y uso de los espacios públicos para actividades gastronómicas comunitarias.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han llevado a cabo talleres, actividades y ferias. Fortalecimiento de la red con servicios sociales, escuelas y cooperativas locales. La cooperativa se ha posicionado como un actor clave en </w:t>
      </w:r>
      <w:r w:rsidDel="00000000" w:rsidR="00000000" w:rsidRPr="00000000">
        <w:rPr>
          <w:rtl w:val="0"/>
        </w:rPr>
        <w:t xml:space="preserve">ESS</w:t>
      </w:r>
      <w:r w:rsidDel="00000000" w:rsidR="00000000" w:rsidRPr="00000000">
        <w:rPr>
          <w:rtl w:val="0"/>
        </w:rPr>
        <w:t xml:space="preserve"> en el territorio.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Impulso de la agroecología y consumo responsable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Vincular el proyecto con productores agroecológicos, fomentar el pensamiento crítico y el debate sobre alimentación.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han establecido relaciones comerciales y educativas con productoras agroecológicas del Baix Llobregat. Aumento de la sensibilización ciudadana y transformación de hábitos.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Limitaciones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esperaba alta participación en acciones de sensibilización, encuestas y actividades colectivas.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Participación más baja del previsto en algunas acciones (especialmente cuestionarios). Factores: falta de tiempo, recursos, y brecha digital. Se ha evidenciado la necesidad de trabajo frente a frente y con acompañamiento.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