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Métricas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estudio confirma que el servicio de reparto de menús a domicilio en el barrio de </w:t>
      </w:r>
      <w:r w:rsidDel="00000000" w:rsidR="00000000" w:rsidRPr="00000000">
        <w:rPr>
          <w:rtl w:val="0"/>
        </w:rPr>
        <w:t xml:space="preserve">Bellvitge</w:t>
      </w:r>
      <w:r w:rsidDel="00000000" w:rsidR="00000000" w:rsidRPr="00000000">
        <w:rPr>
          <w:rtl w:val="0"/>
        </w:rPr>
        <w:t xml:space="preserve"> es viable técnica, social y económicamente, a pesar de requerir una estrategia de crecimiento progresivo y una optimización cuidadosa de los recursos. La prueba piloto ha demostrado que existe una demanda real, especialmente entre la población grande con movilidad reducida y situaciones personales de soledad no deseada, y que el modelo logístico basado en la </w:t>
      </w:r>
      <w:r w:rsidDel="00000000" w:rsidR="00000000" w:rsidRPr="00000000">
        <w:rPr>
          <w:rtl w:val="0"/>
        </w:rPr>
        <w:t xml:space="preserve">ciclologística</w:t>
      </w:r>
      <w:r w:rsidDel="00000000" w:rsidR="00000000" w:rsidRPr="00000000">
        <w:rPr>
          <w:rtl w:val="0"/>
        </w:rPr>
        <w:t xml:space="preserve"> es funcional, sostenible y muy adaptado a las características urbanas del barrio.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rentabilidad económica del servicio depende de doblar el volumen actual de pedidos y consolidar una red de distribución eficiente, con el objetivo de mantener unos costes ajustados y garantizar un beneficio semanal estable. Paralelamente, hay que reforzar la comunicación del valor social y ambiental del proyecto, así como explorar vías de cofinanciación pública y colaboraciones con entidades del territorio.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Este servicio no solo aporta alimentación saludable y de calidad, sino que tiene un impacto positivo directo en la lucha contra la soledad no deseada y en la promoción de modelos laborales justos y sostenibles.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Además, se trata de un proyecto alineado con los objetivos de desarrollo sostenible, las políticas de atención comunitaria y el impulso de la economía social y solidaria.       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Durante seis meses se ha testado con éxito la nueva línea de reparto de menús a domicilio, dirigida principalmente a personas grandes y vecinas del barrio con dificultades para cocinar o desplazarse. El servicio ha funcionado de lunes a viernes con una media de 300 pedidos mensuales, llegando a 430 pedidos en junio y acumulando 1.800 pedidos totales en el periodo.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Resultados: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Incremento progresivo de pedidos y captación de nuevos clientes (del 2% al 22%).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Zona de entrega: </w:t>
      </w:r>
      <w:r w:rsidDel="00000000" w:rsidR="00000000" w:rsidRPr="00000000">
        <w:rPr>
          <w:rtl w:val="0"/>
        </w:rPr>
        <w:t xml:space="preserve">Bellvitge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Gornal</w:t>
      </w:r>
      <w:r w:rsidDel="00000000" w:rsidR="00000000" w:rsidRPr="00000000">
        <w:rPr>
          <w:rtl w:val="0"/>
        </w:rPr>
        <w:t xml:space="preserve"> – Florida.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Canals de captación: boca-oreja, WhatsApp, </w:t>
      </w:r>
      <w:r w:rsidDel="00000000" w:rsidR="00000000" w:rsidRPr="00000000">
        <w:rPr>
          <w:rtl w:val="0"/>
        </w:rPr>
        <w:t xml:space="preserve">flyers</w:t>
      </w:r>
      <w:r w:rsidDel="00000000" w:rsidR="00000000" w:rsidRPr="00000000">
        <w:rPr>
          <w:rtl w:val="0"/>
        </w:rPr>
        <w:t xml:space="preserve"> y redes sociales.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Alta satisfacción con la calidad de la comida y la atención próxima.Se ha elaborado un documento con las primeras conclusiones y resultados de esta prueba.</w:t>
      </w:r>
    </w:p>
    <w:p w:rsidR="00000000" w:rsidDel="00000000" w:rsidP="00000000" w:rsidRDefault="00000000" w:rsidRPr="00000000" w14:paraId="0000000E">
      <w:pPr>
        <w:spacing w:after="240" w:before="240" w:lineRule="auto"/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Personas beneficiarias directas: si bien inicialmente se preveía llegar a unos 10 usuarios con pedidos diarios a domicilio, el proyecto ha superado este objetivo, triplicándolo hasta los 25 usuarios recurrentes diarios. Esto refleja una buena acogida del servicio, especialmente entre personas grandes y dependientes. La difusión a través de canales comunitarios ha estado clave por este crecimiento.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Personas indirectas: el alcance a través de </w:t>
      </w:r>
      <w:r w:rsidDel="00000000" w:rsidR="00000000" w:rsidRPr="00000000">
        <w:rPr>
          <w:rtl w:val="0"/>
        </w:rPr>
        <w:t xml:space="preserve">buzoneo</w:t>
      </w:r>
      <w:r w:rsidDel="00000000" w:rsidR="00000000" w:rsidRPr="00000000">
        <w:rPr>
          <w:rtl w:val="0"/>
        </w:rPr>
        <w:t xml:space="preserve"> y redes supera la previsión inicial de 600 personas, llegando además de 3.000 impactos potenciales.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Entidades directas: se ha contactado más del triple de entidades del que se preveía (mínimo 30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. 12 previstas), con participación activa de cooperativas locales.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Entidades indirectas: a pesar de que no hay una cifra exacta, el refuerzo de red en varios barrios sugiere un impacto superior a los 50 agentes previstos.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Limitaciones: la participación puntual (encuestas, cuestionarios) ha estado menor por motivos estructurales y logísticos (recursos, novedad, necesidad de acompañamiento).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Impacto cualitativo: se ha validado el modelo, generado ocupación y reforzado el arraigo comunitario cumpliendo objetivos estratégicos más allá de la cifra.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Sin embargo, el impacto cualitativo ha estado muy significativo y ha permitido validar el modelo, generar ocupación y ampliar la base social y comunitaria de la cooperativa. Así, las expectativas se han cubierto a nivel de impacto transformador y arraigo territorial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