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Aptos" w:cs="Aptos" w:eastAsia="Aptos" w:hAnsi="Aptos"/>
          <w:caps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Aptos" w:cs="Aptos" w:eastAsia="Aptos" w:hAnsi="Aptos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Aptos" w:cs="Aptos" w:eastAsia="Aptos" w:hAnsi="Aptos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568"/>
        <w:gridCol w:w="6605"/>
      </w:tblGrid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ztdn6-cg4n9isp0h6rge4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vv8kaql4w84xsv2ytmvj2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Naturaleza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Insumos y sugerencias, no decisiones editoriales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Style w:val="Callout"/>
      </w:pPr>
      <w:r>
        <w:rPr>
          <w:b/>
          <w:bCs/>
        </w:rPr>
        <w:t xml:space="preserve">La persona encargada decide</w:t>
      </w:r>
      <w:r>
        <w:t xml:space="preserve"> qué publicar. Quien elaboró este brief </w:t>
      </w:r>
      <w:r>
        <w:rPr>
          <w:b/>
          <w:bCs/>
        </w:rPr>
        <w:t xml:space="preserve">no forma parte</w:t>
      </w:r>
      <w:r>
        <w:t xml:space="preserve"> de las decisiones editoriales: aquí solo hay diagnóstico y sugerencias.</w:t>
      </w:r>
    </w:p>
    <w:p>
      <w:pPr>
        <w:pStyle w:val="Callout"/>
      </w:pPr>
      <w:r>
        <w:rPr>
          <w:b/>
          <w:bCs/>
        </w:rPr>
        <w:t xml:space="preserve">Alcance:</w:t>
      </w:r>
      <w:r>
        <w:t xml:space="preserve"> solo </w:t>
      </w:r>
      <w:r>
        <w:rPr>
          <w:b/>
          <w:bCs/>
        </w:rPr>
        <w:t xml:space="preserve">entradas del blog</w:t>
      </w:r>
      <w:r>
        <w:t xml:space="preserve">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). </w:t>
      </w:r>
      <w:r>
        <w:rPr>
          <w:b/>
          <w:bCs/>
        </w:rPr>
        <w:t xml:space="preserve">Sí</w:t>
      </w:r>
      <w:r>
        <w:t xml:space="preserve"> incluye artículos o notas del blog sobre una ciudad (p. ej. "budismo en Cali"), si hay datos reales. </w:t>
      </w:r>
      <w:r>
        <w:rPr>
          <w:b/>
          <w:bCs/>
        </w:rPr>
        <w:t xml:space="preserve">No</w:t>
      </w:r>
      <w:r>
        <w:t xml:space="preserve"> incluye </w:t>
      </w:r>
      <w:r>
        <w:rPr>
          <w:b/>
          <w:bCs/>
        </w:rPr>
        <w:t xml:space="preserve">páginas nuevas del sitio</w:t>
      </w:r>
      <w:r>
        <w:t xml:space="preserve"> fuera del blog —como una sección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con una página fija por ciudad— ni cambios en Inicio/Comunidad/Linaje/Práctica; eso es otro trabajo (comunidad y equipo técnico), ajeno a este brief.</w:t>
      </w: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Pulse con el botón derecho sobre el índice y elija «Actualizar campos» para generarlo.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r_slkw7iyot6lw-jwojwj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rPr>
          <w:b/>
          <w:bCs/>
        </w:rPr>
        <w:t xml:space="preserve">Sugerencia del audit (referencia, no orden):</w:t>
      </w:r>
      <w:r>
        <w:t xml:space="preserve">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 </w:t>
      </w:r>
      <w:r>
        <w:rPr>
          <w:b/>
          <w:bCs/>
        </w:rPr>
        <w:t xml:space="preserve">Publicar o no, qué temas y cuándo, lo define la persona encargada de la edición.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18"/>
        <w:gridCol w:w="5855"/>
      </w:tblGrid>
      <w:tr>
        <w:trPr>
          <w:tblHeader/>
        </w:trPr>
        <w:tc>
          <w:tcPr>
            <w:tcW w:type="dxa" w:w="331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85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586"/>
        <w:gridCol w:w="4587"/>
      </w:tblGrid>
      <w:tr>
        <w:trPr>
          <w:tblHeader/>
        </w:trPr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5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82"/>
        <w:gridCol w:w="2184"/>
        <w:gridCol w:w="3407"/>
      </w:tblGrid>
      <w:tr>
        <w:trPr>
          <w:tblHeader/>
        </w:trPr>
        <w:tc>
          <w:tcPr>
            <w:tcW w:type="dxa" w:w="35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2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34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5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2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34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5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2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34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196"/>
        <w:gridCol w:w="3989"/>
        <w:gridCol w:w="3988"/>
      </w:tblGrid>
      <w:tr>
        <w:trPr>
          <w:tblHeader/>
        </w:trPr>
        <w:tc>
          <w:tcPr>
            <w:tcW w:type="dxa" w:w="119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98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9"/>
        <w:gridCol w:w="5144"/>
      </w:tblGrid>
      <w:tr>
        <w:trPr>
          <w:tblHeader/>
        </w:trPr>
        <w:tc>
          <w:tcPr>
            <w:tcW w:type="dxa" w:w="402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514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útiles; </w:t>
      </w:r>
      <w:r>
        <w:rPr>
          <w:b/>
          <w:bCs/>
        </w:rPr>
        <w:t xml:space="preserve">no califica</w:t>
      </w:r>
      <w:r>
        <w:t xml:space="preserve"> el trabajo editorial.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 del sitio, con su propia dirección (como la entrada sobre la sangha y la hiperconexión).</w:t>
      </w:r>
    </w:p>
    <w:p>
      <w:r>
        <w:rPr>
          <w:b/>
          <w:bCs/>
        </w:rPr>
        <w:t xml:space="preserve">No tocar:</w:t>
      </w:r>
      <w:r>
        <w:t xml:space="preserve"> textos fijos de Inicio, Comunidad, Linaje y Práctica. Son copy oficial de la comunidad y </w:t>
      </w:r>
      <w:r>
        <w:rPr>
          <w:b/>
          <w:bCs/>
        </w:rPr>
        <w:t xml:space="preserve">no se parafrasean</w:t>
      </w:r>
      <w:r>
        <w:t xml:space="preserve">; el blog </w:t>
      </w:r>
      <w:r>
        <w:rPr>
          <w:b/>
          <w:bCs/>
        </w:rPr>
        <w:t xml:space="preserve">complementa</w:t>
      </w:r>
      <w:r>
        <w:t xml:space="preserve">, no sustituye.</w:t>
      </w:r>
    </w:p>
    <w:p>
      <w:r>
        <w:t xml:space="preserve">En el blog caben: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75"/>
        <w:gridCol w:w="3849"/>
        <w:gridCol w:w="3849"/>
      </w:tblGrid>
      <w:tr>
        <w:trPr>
          <w:tblHeader/>
        </w:trPr>
        <w:tc>
          <w:tcPr>
            <w:tcW w:type="dxa" w:w="147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Tipo</w:t>
            </w:r>
          </w:p>
        </w:tc>
        <w:tc>
          <w:tcPr>
            <w:tcW w:type="dxa" w:w="38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Para qué sirve</w:t>
            </w:r>
          </w:p>
        </w:tc>
        <w:tc>
          <w:tcPr>
            <w:tcW w:type="dxa" w:w="38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Ejemplo</w:t>
            </w:r>
          </w:p>
        </w:tc>
      </w:tr>
      <w:tr>
        <w:tc>
          <w:tcPr>
            <w:tcW w:type="dxa" w:w="147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38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Acompañar, profundizar en una experiencia o enseñanza</w:t>
            </w:r>
          </w:p>
        </w:tc>
        <w:tc>
          <w:tcPr>
            <w:tcW w:type="dxa" w:w="38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entrada actual sobre hiperconexión y sangha</w:t>
            </w:r>
          </w:p>
        </w:tc>
      </w:tr>
      <w:tr>
        <w:tc>
          <w:tcPr>
            <w:tcW w:type="dxa" w:w="14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38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Explicar un tema a quien no conoce la tradición</w:t>
            </w:r>
          </w:p>
        </w:tc>
        <w:tc>
          <w:tcPr>
            <w:tcW w:type="dxa" w:w="38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“¿Qué es el budismo Chan en la vida cotidiana?”</w:t>
            </w:r>
          </w:p>
        </w:tc>
      </w:tr>
      <w:tr>
        <w:tc>
          <w:tcPr>
            <w:tcW w:type="dxa" w:w="147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38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Situar un hecho, lugar o actividad con datos reales</w:t>
            </w:r>
          </w:p>
        </w:tc>
        <w:tc>
          <w:tcPr>
            <w:tcW w:type="dxa" w:w="38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Nota sobre práctica en Cali, Medellín, Bogotá o Barranquilla — </w:t>
            </w:r>
            <w:r>
              <w:rPr>
                <w:b/>
                <w:bCs/>
              </w:rPr>
              <w:t xml:space="preserve">solo</w:t>
            </w:r>
            <w:r>
              <w:t xml:space="preserve"> si hay información verificable</w:t>
            </w:r>
          </w:p>
        </w:tc>
      </w:tr>
      <w:tr>
        <w:tc>
          <w:tcPr>
            <w:tcW w:type="dxa" w:w="147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o entrevista</w:t>
            </w:r>
          </w:p>
        </w:tc>
        <w:tc>
          <w:tcPr>
            <w:tcW w:type="dxa" w:w="38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Mostrar cómo vive la práctica alguien de la sangha, con su voz</w:t>
            </w:r>
          </w:p>
        </w:tc>
        <w:tc>
          <w:tcPr>
            <w:tcW w:type="dxa" w:w="38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“Cómo llegué a la meditación semanal” (con permiso de la persona entrevistada)</w:t>
            </w:r>
          </w:p>
        </w:tc>
      </w:tr>
    </w:tbl>
    <w:p>
      <w:pPr>
        <w:spacing w:after="120"/>
      </w:pPr>
    </w:p>
    <w:p>
      <w:r>
        <w:t xml:space="preserve">Las entrevistas y relatos de miembros </w:t>
      </w:r>
      <w:r>
        <w:rPr>
          <w:b/>
          <w:bCs/>
        </w:rPr>
        <w:t xml:space="preserve">no sustituyen</w:t>
      </w:r>
      <w:r>
        <w:t xml:space="preserve"> los artículos educativos del §6: ayudan a que quien llegue </w:t>
      </w:r>
      <w:r>
        <w:rPr>
          <w:b/>
          <w:bCs/>
        </w:rPr>
        <w:t xml:space="preserve">sienta</w:t>
      </w:r>
      <w:r>
        <w:t xml:space="preserve"> la comunidad, pero suelen atraer menos búsquedas nuevas que un texto que responde “¿qué es el Chan?”. Pueden combinarse bien: primero el tema, después un relato que lo ilustre.</w:t>
      </w:r>
    </w:p>
    <w:p>
      <w:pPr>
        <w:pStyle w:val="Heading1"/>
      </w:pPr>
      <w:r>
        <w:t xml:space="preserve">6. Sugerencia de temas (solo referencia del audit SEO)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 La persona encargada puede ignorarlas, cambiarlas o proponer otras.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65"/>
        <w:gridCol w:w="2549"/>
        <w:gridCol w:w="2777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77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9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5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77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9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5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77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22"/>
        <w:gridCol w:w="2349"/>
        <w:gridCol w:w="3020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2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3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2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3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302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3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356"/>
        <w:gridCol w:w="2927"/>
        <w:gridCol w:w="3008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3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92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4"/>
        <w:gridCol w:w="1704"/>
        <w:gridCol w:w="3007"/>
        <w:gridCol w:w="3008"/>
      </w:tblGrid>
      <w:tr>
        <w:trPr>
          <w:tblHeader/>
        </w:trPr>
        <w:tc>
          <w:tcPr>
            <w:tcW w:type="dxa" w:w="145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70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30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4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70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30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484"/>
        <w:gridCol w:w="2206"/>
        <w:gridCol w:w="3483"/>
      </w:tblGrid>
      <w:tr>
        <w:trPr>
          <w:tblHeader/>
        </w:trPr>
        <w:tc>
          <w:tcPr>
            <w:tcW w:type="dxa" w:w="34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220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48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solo concierne a sitios desde ~10.000 páginas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Con 14 páginas, publicar más rápido no hace que Google pase más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3vjmo1zgu4ljaesfk5gui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vfscwxm31co54tvofdypn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xxspycnyhj74ju3vnzfua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7kv-sus_bgyug3ronrgfv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 (criterios de la comunidad)</w:t>
      </w:r>
    </w:p>
    <w:p>
      <w:r>
        <w:t xml:space="preserve">Lo siguiente resume </w:t>
      </w:r>
      <w:r>
        <w:rPr>
          <w:b/>
          <w:bCs/>
        </w:rPr>
        <w:t xml:space="preserve">cómo debe sonar y verse un artículo del blog</w:t>
      </w:r>
      <w:r>
        <w:t xml:space="preserve"> en Camino del Dharma. No hace falta otro manual para publicar con coherencia.</w:t>
      </w:r>
    </w:p>
    <w:p>
      <w:pPr>
        <w:pStyle w:val="Heading2"/>
      </w:pPr>
      <w:r>
        <w:t xml:space="preserve">7.1 Cómo habla la comunidad</w:t>
      </w:r>
    </w:p>
    <w:p>
      <w:r>
        <w:t xml:space="preserve">La comunicación </w:t>
      </w:r>
      <w:r>
        <w:rPr>
          <w:b/>
          <w:bCs/>
        </w:rPr>
        <w:t xml:space="preserve">no vende</w:t>
      </w:r>
      <w:r>
        <w:t xml:space="preserve">. </w:t>
      </w:r>
      <w:r>
        <w:rPr>
          <w:b/>
          <w:bCs/>
        </w:rPr>
        <w:t xml:space="preserve">Invita a practicar.</w:t>
      </w:r>
    </w:p>
    <w:p>
      <w:r>
        <w:t xml:space="preserve">Tres cualidades obligatorias: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325"/>
        <w:gridCol w:w="3262"/>
        <w:gridCol w:w="4586"/>
      </w:tblGrid>
      <w:tr>
        <w:trPr>
          <w:tblHeader/>
        </w:trPr>
        <w:tc>
          <w:tcPr>
            <w:tcW w:type="dxa" w:w="132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Cualidad</w:t>
            </w:r>
          </w:p>
        </w:tc>
        <w:tc>
          <w:tcPr>
            <w:tcW w:type="dxa" w:w="326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Significa</w:t>
            </w:r>
          </w:p>
        </w:tc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Evita</w:t>
            </w:r>
          </w:p>
        </w:tc>
      </w:tr>
      <w:tr>
        <w:tc>
          <w:tcPr>
            <w:tcW w:type="dxa" w:w="132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Sobria</w:t>
            </w:r>
          </w:p>
        </w:tc>
        <w:tc>
          <w:tcPr>
            <w:tcW w:type="dxa" w:w="32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Nombra con precisión, sin exceso</w:t>
            </w:r>
          </w:p>
        </w:tc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Superlativos, dramatización, grandilocuencia</w:t>
            </w:r>
          </w:p>
        </w:tc>
      </w:tr>
      <w:tr>
        <w:tc>
          <w:tcPr>
            <w:tcW w:type="dxa" w:w="132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Acogedora</w:t>
            </w:r>
          </w:p>
        </w:tc>
        <w:tc>
          <w:tcPr>
            <w:tcW w:type="dxa" w:w="32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Abre espacio, acompaña</w:t>
            </w:r>
          </w:p>
        </w:tc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Frialdad institucional, entusiasmo artificial</w:t>
            </w:r>
          </w:p>
        </w:tc>
      </w:tr>
      <w:tr>
        <w:tc>
          <w:tcPr>
            <w:tcW w:type="dxa" w:w="132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Clara</w:t>
            </w:r>
          </w:p>
        </w:tc>
        <w:tc>
          <w:tcPr>
            <w:tcW w:type="dxa" w:w="32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Va al punto, lenguaje concreto</w:t>
            </w:r>
          </w:p>
        </w:tc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Ambigüedad, párrafos inflados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Principios al escribir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Orientar antes que atraer</w:t>
      </w:r>
      <w:r>
        <w:t xml:space="preserve"> — El primer párrafo ubica: de qué va el texto, no “engancha” con marketing.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Presentar, no promocionar</w:t>
      </w:r>
      <w:r>
        <w:t xml:space="preserve"> — Se muestra la práctica; no se prometen resultados.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Decir menos, pero mejor</w:t>
      </w:r>
      <w:r>
        <w:t xml:space="preserve"> — La longitud sigue al tema, no a una meta de palabras.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Sin urgencia</w:t>
      </w:r>
      <w:r>
        <w:t xml:space="preserve"> — No “cupos limitados”, “no te lo pierdas”, “transforma tu vida ya”.</w:t>
      </w:r>
    </w:p>
    <w:p>
      <w:r>
        <w:t xml:space="preserve">Primero responder, en lo posible:</w:t>
      </w:r>
    </w:p>
    <w:p>
      <w:pPr>
        <w:pStyle w:val="ListParagraph"/>
        <w:numPr>
          <w:ilvl w:val="0"/>
          <w:numId w:val="2"/>
        </w:numPr>
      </w:pPr>
      <w:r>
        <w:t xml:space="preserve">qué es esto;</w:t>
      </w:r>
    </w:p>
    <w:p>
      <w:pPr>
        <w:pStyle w:val="ListParagraph"/>
        <w:numPr>
          <w:ilvl w:val="0"/>
          <w:numId w:val="2"/>
        </w:numPr>
      </w:pPr>
      <w:r>
        <w:t xml:space="preserve">cómo se practica aquí;</w:t>
      </w:r>
    </w:p>
    <w:p>
      <w:pPr>
        <w:pStyle w:val="ListParagraph"/>
        <w:numPr>
          <w:ilvl w:val="0"/>
          <w:numId w:val="2"/>
        </w:numPr>
      </w:pPr>
      <w:r>
        <w:t xml:space="preserve">cómo puede acercarse una persona.</w:t>
      </w:r>
    </w:p>
    <w:p>
      <w:pPr>
        <w:pStyle w:val="Heading2"/>
      </w:pPr>
      <w:r>
        <w:t xml:space="preserve">7.3 Palabras y tono</w:t>
      </w:r>
    </w:p>
    <w:p>
      <w:r>
        <w:rPr>
          <w:b/>
          <w:bCs/>
        </w:rPr>
        <w:t xml:space="preserve">Invitaciones apropiadas:</w:t>
      </w:r>
      <w:r>
        <w:t xml:space="preserve"> Practica con nosotros · Participar · Conocer · Explorar · Contactar · Inscribirme (eventos) · Donar.</w:t>
      </w:r>
    </w:p>
    <w:p>
      <w:r>
        <w:rPr>
          <w:b/>
          <w:bCs/>
        </w:rPr>
        <w:t xml:space="preserve">Evitar</w:t>
      </w:r>
      <w:r>
        <w:t xml:space="preserve"> (suenan a marketing, tienda o red social): increíble · imperdible · descubre · únete (si suena comercial) · suscríbete · compra · exclusivo · contenido premium · transforma tu vida ya.</w:t>
      </w:r>
    </w:p>
    <w:p>
      <w:r>
        <w:rPr>
          <w:b/>
          <w:bCs/>
        </w:rPr>
        <w:t xml:space="preserve">Términos de la tradición</w:t>
      </w:r>
      <w:r>
        <w:t xml:space="preserve"> (usar con consistencia cuando haga falta): Buddhismo · Dharma · Chan · Tierra Pura · Mahāyāna · sangha · meditación · recitación.</w:t>
      </w:r>
    </w:p>
    <w:p>
      <w:r>
        <w:rPr>
          <w:b/>
          <w:bCs/>
        </w:rPr>
        <w:t xml:space="preserve">Buddhismo y budismo:</w:t>
      </w:r>
      <w:r>
        <w:t xml:space="preserve"> la comunidad escribe </w:t>
      </w:r>
      <w:r>
        <w:rPr>
          <w:i/>
          <w:iCs/>
        </w:rPr>
        <w:t xml:space="preserve">Buddhismo</w:t>
      </w:r>
      <w:r>
        <w:t xml:space="preserve"> con doble d. Mucha gente busca </w:t>
      </w:r>
      <w:r>
        <w:rPr>
          <w:i/>
          <w:iCs/>
        </w:rPr>
        <w:t xml:space="preserve">budismo</w:t>
      </w:r>
      <w:r>
        <w:t xml:space="preserve"> con una d — también es válido. En el </w:t>
      </w:r>
      <w:r>
        <w:rPr>
          <w:b/>
          <w:bCs/>
        </w:rPr>
        <w:t xml:space="preserve">texto visible</w:t>
      </w:r>
      <w:r>
        <w:t xml:space="preserve"> del artículo se usa </w:t>
      </w:r>
      <w:r>
        <w:rPr>
          <w:i/>
          <w:iCs/>
        </w:rPr>
        <w:t xml:space="preserve">Buddhismo</w:t>
      </w:r>
      <w:r>
        <w:t xml:space="preserve">; en el </w:t>
      </w:r>
      <w:r>
        <w:rPr>
          <w:b/>
          <w:bCs/>
        </w:rPr>
        <w:t xml:space="preserve">resumen corto</w:t>
      </w:r>
      <w:r>
        <w:t xml:space="preserve"> que ve Google al compartir el enlace puede usarse </w:t>
      </w:r>
      <w:r>
        <w:rPr>
          <w:i/>
          <w:iCs/>
        </w:rPr>
        <w:t xml:space="preserve">budismo</w:t>
      </w:r>
      <w:r>
        <w:t xml:space="preserve"> si ayuda a quien busca así. </w:t>
      </w:r>
      <w:r>
        <w:rPr>
          <w:b/>
          <w:bCs/>
        </w:rPr>
        <w:t xml:space="preserve">Nunca</w:t>
      </w:r>
      <w:r>
        <w:t xml:space="preserve"> ocultar palabras con trucos (texto invisible, etc.).</w:t>
      </w:r>
    </w:p>
    <w:p>
      <w:r>
        <w:rPr>
          <w:b/>
          <w:bCs/>
        </w:rPr>
        <w:t xml:space="preserve">El blog puede sonar</w:t>
      </w:r>
      <w:r>
        <w:t xml:space="preserve"> reflexivo, informativo o </w:t>
      </w:r>
      <w:r>
        <w:rPr>
          <w:b/>
          <w:bCs/>
        </w:rPr>
        <w:t xml:space="preserve">conversacional</w:t>
      </w:r>
      <w:r>
        <w:t xml:space="preserve"> (entrevistas), según la pieza; siempre sobrio.</w:t>
      </w:r>
    </w:p>
    <w:p>
      <w:r>
        <w:rPr>
          <w:b/>
          <w:bCs/>
        </w:rPr>
        <w:t xml:space="preserve">Entrevistas y relatos de miembros:</w:t>
      </w:r>
    </w:p>
    <w:p>
      <w:pPr>
        <w:pStyle w:val="ListParagraph"/>
        <w:numPr>
          <w:ilvl w:val="0"/>
          <w:numId w:val="2"/>
        </w:numPr>
      </w:pPr>
      <w:r>
        <w:t xml:space="preserve">Pedir </w:t>
      </w:r>
      <w:r>
        <w:rPr>
          <w:b/>
          <w:bCs/>
        </w:rPr>
        <w:t xml:space="preserve">permiso por escrito</w:t>
      </w:r>
      <w:r>
        <w:t xml:space="preserve"> (o acuerdo claro) antes de publicar nombre, foto o cita.</w:t>
      </w:r>
    </w:p>
    <w:p>
      <w:pPr>
        <w:pStyle w:val="ListParagraph"/>
        <w:numPr>
          <w:ilvl w:val="0"/>
          <w:numId w:val="2"/>
        </w:numPr>
      </w:pPr>
      <w:r>
        <w:t xml:space="preserve">El eje es la </w:t>
      </w:r>
      <w:r>
        <w:rPr>
          <w:b/>
          <w:bCs/>
        </w:rPr>
        <w:t xml:space="preserve">práctica</w:t>
      </w:r>
      <w:r>
        <w:t xml:space="preserve"> y la experiencia en la sangha — no currículum, logros externos ni “antes y después”.</w:t>
      </w:r>
    </w:p>
    <w:p>
      <w:pPr>
        <w:pStyle w:val="ListParagraph"/>
        <w:numPr>
          <w:ilvl w:val="0"/>
          <w:numId w:val="2"/>
        </w:numPr>
      </w:pPr>
      <w:r>
        <w:t xml:space="preserve">Evitar tono de testimonial comercial (“cambió mi vida para siempre”, “no te lo pierdas”).</w:t>
      </w:r>
    </w:p>
    <w:p>
      <w:pPr>
        <w:pStyle w:val="ListParagraph"/>
        <w:numPr>
          <w:ilvl w:val="0"/>
          <w:numId w:val="2"/>
        </w:numPr>
      </w:pPr>
      <w:r>
        <w:t xml:space="preserve">Quien entrevista puede editar por claridad y longitud; la persona revisa el texto final.</w:t>
      </w:r>
    </w:p>
    <w:p>
      <w:pPr>
        <w:pStyle w:val="Heading2"/>
      </w:pPr>
      <w:r>
        <w:t xml:space="preserve">7.4 Formato de una entrada</w:t>
      </w:r>
    </w:p>
    <w:p>
      <w:r>
        <w:rPr>
          <w:b/>
          <w:bCs/>
        </w:rPr>
        <w:t xml:space="preserve">En el listado del blog:</w:t>
      </w:r>
      <w:r>
        <w:t xml:space="preserve"> título + extracto de una o dos oraciones (resume la idea).</w:t>
      </w:r>
    </w:p>
    <w:p>
      <w:r>
        <w:rPr>
          <w:b/>
          <w:bCs/>
        </w:rPr>
        <w:t xml:space="preserve">En la página del artículo:</w:t>
      </w:r>
    </w:p>
    <w:p>
      <w:pPr>
        <w:pStyle w:val="ListParagraph"/>
        <w:numPr>
          <w:ilvl w:val="0"/>
          <w:numId w:val="2"/>
        </w:numPr>
      </w:pPr>
      <w:r>
        <w:t xml:space="preserve">un solo título principal;</w:t>
      </w:r>
    </w:p>
    <w:p>
      <w:pPr>
        <w:pStyle w:val="ListParagraph"/>
        <w:numPr>
          <w:ilvl w:val="0"/>
          <w:numId w:val="2"/>
        </w:numPr>
      </w:pPr>
      <w:r>
        <w:t xml:space="preserve">párrafo inicial que </w:t>
      </w:r>
      <w:r>
        <w:rPr>
          <w:b/>
          <w:bCs/>
        </w:rPr>
        <w:t xml:space="preserve">responda</w:t>
      </w:r>
      <w:r>
        <w:t xml:space="preserve"> la pregunta o el tema;</w:t>
      </w:r>
    </w:p>
    <w:p>
      <w:pPr>
        <w:pStyle w:val="ListParagraph"/>
        <w:numPr>
          <w:ilvl w:val="0"/>
          <w:numId w:val="2"/>
        </w:numPr>
      </w:pPr>
      <w:r>
        <w:t xml:space="preserve">subtítulos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h2</w:t>
      </w:r>
      <w:r>
        <w:t xml:space="preserve">) si el texto lo necesita — no decorativos;</w:t>
      </w:r>
    </w:p>
    <w:p>
      <w:pPr>
        <w:pStyle w:val="ListParagraph"/>
        <w:numPr>
          <w:ilvl w:val="0"/>
          <w:numId w:val="2"/>
        </w:numPr>
      </w:pPr>
      <w:r>
        <w:t xml:space="preserve">cierre breve, sin moraleja emotiva forzada.</w:t>
      </w:r>
    </w:p>
    <w:p>
      <w:r>
        <w:rPr>
          <w:b/>
          <w:bCs/>
        </w:rPr>
        <w:t xml:space="preserve">Extensión orientativa</w:t>
      </w:r>
      <w:r>
        <w:t xml:space="preserve"> (flexible según el tema):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24"/>
        <w:gridCol w:w="3576"/>
        <w:gridCol w:w="2073"/>
      </w:tblGrid>
      <w:tr>
        <w:trPr>
          <w:tblHeader/>
        </w:trPr>
        <w:tc>
          <w:tcPr>
            <w:tcW w:type="dxa" w:w="352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Tipo</w:t>
            </w:r>
          </w:p>
        </w:tc>
        <w:tc>
          <w:tcPr>
            <w:tcW w:type="dxa" w:w="357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Palabras aprox.</w:t>
            </w:r>
          </w:p>
        </w:tc>
        <w:tc>
          <w:tcPr>
            <w:tcW w:type="dxa" w:w="207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52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breve</w:t>
            </w:r>
          </w:p>
        </w:tc>
        <w:tc>
          <w:tcPr>
            <w:tcW w:type="dxa" w:w="357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150 – 400</w:t>
            </w:r>
          </w:p>
        </w:tc>
        <w:tc>
          <w:tcPr>
            <w:tcW w:type="dxa" w:w="20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– 2 min</w:t>
            </w:r>
          </w:p>
        </w:tc>
      </w:tr>
      <w:tr>
        <w:tc>
          <w:tcPr>
            <w:tcW w:type="dxa" w:w="352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estándar</w:t>
            </w:r>
          </w:p>
        </w:tc>
        <w:tc>
          <w:tcPr>
            <w:tcW w:type="dxa" w:w="35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400 – 1 000</w:t>
            </w:r>
          </w:p>
        </w:tc>
        <w:tc>
          <w:tcPr>
            <w:tcW w:type="dxa" w:w="207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2 – 5 min</w:t>
            </w:r>
          </w:p>
        </w:tc>
      </w:tr>
      <w:tr>
        <w:tc>
          <w:tcPr>
            <w:tcW w:type="dxa" w:w="352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profundidad</w:t>
            </w:r>
          </w:p>
        </w:tc>
        <w:tc>
          <w:tcPr>
            <w:tcW w:type="dxa" w:w="357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1 000 – 2 000</w:t>
            </w:r>
          </w:p>
        </w:tc>
        <w:tc>
          <w:tcPr>
            <w:tcW w:type="dxa" w:w="207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5 – 10 min</w:t>
            </w:r>
          </w:p>
        </w:tc>
      </w:tr>
    </w:tbl>
    <w:p>
      <w:pPr>
        <w:spacing w:after="120"/>
      </w:pPr>
    </w:p>
    <w:p>
      <w:r>
        <w:t xml:space="preserve">Una </w:t>
      </w:r>
      <w:r>
        <w:rPr>
          <w:b/>
          <w:bCs/>
        </w:rPr>
        <w:t xml:space="preserve">sola idea principal</w:t>
      </w:r>
      <w:r>
        <w:t xml:space="preserve"> por artículo. Claridad importa más que extensión.</w:t>
      </w:r>
    </w:p>
    <w:p>
      <w:r>
        <w:rPr>
          <w:b/>
          <w:bCs/>
        </w:rPr>
        <w:t xml:space="preserve">Al compartir</w:t>
      </w:r>
      <w:r>
        <w:t xml:space="preserve"> en WhatsApp o redes, la línea de contexto puede ser: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Reflexión · [Autor] · Camino del Dharma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Artículo · [Autor] · Camino del Dharma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Nota · [Autor] · Camino del Dharma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Entrevista · [Autor o entrevistado] · Camino del Dharma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Relato · [Autor] · Camino del Dharma</w:t>
      </w:r>
    </w:p>
    <w:p>
      <w:r>
        <w:t xml:space="preserve">(según el tipo de pieza de la tabla en §5)</w:t>
      </w:r>
    </w:p>
    <w:p>
      <w:pPr>
        <w:pStyle w:val="Heading2"/>
      </w:pPr>
      <w:r>
        <w:t xml:space="preserve">7.5 Checklist antes de publicar</w:t>
      </w:r>
    </w:p>
    <w:p>
      <w:pPr>
        <w:pStyle w:val="ListParagraph"/>
        <w:numPr>
          <w:ilvl w:val="0"/>
          <w:numId w:val="2"/>
        </w:numPr>
      </w:pPr>
      <w:r>
        <w:t xml:space="preserve">¿Suena a </w:t>
      </w:r>
      <w:r>
        <w:rPr>
          <w:b/>
          <w:bCs/>
        </w:rPr>
        <w:t xml:space="preserve">espacio de acogida</w:t>
      </w:r>
      <w:r>
        <w:t xml:space="preserve">?</w:t>
      </w:r>
    </w:p>
    <w:p>
      <w:pPr>
        <w:pStyle w:val="ListParagraph"/>
        <w:numPr>
          <w:ilvl w:val="0"/>
          <w:numId w:val="2"/>
        </w:numPr>
      </w:pPr>
      <w:r>
        <w:t xml:space="preserve">¿Está escrito con </w:t>
      </w:r>
      <w:r>
        <w:rPr>
          <w:b/>
          <w:bCs/>
        </w:rPr>
        <w:t xml:space="preserve">sobriedad</w:t>
      </w:r>
      <w:r>
        <w:t xml:space="preserve">?</w:t>
      </w:r>
    </w:p>
    <w:p>
      <w:pPr>
        <w:pStyle w:val="ListParagraph"/>
        <w:numPr>
          <w:ilvl w:val="0"/>
          <w:numId w:val="2"/>
        </w:numPr>
      </w:pPr>
      <w:r>
        <w:t xml:space="preserve">¿Se </w:t>
      </w:r>
      <w:r>
        <w:rPr>
          <w:b/>
          <w:bCs/>
        </w:rPr>
        <w:t xml:space="preserve">entiende a la primera</w:t>
      </w:r>
      <w:r>
        <w:t xml:space="preserve">?</w:t>
      </w:r>
    </w:p>
    <w:p>
      <w:pPr>
        <w:pStyle w:val="ListParagraph"/>
        <w:numPr>
          <w:ilvl w:val="0"/>
          <w:numId w:val="2"/>
        </w:numPr>
      </w:pPr>
      <w:r>
        <w:t xml:space="preserve">¿Evita marketing, autoayuda y urgencia?</w:t>
      </w:r>
    </w:p>
    <w:p>
      <w:pPr>
        <w:pStyle w:val="ListParagraph"/>
        <w:numPr>
          <w:ilvl w:val="0"/>
          <w:numId w:val="2"/>
        </w:numPr>
      </w:pPr>
      <w:r>
        <w:t xml:space="preserve">¿Respeta la terminología de la comunidad?</w:t>
      </w:r>
    </w:p>
    <w:p>
      <w:pPr>
        <w:pStyle w:val="ListParagraph"/>
        <w:numPr>
          <w:ilvl w:val="0"/>
          <w:numId w:val="2"/>
        </w:numPr>
      </w:pPr>
      <w:r>
        <w:t xml:space="preserve">¿Dice </w:t>
      </w:r>
      <w:r>
        <w:rPr>
          <w:b/>
          <w:bCs/>
        </w:rPr>
        <w:t xml:space="preserve">solo lo necesario</w:t>
      </w:r>
      <w:r>
        <w:t xml:space="preserve">?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entrevista o relato personal</w:t>
      </w:r>
      <w:r>
        <w:t xml:space="preserve">: ¿hay permiso y el foco está en la práctica, no en autopromoción?</w:t>
      </w:r>
    </w:p>
    <w:p>
      <w:r>
        <w:t xml:space="preserve">Si alguna respuesta es no, el texto aún no está listo.</w:t>
      </w:r>
    </w:p>
    <w:p>
      <w:r>
        <w:t xml:space="preserve">El audit SEO </w:t>
      </w:r>
      <w:r>
        <w:rPr>
          <w:b/>
          <w:bCs/>
        </w:rPr>
        <w:t xml:space="preserve">coincide</w:t>
      </w:r>
      <w:r>
        <w:t xml:space="preserve">: el blog debe ser </w:t>
      </w:r>
      <w:r>
        <w:rPr>
          <w:b/>
          <w:bCs/>
        </w:rPr>
        <w:t xml:space="preserve">más útil y más claro</w:t>
      </w:r>
      <w:r>
        <w:t xml:space="preserve">, no “SEO agresivo”.</w:t>
      </w:r>
    </w:p>
    <w:p>
      <w:pPr>
        <w:pStyle w:val="Heading1"/>
      </w:pPr>
      <w:r>
        <w:t xml:space="preserve">8. Quién hace qué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89"/>
        <w:gridCol w:w="6184"/>
      </w:tblGrid>
      <w:tr>
        <w:trPr>
          <w:tblHeader/>
        </w:trPr>
        <w:tc>
          <w:tcPr>
            <w:tcW w:type="dxa" w:w="2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6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temas, explicación del porqué. </w:t>
            </w:r>
            <w:r>
              <w:rPr>
                <w:b/>
                <w:bCs/>
              </w:rPr>
              <w:t xml:space="preserve">No</w:t>
            </w:r>
            <w:r>
              <w:t xml:space="preserve"> decide qué se publica.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El audit </w:t>
      </w:r>
      <w:r>
        <w:rPr>
          <w:b/>
          <w:bCs/>
        </w:rPr>
        <w:t xml:space="preserve">solo entrega insumos</w:t>
      </w:r>
      <w:r>
        <w:t xml:space="preserve">. La persona encargada resuelve, si lo considera pertinente:</w:t>
      </w:r>
    </w:p>
    <w:p>
      <w:pPr>
        <w:pStyle w:val="ListParagraph"/>
        <w:numPr>
          <w:ilvl w:val="0"/>
          <w:numId w:val="5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5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5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5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5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5"/>
        </w:numPr>
      </w:pPr>
      <w:r>
        <w:t xml:space="preserve">Si incluye entrevistas, relatos o perfiles de miembros — quién entrevista, quién autoriza y qué se publica</w:t>
      </w:r>
    </w:p>
    <w:p>
      <w:r>
        <w:t xml:space="preserve">No hay nada que “aprobar” con quien hizo el audit SEO.</w:t>
      </w:r>
    </w:p>
    <w:p>
      <w:pPr>
        <w:pStyle w:val="Heading1"/>
      </w:pPr>
      <w:r>
        <w:t xml:space="preserve">10. Flujo posible (orientativo)</w:t>
      </w:r>
    </w:p>
    <w:p>
      <w:r>
        <w:t xml:space="preserve">Este flujo puede adaptarse u omitirse:</w:t>
      </w:r>
    </w:p>
    <w:p>
      <w:pPr>
        <w:pStyle w:val="CodeBlock"/>
        <w:spacing w:after="0" w:before="120"/>
      </w:pPr>
      <w:r>
        <w:t xml:space="preserve">Conversación interna del equipo editorial</w:t>
      </w:r>
    </w:p>
    <w:p>
      <w:pPr>
        <w:pStyle w:val="CodeBlock"/>
        <w:spacing w:after="0" w:before="0"/>
      </w:pPr>
      <w:r>
        <w:t xml:space="preserve">    → Calendario y responsables</w:t>
      </w:r>
    </w:p>
    <w:p>
      <w:pPr>
        <w:pStyle w:val="CodeBlock"/>
        <w:spacing w:after="0" w:before="0"/>
      </w:pPr>
      <w:r>
        <w:t xml:space="preserve">    → Borrador → revisión de voz (§7) → aprobación interna</w:t>
      </w:r>
    </w:p>
    <w:p>
      <w:pPr>
        <w:pStyle w:val="CodeBlock"/>
        <w:spacing w:after="0" w:before="0"/>
      </w:pPr>
      <w:r>
        <w:t xml:space="preserve">    → Entrega al equipo de publicación web</w:t>
      </w:r>
    </w:p>
    <w:p>
      <w:pPr>
        <w:pStyle w:val="CodeBlock"/>
        <w:spacing w:after="0" w:before="0"/>
      </w:pPr>
      <w:r>
        <w:t xml:space="preserve">    → Enlaces desde otras páginas del sitio, si se considera útil</w:t>
      </w:r>
    </w:p>
    <w:p>
      <w:pPr>
        <w:pStyle w:val="CodeBlock"/>
        <w:spacing w:after="220" w:before="0"/>
      </w:pPr>
      <w:r>
        <w:t xml:space="preserve">    → Siguientes artículos, a su ritmo</w:t>
      </w:r>
    </w:p>
    <w:p>
      <w:pPr>
        <w:pStyle w:val="Heading1"/>
      </w:pPr>
      <w:r>
        <w:t xml:space="preserve">11.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¿Quién sube el artículo al sitio?</w:t>
      </w:r>
      <w:r>
        <w:t xml:space="preserve"> El equipo de publicación web. La persona encargada entrega el texto revisado.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¿Se puede ignorar todo este brief?</w:t>
      </w:r>
      <w:r>
        <w:t xml:space="preserve"> Sí. Es insumo del audit SEO, no mandato editorial.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r>
        <w:rPr>
          <w:b/>
          <w:bCs/>
        </w:rPr>
        <w:t xml:space="preserve">¿Este brief pide crear la sección </w:t>
      </w:r>
      <w:r>
        <w:rPr>
          <w:rFonts w:ascii="Consolas" w:cs="Consolas" w:eastAsia="Consolas" w:hAnsi="Consolas"/>
          <w:b/>
          <w:bCs/>
          <w:color w:val="8C2B3D"/>
          <w:sz w:val="19"/>
          <w:szCs w:val="19"/>
          <w:shd w:fill="F6F0EF" w:val="clear"/>
        </w:rPr>
        <w:t xml:space="preserve">/sanghas/</w:t>
      </w:r>
      <w:r>
        <w:rPr>
          <w:b/>
          <w:bCs/>
        </w:rPr>
        <w:t xml:space="preserve"> en el sitio?</w:t>
      </w:r>
      <w:r>
        <w:t xml:space="preserve"> </w:t>
      </w:r>
      <w:r>
        <w:rPr>
          <w:b/>
          <w:bCs/>
        </w:rPr>
        <w:t xml:space="preserve">No.</w:t>
      </w:r>
      <w:r>
        <w:t xml:space="preserve"> Aquí solo se habla de </w:t>
      </w:r>
      <w:r>
        <w:rPr>
          <w:b/>
          <w:bCs/>
        </w:rPr>
        <w:t xml:space="preserve">textos para el blog</w:t>
      </w:r>
      <w:r>
        <w:t xml:space="preserve">.</w:t>
      </w:r>
    </w:p>
    <w:p>
      <w:pPr>
        <w:pStyle w:val="Heading1"/>
      </w:pPr>
      <w:r>
        <w:t xml:space="preserve">12.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368" w:bottom="1224" w:left="136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B27474"/>
        <w:sz w:val="18"/>
        <w:szCs w:val="18"/>
      </w:rPr>
      <w:t xml:space="preserve">Camino del Dharma  |  </w:t>
    </w:r>
    <w:r>
      <w:rPr>
        <w:rFonts w:ascii="Aptos" w:cs="Aptos" w:eastAsia="Aptos" w:hAnsi="Aptos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Aptos" w:cs="Aptos" w:eastAsia="Aptos" w:hAnsi="Aptos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E424B"/>
        <w:sz w:val="22"/>
        <w:szCs w:val="22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Aptos" w:cs="Aptos" w:eastAsia="Aptos" w:hAnsi="Aptos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Aptos" w:cs="Aptos" w:eastAsia="Aptos" w:hAnsi="Aptos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00" w:line="324" w:lineRule="auto"/>
    </w:pPr>
    <w:rPr>
      <w:rFonts w:ascii="Aptos" w:cs="Aptos" w:eastAsia="Aptos" w:hAnsi="Aptos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Aptos" w:cs="Aptos" w:eastAsia="Aptos" w:hAnsi="Aptos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Aptos" w:cs="Aptos" w:eastAsia="Aptos" w:hAnsi="Aptos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Consolas" w:cs="Consolas" w:eastAsia="Consolas" w:hAnsi="Consolas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Aptos" w:cs="Aptos" w:eastAsia="Aptos" w:hAnsi="Aptos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ztdn6-cg4n9isp0h6rge4" Type="http://schemas.openxmlformats.org/officeDocument/2006/relationships/hyperlink" Target="https://www.linkedin.com/in/rafaelfigueredo/" TargetMode="External"/><Relationship Id="rIdvv8kaql4w84xsv2ytmvj2" Type="http://schemas.openxmlformats.org/officeDocument/2006/relationships/hyperlink" Target="mailto:refo44@gmail.com" TargetMode="External"/><Relationship Id="rIdr_slkw7iyot6lw-jwojwj" Type="http://schemas.openxmlformats.org/officeDocument/2006/relationships/hyperlink" Target="https://caminodeldharma.org" TargetMode="External"/><Relationship Id="rId3vjmo1zgu4ljaesfk5gui" Type="http://schemas.openxmlformats.org/officeDocument/2006/relationships/hyperlink" Target="https://www.seroundtable.com/google-content-frequency-25367.html" TargetMode="External"/><Relationship Id="rIdvfscwxm31co54tvofdypn" Type="http://schemas.openxmlformats.org/officeDocument/2006/relationships/hyperlink" Target="https://iloveseo.com/seo/google-publishing-consistency-does-not-affect-rankings/" TargetMode="External"/><Relationship Id="rIdxxspycnyhj74ju3vnzfua" Type="http://schemas.openxmlformats.org/officeDocument/2006/relationships/hyperlink" Target="https://developers.google.com/search/docs/crawling-indexing/large-site-managing-crawl-budget" TargetMode="External"/><Relationship Id="rId7kv-sus_bgyug3ronrgfv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24903453ddef8baf1be7ffd65664112c86060e3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2026-07-22T22:26:19.322Z</dcterms:created>
  <dcterms:modified xsi:type="dcterms:W3CDTF">2026-07-22T22:26:19.322Z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