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jc w:val="center"/>
      </w:pPr>
      <w:r>
        <w:rPr>
          <w:rFonts w:ascii="Arial" w:cs="Arial" w:eastAsia="Arial" w:hAnsi="Arial"/>
          <w:b/>
          <w:bCs/>
          <w:color w:val="10B7B2"/>
          <w:sz w:val="44"/>
          <w:szCs w:val="44"/>
        </w:rPr>
        <w:t xml:space="preserve">Impactify</w:t>
      </w:r>
    </w:p>
    <w:p>
      <w:pPr>
        <w:bidi/>
        <w:spacing w:after="180"/>
        <w:jc w:val="center"/>
      </w:pPr>
      <w:r>
        <w:rPr>
          <w:rFonts w:ascii="Arial" w:cs="Arial" w:eastAsia="Arial" w:hAnsi="Arial"/>
          <w:b/>
          <w:bCs/>
          <w:color w:val="101828"/>
          <w:sz w:val="34"/>
          <w:szCs w:val="34"/>
        </w:rPr>
        <w:t xml:space="preserve">מדריך הצטרפות, סליקה והסכמות</w:t>
      </w:r>
    </w:p>
    <w:p>
      <w:pPr>
        <w:jc w:val="center"/>
      </w:pPr>
      <w:r>
        <w:rPr>
          <w:rFonts w:ascii="Arial" w:cs="Arial" w:eastAsia="Arial" w:hAnsi="Arial"/>
          <w:color w:val="667085"/>
          <w:sz w:val="22"/>
          <w:szCs w:val="22"/>
        </w:rPr>
        <w:t xml:space="preserve">מסמך עבודה לעמותות ולתורמים</w:t>
      </w:r>
    </w:p>
    <w:p>
      <w:pPr>
        <w:spacing w:after="550" w:before="550"/>
        <w:jc w:val="center"/>
      </w:pPr>
      <w:r>
        <w:rPr>
          <w:rFonts w:ascii="Arial" w:cs="Arial" w:eastAsia="Arial" w:hAnsi="Arial"/>
          <w:color w:val="667085"/>
          <w:sz w:val="20"/>
          <w:szCs w:val="20"/>
        </w:rPr>
        <w:t xml:space="preserve">גרסה 1.0  |  30 באוגוסט 2026</w:t>
      </w:r>
    </w:p>
    <w:p>
      <w:pPr>
        <w:shd w:fill="E7FAF8" w:val="clear"/>
        <w:bidi/>
        <w:spacing w:after="120" w:before="250"/>
        <w:ind w:left="320" w:right="320"/>
        <w:jc w:val="right"/>
      </w:pPr>
      <w:r>
        <w:rPr>
          <w:rFonts w:ascii="Arial" w:cs="Arial" w:eastAsia="Arial" w:hAnsi="Arial"/>
          <w:b/>
          <w:bCs/>
          <w:color w:val="10B7B2"/>
        </w:rPr>
        <w:t xml:space="preserve">מטרת המסמך</w:t>
      </w:r>
    </w:p>
    <w:p>
      <w:pPr>
        <w:bidi/>
        <w:jc w:val="right"/>
      </w:pPr>
      <w:r>
        <w:rPr>
          <w:rFonts w:ascii="Arial" w:cs="Arial" w:eastAsia="Arial" w:hAnsi="Arial"/>
        </w:rPr>
        <w:t xml:space="preserve">המסמך מרכז את הדרישות המעשיות לפני חיבור עמותה ל־Impactify, את פעולות ההפעלה לאחר החיבור, ואת חבילת ההסכמות והגילויים שתורם צריך לקבל. הוא מיועד לתכנון מוצר, תפעול, אבטחה ומשפט. הוא אינו חוות דעת משפטית ואינו מחליף בדיקה של עורך דין ישראלי ושל ספק הסליקה.</w:t>
      </w:r>
    </w:p>
    <w:p/>
    <w:p/>
    <w:p>
      <w:r>
        <w:br/>
      </w:r>
    </w:p>
    <w:p>
      <w:pPr>
        <w:pStyle w:val="Heading1"/>
        <w:bidi/>
        <w:jc w:val="right"/>
      </w:pPr>
      <w:r>
        <w:rPr>
          <w:rFonts w:ascii="Arial" w:cs="Arial" w:eastAsia="Arial" w:hAnsi="Arial"/>
          <w:b/>
          <w:bCs/>
          <w:color w:val="10B7B2"/>
        </w:rPr>
        <w:t xml:space="preserve">1. עמותה — מה להכין לפני החיבור</w:t>
      </w:r>
    </w:p>
    <w:p>
      <w:pPr>
        <w:bidi/>
        <w:jc w:val="right"/>
      </w:pPr>
      <w:r>
        <w:rPr>
          <w:rFonts w:ascii="Arial" w:cs="Arial" w:eastAsia="Arial" w:hAnsi="Arial"/>
        </w:rPr>
        <w:t xml:space="preserve">עמותה צריכה להגיע לחיבור כשהיא יכולה להוכיח מי היא, מי מוסמך לפעול בשמה, לאיזה חשבון מתקבלים הכספים, ואיזה ספק סליקה היא מפעילה.</w:t>
      </w:r>
    </w:p>
    <w:p>
      <w:pPr>
        <w:pStyle w:val="ListParagraph"/>
        <w:numPr>
          <w:ilvl w:val="0"/>
          <w:numId w:val="2"/>
        </w:numPr>
        <w:bidi/>
        <w:jc w:val="right"/>
      </w:pPr>
      <w:r>
        <w:rPr>
          <w:rFonts w:ascii="Arial" w:cs="Arial" w:eastAsia="Arial" w:hAnsi="Arial"/>
        </w:rPr>
        <w:t xml:space="preserve">אישור רישום ופרטי ישות: שם משפטי, מספר עמותה/ח״פ, כתובת, איש קשר ומורשי חתימה.</w:t>
      </w:r>
    </w:p>
    <w:p>
      <w:pPr>
        <w:pStyle w:val="ListParagraph"/>
        <w:numPr>
          <w:ilvl w:val="0"/>
          <w:numId w:val="2"/>
        </w:numPr>
        <w:bidi/>
        <w:jc w:val="right"/>
      </w:pPr>
      <w:r>
        <w:rPr>
          <w:rFonts w:ascii="Arial" w:cs="Arial" w:eastAsia="Arial" w:hAnsi="Arial"/>
        </w:rPr>
        <w:t xml:space="preserve">חשבון בנק על שם העמותה והסכם התקשרות עם Cardcom או Grow לקבלת סליקה באינטרנט.</w:t>
      </w:r>
    </w:p>
    <w:p>
      <w:pPr>
        <w:pStyle w:val="ListParagraph"/>
        <w:numPr>
          <w:ilvl w:val="0"/>
          <w:numId w:val="2"/>
        </w:numPr>
        <w:bidi/>
        <w:jc w:val="right"/>
      </w:pPr>
      <w:r>
        <w:rPr>
          <w:rFonts w:ascii="Arial" w:cs="Arial" w:eastAsia="Arial" w:hAnsi="Arial"/>
        </w:rPr>
        <w:t xml:space="preserve">מזהה מסוף פעיל, סביבת production, והרשאות API שיימסרו רק לערוץ שרת מאובטח — לא לדפדפן ולא למסד נתונים שנגיש למשתמשים.</w:t>
      </w:r>
    </w:p>
    <w:p>
      <w:pPr>
        <w:pStyle w:val="ListParagraph"/>
        <w:numPr>
          <w:ilvl w:val="0"/>
          <w:numId w:val="2"/>
        </w:numPr>
        <w:bidi/>
        <w:jc w:val="right"/>
      </w:pPr>
      <w:r>
        <w:rPr>
          <w:rFonts w:ascii="Arial" w:cs="Arial" w:eastAsia="Arial" w:hAnsi="Arial"/>
        </w:rPr>
        <w:t xml:space="preserve">החלטה מי מפיק קבלות, מי מטפל בהחזרים, מי עונה לפניות תורמים ומהו זמן הטיפול.</w:t>
      </w:r>
    </w:p>
    <w:p>
      <w:pPr>
        <w:pStyle w:val="ListParagraph"/>
        <w:numPr>
          <w:ilvl w:val="0"/>
          <w:numId w:val="2"/>
        </w:numPr>
        <w:bidi/>
        <w:jc w:val="right"/>
      </w:pPr>
      <w:r>
        <w:rPr>
          <w:rFonts w:ascii="Arial" w:cs="Arial" w:eastAsia="Arial" w:hAnsi="Arial"/>
        </w:rPr>
        <w:t xml:space="preserve">אישור סעיף 46, אם העמותה מבקשת לאפשר לתורמים הטבת מס, וכן תהליך דיווח ל״תרומות ישראל״.</w:t>
      </w:r>
    </w:p>
    <w:p>
      <w:pPr>
        <w:pStyle w:val="ListParagraph"/>
        <w:numPr>
          <w:ilvl w:val="0"/>
          <w:numId w:val="2"/>
        </w:numPr>
        <w:bidi/>
        <w:jc w:val="right"/>
      </w:pPr>
      <w:r>
        <w:rPr>
          <w:rFonts w:ascii="Arial" w:cs="Arial" w:eastAsia="Arial" w:hAnsi="Arial"/>
        </w:rPr>
        <w:t xml:space="preserve">נוסח תקנון תרומות, מדיניות ביטול והחזר, מדיניות פרטיות, מדיניות שמירת מידע ונוסח גילוי תפקיד Impactify.</w:t>
      </w:r>
    </w:p>
    <w:p>
      <w:pPr>
        <w:pStyle w:val="ListParagraph"/>
        <w:numPr>
          <w:ilvl w:val="0"/>
          <w:numId w:val="2"/>
        </w:numPr>
        <w:bidi/>
        <w:jc w:val="right"/>
      </w:pPr>
      <w:r>
        <w:rPr>
          <w:rFonts w:ascii="Arial" w:cs="Arial" w:eastAsia="Arial" w:hAnsi="Arial"/>
        </w:rPr>
        <w:t xml:space="preserve">אישור להפעלת token charges והוראות קבע, וכן כתובות callback/webhook שספק הסליקה יאשר.</w:t>
      </w:r>
    </w:p>
    <w:p>
      <w:pPr>
        <w:pStyle w:val="ListParagraph"/>
        <w:numPr>
          <w:ilvl w:val="0"/>
          <w:numId w:val="2"/>
        </w:numPr>
        <w:bidi/>
        <w:jc w:val="right"/>
      </w:pPr>
      <w:r>
        <w:rPr>
          <w:rFonts w:ascii="Arial" w:cs="Arial" w:eastAsia="Arial" w:hAnsi="Arial"/>
        </w:rPr>
        <w:t xml:space="preserve">כללי קמפיין: מטרות, סכומי יעד, תאריכים, מוצרים, הגבלת כמות, וכללי שימוש בכספים.</w:t>
      </w:r>
    </w:p>
    <w:p>
      <w:pPr>
        <w:pStyle w:val="Heading2"/>
        <w:bidi/>
        <w:jc w:val="right"/>
      </w:pPr>
      <w:r>
        <w:rPr>
          <w:rFonts w:ascii="Arial" w:cs="Arial" w:eastAsia="Arial" w:hAnsi="Arial"/>
          <w:b/>
          <w:bCs/>
          <w:color w:val="101828"/>
        </w:rPr>
        <w:t xml:space="preserve">שער יציאה לפני חיבור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EE6" w:sz="1"/>
              <w:left w:val="single" w:color="D8DEE6" w:sz="1"/>
              <w:bottom w:val="single" w:color="D8DEE6" w:sz="1"/>
              <w:right w:val="single" w:color="D8DEE6" w:sz="1"/>
            </w:tcBorders>
            <w:shd w:fill="10B7B2" w:val="clear"/>
            <w:tcMar>
              <w:top w:type="dxa" w:w="100"/>
              <w:left w:type="dxa" w:w="140"/>
              <w:bottom w:type="dxa" w:w="100"/>
              <w:right w:type="dxa" w:w="140"/>
            </w:tcMar>
          </w:tcPr>
          <w:p>
            <w:pPr>
              <w:bidi/>
              <w:jc w:val="right"/>
            </w:pPr>
            <w:r>
              <w:rPr>
                <w:rFonts w:ascii="Arial" w:cs="Arial" w:eastAsia="Arial" w:hAnsi="Arial"/>
                <w:b/>
                <w:bCs/>
              </w:rPr>
              <w:t xml:space="preserve">בדיקה</w:t>
            </w:r>
          </w:p>
        </w:tc>
        <w:tc>
          <w:tcPr>
            <w:tcW w:type="dxa" w:w="3120"/>
            <w:tcBorders>
              <w:top w:val="single" w:color="D8DEE6" w:sz="1"/>
              <w:left w:val="single" w:color="D8DEE6" w:sz="1"/>
              <w:bottom w:val="single" w:color="D8DEE6" w:sz="1"/>
              <w:right w:val="single" w:color="D8DEE6" w:sz="1"/>
            </w:tcBorders>
            <w:shd w:fill="10B7B2" w:val="clear"/>
            <w:tcMar>
              <w:top w:type="dxa" w:w="100"/>
              <w:left w:type="dxa" w:w="140"/>
              <w:bottom w:type="dxa" w:w="100"/>
              <w:right w:type="dxa" w:w="140"/>
            </w:tcMar>
          </w:tcPr>
          <w:p>
            <w:pPr>
              <w:bidi/>
              <w:jc w:val="right"/>
            </w:pPr>
            <w:r>
              <w:rPr>
                <w:rFonts w:ascii="Arial" w:cs="Arial" w:eastAsia="Arial" w:hAnsi="Arial"/>
                <w:b/>
                <w:bCs/>
              </w:rPr>
              <w:t xml:space="preserve">תוצאה נדרשת</w:t>
            </w:r>
          </w:p>
        </w:tc>
        <w:tc>
          <w:tcPr>
            <w:tcW w:type="dxa" w:w="3120"/>
            <w:tcBorders>
              <w:top w:val="single" w:color="D8DEE6" w:sz="1"/>
              <w:left w:val="single" w:color="D8DEE6" w:sz="1"/>
              <w:bottom w:val="single" w:color="D8DEE6" w:sz="1"/>
              <w:right w:val="single" w:color="D8DEE6" w:sz="1"/>
            </w:tcBorders>
            <w:shd w:fill="10B7B2" w:val="clear"/>
            <w:tcMar>
              <w:top w:type="dxa" w:w="100"/>
              <w:left w:type="dxa" w:w="140"/>
              <w:bottom w:type="dxa" w:w="100"/>
              <w:right w:type="dxa" w:w="140"/>
            </w:tcMar>
          </w:tcPr>
          <w:p>
            <w:pPr>
              <w:bidi/>
              <w:jc w:val="right"/>
            </w:pPr>
            <w:r>
              <w:rPr>
                <w:rFonts w:ascii="Arial" w:cs="Arial" w:eastAsia="Arial" w:hAnsi="Arial"/>
                <w:b/>
                <w:bCs/>
              </w:rPr>
              <w:t xml:space="preserve">בעל אחריות</w:t>
            </w:r>
          </w:p>
        </w:tc>
      </w:tr>
      <w:tr>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זהות העמותה</w:t>
            </w:r>
          </w:p>
        </w:tc>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מסמכים תואמים וגורם מורשה מזוהה</w:t>
            </w:r>
          </w:p>
        </w:tc>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העמותה + Impactify</w:t>
            </w:r>
          </w:p>
        </w:tc>
      </w:tr>
      <w:tr>
        <w:tc>
          <w:tcPr>
            <w:tcW w:type="dxa" w:w="3120"/>
            <w:tcBorders>
              <w:top w:val="single" w:color="D8DEE6" w:sz="1"/>
              <w:left w:val="single" w:color="D8DEE6" w:sz="1"/>
              <w:bottom w:val="single" w:color="D8DEE6" w:sz="1"/>
              <w:right w:val="single" w:color="D8DEE6" w:sz="1"/>
            </w:tcBorders>
            <w:shd w:fill="F4F6F8" w:val="clear"/>
            <w:tcMar>
              <w:top w:type="dxa" w:w="100"/>
              <w:left w:type="dxa" w:w="140"/>
              <w:bottom w:type="dxa" w:w="100"/>
              <w:right w:type="dxa" w:w="140"/>
            </w:tcMar>
          </w:tcPr>
          <w:p>
            <w:pPr>
              <w:bidi/>
              <w:jc w:val="right"/>
            </w:pPr>
            <w:r>
              <w:rPr>
                <w:rFonts w:ascii="Arial" w:cs="Arial" w:eastAsia="Arial" w:hAnsi="Arial"/>
              </w:rPr>
              <w:t xml:space="preserve">חשבון סליקה</w:t>
            </w:r>
          </w:p>
        </w:tc>
        <w:tc>
          <w:tcPr>
            <w:tcW w:type="dxa" w:w="3120"/>
            <w:tcBorders>
              <w:top w:val="single" w:color="D8DEE6" w:sz="1"/>
              <w:left w:val="single" w:color="D8DEE6" w:sz="1"/>
              <w:bottom w:val="single" w:color="D8DEE6" w:sz="1"/>
              <w:right w:val="single" w:color="D8DEE6" w:sz="1"/>
            </w:tcBorders>
            <w:shd w:fill="F4F6F8" w:val="clear"/>
            <w:tcMar>
              <w:top w:type="dxa" w:w="100"/>
              <w:left w:type="dxa" w:w="140"/>
              <w:bottom w:type="dxa" w:w="100"/>
              <w:right w:type="dxa" w:w="140"/>
            </w:tcMar>
          </w:tcPr>
          <w:p>
            <w:pPr>
              <w:bidi/>
              <w:jc w:val="right"/>
            </w:pPr>
            <w:r>
              <w:rPr>
                <w:rFonts w:ascii="Arial" w:cs="Arial" w:eastAsia="Arial" w:hAnsi="Arial"/>
              </w:rPr>
              <w:t xml:space="preserve">המסוף פעיל ומקבל חיוב בדיקה</w:t>
            </w:r>
          </w:p>
        </w:tc>
        <w:tc>
          <w:tcPr>
            <w:tcW w:type="dxa" w:w="3120"/>
            <w:tcBorders>
              <w:top w:val="single" w:color="D8DEE6" w:sz="1"/>
              <w:left w:val="single" w:color="D8DEE6" w:sz="1"/>
              <w:bottom w:val="single" w:color="D8DEE6" w:sz="1"/>
              <w:right w:val="single" w:color="D8DEE6" w:sz="1"/>
            </w:tcBorders>
            <w:shd w:fill="F4F6F8" w:val="clear"/>
            <w:tcMar>
              <w:top w:type="dxa" w:w="100"/>
              <w:left w:type="dxa" w:w="140"/>
              <w:bottom w:type="dxa" w:w="100"/>
              <w:right w:type="dxa" w:w="140"/>
            </w:tcMar>
          </w:tcPr>
          <w:p>
            <w:pPr>
              <w:bidi/>
              <w:jc w:val="right"/>
            </w:pPr>
            <w:r>
              <w:rPr>
                <w:rFonts w:ascii="Arial" w:cs="Arial" w:eastAsia="Arial" w:hAnsi="Arial"/>
              </w:rPr>
              <w:t xml:space="preserve">העמותה + הסולק</w:t>
            </w:r>
          </w:p>
        </w:tc>
      </w:tr>
      <w:tr>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קבלות</w:t>
            </w:r>
          </w:p>
        </w:tc>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מספר קבלה, פרטי תורם ודיווח מוגדרים</w:t>
            </w:r>
          </w:p>
        </w:tc>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העמותה</w:t>
            </w:r>
          </w:p>
        </w:tc>
      </w:tr>
      <w:tr>
        <w:tc>
          <w:tcPr>
            <w:tcW w:type="dxa" w:w="3120"/>
            <w:tcBorders>
              <w:top w:val="single" w:color="D8DEE6" w:sz="1"/>
              <w:left w:val="single" w:color="D8DEE6" w:sz="1"/>
              <w:bottom w:val="single" w:color="D8DEE6" w:sz="1"/>
              <w:right w:val="single" w:color="D8DEE6" w:sz="1"/>
            </w:tcBorders>
            <w:shd w:fill="F4F6F8" w:val="clear"/>
            <w:tcMar>
              <w:top w:type="dxa" w:w="100"/>
              <w:left w:type="dxa" w:w="140"/>
              <w:bottom w:type="dxa" w:w="100"/>
              <w:right w:type="dxa" w:w="140"/>
            </w:tcMar>
          </w:tcPr>
          <w:p>
            <w:pPr>
              <w:bidi/>
              <w:jc w:val="right"/>
            </w:pPr>
            <w:r>
              <w:rPr>
                <w:rFonts w:ascii="Arial" w:cs="Arial" w:eastAsia="Arial" w:hAnsi="Arial"/>
              </w:rPr>
              <w:t xml:space="preserve">Webhook</w:t>
            </w:r>
          </w:p>
        </w:tc>
        <w:tc>
          <w:tcPr>
            <w:tcW w:type="dxa" w:w="3120"/>
            <w:tcBorders>
              <w:top w:val="single" w:color="D8DEE6" w:sz="1"/>
              <w:left w:val="single" w:color="D8DEE6" w:sz="1"/>
              <w:bottom w:val="single" w:color="D8DEE6" w:sz="1"/>
              <w:right w:val="single" w:color="D8DEE6" w:sz="1"/>
            </w:tcBorders>
            <w:shd w:fill="F4F6F8" w:val="clear"/>
            <w:tcMar>
              <w:top w:type="dxa" w:w="100"/>
              <w:left w:type="dxa" w:w="140"/>
              <w:bottom w:type="dxa" w:w="100"/>
              <w:right w:type="dxa" w:w="140"/>
            </w:tcMar>
          </w:tcPr>
          <w:p>
            <w:pPr>
              <w:bidi/>
              <w:jc w:val="right"/>
            </w:pPr>
            <w:r>
              <w:rPr>
                <w:rFonts w:ascii="Arial" w:cs="Arial" w:eastAsia="Arial" w:hAnsi="Arial"/>
              </w:rPr>
              <w:t xml:space="preserve">אירועי הצלחה, כשל, החזר וביטול מגיעים ונחתמים</w:t>
            </w:r>
          </w:p>
        </w:tc>
        <w:tc>
          <w:tcPr>
            <w:tcW w:type="dxa" w:w="3120"/>
            <w:tcBorders>
              <w:top w:val="single" w:color="D8DEE6" w:sz="1"/>
              <w:left w:val="single" w:color="D8DEE6" w:sz="1"/>
              <w:bottom w:val="single" w:color="D8DEE6" w:sz="1"/>
              <w:right w:val="single" w:color="D8DEE6" w:sz="1"/>
            </w:tcBorders>
            <w:shd w:fill="F4F6F8" w:val="clear"/>
            <w:tcMar>
              <w:top w:type="dxa" w:w="100"/>
              <w:left w:type="dxa" w:w="140"/>
              <w:bottom w:type="dxa" w:w="100"/>
              <w:right w:type="dxa" w:w="140"/>
            </w:tcMar>
          </w:tcPr>
          <w:p>
            <w:pPr>
              <w:bidi/>
              <w:jc w:val="right"/>
            </w:pPr>
            <w:r>
              <w:rPr>
                <w:rFonts w:ascii="Arial" w:cs="Arial" w:eastAsia="Arial" w:hAnsi="Arial"/>
              </w:rPr>
              <w:t xml:space="preserve">Impactify + הסולק</w:t>
            </w:r>
          </w:p>
        </w:tc>
      </w:tr>
      <w:tr>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אבטחה</w:t>
            </w:r>
          </w:p>
        </w:tc>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אין PAN/CVV במערכת; נשמר reference/token בלבד</w:t>
            </w:r>
          </w:p>
        </w:tc>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Impactify</w:t>
            </w:r>
          </w:p>
        </w:tc>
      </w:tr>
    </w:tbl>
    <w:p>
      <w:pPr>
        <w:pStyle w:val="Heading1"/>
        <w:bidi/>
        <w:jc w:val="right"/>
      </w:pPr>
      <w:r>
        <w:rPr>
          <w:rFonts w:ascii="Arial" w:cs="Arial" w:eastAsia="Arial" w:hAnsi="Arial"/>
          <w:b/>
          <w:bCs/>
          <w:color w:val="10B7B2"/>
        </w:rPr>
        <w:t xml:space="preserve">2. עמותה — מה לבצע בזמן ואחרי החיבור</w:t>
      </w:r>
    </w:p>
    <w:p>
      <w:pPr>
        <w:pStyle w:val="Heading2"/>
        <w:bidi/>
        <w:jc w:val="right"/>
      </w:pPr>
      <w:r>
        <w:rPr>
          <w:rFonts w:ascii="Arial" w:cs="Arial" w:eastAsia="Arial" w:hAnsi="Arial"/>
          <w:b/>
          <w:bCs/>
          <w:color w:val="101828"/>
        </w:rPr>
        <w:t xml:space="preserve">בזמן החיבור</w:t>
      </w:r>
    </w:p>
    <w:p>
      <w:pPr>
        <w:pStyle w:val="ListParagraph"/>
        <w:numPr>
          <w:ilvl w:val="0"/>
          <w:numId w:val="3"/>
        </w:numPr>
        <w:bidi/>
        <w:jc w:val="right"/>
      </w:pPr>
      <w:r>
        <w:rPr>
          <w:rFonts w:ascii="Arial" w:cs="Arial" w:eastAsia="Arial" w:hAnsi="Arial"/>
        </w:rPr>
        <w:t xml:space="preserve">להיכנס לפרופיל מנהל העמותה ולבחור Cardcom או Grow.</w:t>
      </w:r>
    </w:p>
    <w:p>
      <w:pPr>
        <w:pStyle w:val="ListParagraph"/>
        <w:numPr>
          <w:ilvl w:val="0"/>
          <w:numId w:val="3"/>
        </w:numPr>
        <w:bidi/>
        <w:jc w:val="right"/>
      </w:pPr>
      <w:r>
        <w:rPr>
          <w:rFonts w:ascii="Arial" w:cs="Arial" w:eastAsia="Arial" w:hAnsi="Arial"/>
        </w:rPr>
        <w:t xml:space="preserve">להזין מזהה מסוף בלבד ולשמור את הרשומה במצב “נדרש אימות”.</w:t>
      </w:r>
    </w:p>
    <w:p>
      <w:pPr>
        <w:pStyle w:val="ListParagraph"/>
        <w:numPr>
          <w:ilvl w:val="0"/>
          <w:numId w:val="3"/>
        </w:numPr>
        <w:bidi/>
        <w:jc w:val="right"/>
      </w:pPr>
      <w:r>
        <w:rPr>
          <w:rFonts w:ascii="Arial" w:cs="Arial" w:eastAsia="Arial" w:hAnsi="Arial"/>
        </w:rPr>
        <w:t xml:space="preserve">להגדיר בצד הספק את כתובות ה־callback וה־webhook של Impactify.</w:t>
      </w:r>
    </w:p>
    <w:p>
      <w:pPr>
        <w:pStyle w:val="ListParagraph"/>
        <w:numPr>
          <w:ilvl w:val="0"/>
          <w:numId w:val="3"/>
        </w:numPr>
        <w:bidi/>
        <w:jc w:val="right"/>
      </w:pPr>
      <w:r>
        <w:rPr>
          <w:rFonts w:ascii="Arial" w:cs="Arial" w:eastAsia="Arial" w:hAnsi="Arial"/>
        </w:rPr>
        <w:t xml:space="preserve">להעביר credentials וחתימות webhook למנגנון server-side מאובטח, מחוץ לקוד ולדפדפן.</w:t>
      </w:r>
    </w:p>
    <w:p>
      <w:pPr>
        <w:pStyle w:val="ListParagraph"/>
        <w:numPr>
          <w:ilvl w:val="0"/>
          <w:numId w:val="3"/>
        </w:numPr>
        <w:bidi/>
        <w:jc w:val="right"/>
      </w:pPr>
      <w:r>
        <w:rPr>
          <w:rFonts w:ascii="Arial" w:cs="Arial" w:eastAsia="Arial" w:hAnsi="Arial"/>
        </w:rPr>
        <w:t xml:space="preserve">להפעיל, בכפוף להסכם הספק, חיוב token עבור תרומה חוזרת ולתאם את כללי 3DS, כשל וחיוב חוזר.</w:t>
      </w:r>
    </w:p>
    <w:p>
      <w:pPr>
        <w:pStyle w:val="Heading2"/>
        <w:bidi/>
        <w:jc w:val="right"/>
      </w:pPr>
      <w:r>
        <w:rPr>
          <w:rFonts w:ascii="Arial" w:cs="Arial" w:eastAsia="Arial" w:hAnsi="Arial"/>
          <w:b/>
          <w:bCs/>
          <w:color w:val="101828"/>
        </w:rPr>
        <w:t xml:space="preserve">אחרי החיבור</w:t>
      </w:r>
    </w:p>
    <w:p>
      <w:pPr>
        <w:pStyle w:val="ListParagraph"/>
        <w:numPr>
          <w:ilvl w:val="0"/>
          <w:numId w:val="2"/>
        </w:numPr>
        <w:bidi/>
        <w:jc w:val="right"/>
      </w:pPr>
      <w:r>
        <w:rPr>
          <w:rFonts w:ascii="Arial" w:cs="Arial" w:eastAsia="Arial" w:hAnsi="Arial"/>
        </w:rPr>
        <w:t xml:space="preserve">לבצע עסקה בסביבת בדיקה ולאמת שסכום, עמותה, קמפיין, תורם וקבלה נקלטו נכון.</w:t>
      </w:r>
    </w:p>
    <w:p>
      <w:pPr>
        <w:pStyle w:val="ListParagraph"/>
        <w:numPr>
          <w:ilvl w:val="0"/>
          <w:numId w:val="2"/>
        </w:numPr>
        <w:bidi/>
        <w:jc w:val="right"/>
      </w:pPr>
      <w:r>
        <w:rPr>
          <w:rFonts w:ascii="Arial" w:cs="Arial" w:eastAsia="Arial" w:hAnsi="Arial"/>
        </w:rPr>
        <w:t xml:space="preserve">לאמת webhook מול API של הסולק באופן עצמאי; לא לסמוך על redirect בדפדפן בלבד.</w:t>
      </w:r>
    </w:p>
    <w:p>
      <w:pPr>
        <w:pStyle w:val="ListParagraph"/>
        <w:numPr>
          <w:ilvl w:val="0"/>
          <w:numId w:val="2"/>
        </w:numPr>
        <w:bidi/>
        <w:jc w:val="right"/>
      </w:pPr>
      <w:r>
        <w:rPr>
          <w:rFonts w:ascii="Arial" w:cs="Arial" w:eastAsia="Arial" w:hAnsi="Arial"/>
        </w:rPr>
        <w:t xml:space="preserve">להפיק קבלה עבור כל חיוב מוצלח ולשמור מזהה עסקה, סטטוס ואסמכתא.</w:t>
      </w:r>
    </w:p>
    <w:p>
      <w:pPr>
        <w:pStyle w:val="ListParagraph"/>
        <w:numPr>
          <w:ilvl w:val="0"/>
          <w:numId w:val="2"/>
        </w:numPr>
        <w:bidi/>
        <w:jc w:val="right"/>
      </w:pPr>
      <w:r>
        <w:rPr>
          <w:rFonts w:ascii="Arial" w:cs="Arial" w:eastAsia="Arial" w:hAnsi="Arial"/>
        </w:rPr>
        <w:t xml:space="preserve">להפעיל את המסוף רק לאחר שכל בדיקות האבטחה, הקבלות, ההחזרים וההתראות עברו.</w:t>
      </w:r>
    </w:p>
    <w:p>
      <w:pPr>
        <w:pStyle w:val="ListParagraph"/>
        <w:numPr>
          <w:ilvl w:val="0"/>
          <w:numId w:val="2"/>
        </w:numPr>
        <w:bidi/>
        <w:jc w:val="right"/>
      </w:pPr>
      <w:r>
        <w:rPr>
          <w:rFonts w:ascii="Arial" w:cs="Arial" w:eastAsia="Arial" w:hAnsi="Arial"/>
        </w:rPr>
        <w:t xml:space="preserve">לנטר חיובים שנכשלו, retries, ביטולים והחזרים, ולתעד מי טיפל בכל אירוע.</w:t>
      </w:r>
    </w:p>
    <w:p>
      <w:pPr>
        <w:pStyle w:val="ListParagraph"/>
        <w:numPr>
          <w:ilvl w:val="0"/>
          <w:numId w:val="2"/>
        </w:numPr>
        <w:bidi/>
        <w:jc w:val="right"/>
      </w:pPr>
      <w:r>
        <w:rPr>
          <w:rFonts w:ascii="Arial" w:cs="Arial" w:eastAsia="Arial" w:hAnsi="Arial"/>
        </w:rPr>
        <w:t xml:space="preserve">להפיק דוחות לעמותה לפי קמפיין, קהילה, תאריך ואמצעי תשלום; הכספים עצמם מסולקים ישירות לעמותה לפי הסכם הספק.</w:t>
      </w:r>
    </w:p>
    <w:p>
      <w:pPr>
        <w:bidi/>
        <w:jc w:val="right"/>
      </w:pPr>
      <w:r>
        <w:rPr>
          <w:rFonts w:ascii="Arial" w:cs="Arial" w:eastAsia="Arial" w:hAnsi="Arial"/>
        </w:rPr>
        <w:t xml:space="preserve">במודל המתוכנן, Impactify מנהלת את חוויית התרומה ואת תזמון החיובים החוזרים, אך אינה מחזיקה כספי עמותות ואינה שומרת פרטי כרטיס. כל חיוב חודשי נשלח בנפרד לספק הסליקה; לא נוצרת התחייבות שנתית מראש, אך כל חיוב כפוף לאישור חברת האשראי.</w:t>
      </w:r>
    </w:p>
    <w:p>
      <w:pPr>
        <w:pStyle w:val="Heading1"/>
        <w:bidi/>
        <w:jc w:val="right"/>
      </w:pPr>
      <w:r>
        <w:rPr>
          <w:rFonts w:ascii="Arial" w:cs="Arial" w:eastAsia="Arial" w:hAnsi="Arial"/>
          <w:b/>
          <w:bCs/>
          <w:color w:val="10B7B2"/>
        </w:rPr>
        <w:t xml:space="preserve">3. תורם — חבילת ההסכמות בעת תרומה</w:t>
      </w:r>
    </w:p>
    <w:p>
      <w:pPr>
        <w:bidi/>
        <w:jc w:val="right"/>
      </w:pPr>
      <w:r>
        <w:rPr>
          <w:rFonts w:ascii="Arial" w:cs="Arial" w:eastAsia="Arial" w:hAnsi="Arial"/>
        </w:rPr>
        <w:t xml:space="preserve">המטרה היא לאפשר לתורם לאשר מראש את כל הפעולות הסבירות שיידרשו בהמשך, בלי להחתים אותו מחדש על כל קבלה או חיוב. עם זאת, הסכמה כללית ובלתי מוגבלת אינה תחליף להסכמה מפורשת לפעולה מהותית חדשה.</w:t>
      </w:r>
    </w:p>
    <w:p>
      <w:pPr>
        <w:pStyle w:val="Heading2"/>
        <w:bidi/>
        <w:jc w:val="right"/>
      </w:pPr>
      <w:r>
        <w:rPr>
          <w:rFonts w:ascii="Arial" w:cs="Arial" w:eastAsia="Arial" w:hAnsi="Arial"/>
          <w:b/>
          <w:bCs/>
          <w:color w:val="101828"/>
        </w:rPr>
        <w:t xml:space="preserve">אישורים נדרשים במסך התשלום</w:t>
      </w:r>
    </w:p>
    <w:p>
      <w:pPr>
        <w:pStyle w:val="ListParagraph"/>
        <w:numPr>
          <w:ilvl w:val="0"/>
          <w:numId w:val="2"/>
        </w:numPr>
        <w:bidi/>
        <w:jc w:val="right"/>
      </w:pPr>
      <w:r>
        <w:rPr>
          <w:rFonts w:ascii="Arial" w:cs="Arial" w:eastAsia="Arial" w:hAnsi="Arial"/>
        </w:rPr>
        <w:t xml:space="preserve">תנאי התרומה: העמותה, הקמפיין, הסכום, מטרת התרומה והאם נבחר מוצר.</w:t>
      </w:r>
    </w:p>
    <w:p>
      <w:pPr>
        <w:pStyle w:val="ListParagraph"/>
        <w:numPr>
          <w:ilvl w:val="0"/>
          <w:numId w:val="2"/>
        </w:numPr>
        <w:bidi/>
        <w:jc w:val="right"/>
      </w:pPr>
      <w:r>
        <w:rPr>
          <w:rFonts w:ascii="Arial" w:cs="Arial" w:eastAsia="Arial" w:hAnsi="Arial"/>
        </w:rPr>
        <w:t xml:space="preserve">עיבוד התשלום: מעבר לעמוד מאובטח של Cardcom/Grow, ללא הזנת PAN או CVV ב־Impactify.</w:t>
      </w:r>
    </w:p>
    <w:p>
      <w:pPr>
        <w:pStyle w:val="ListParagraph"/>
        <w:numPr>
          <w:ilvl w:val="0"/>
          <w:numId w:val="2"/>
        </w:numPr>
        <w:bidi/>
        <w:jc w:val="right"/>
      </w:pPr>
      <w:r>
        <w:rPr>
          <w:rFonts w:ascii="Arial" w:cs="Arial" w:eastAsia="Arial" w:hAnsi="Arial"/>
        </w:rPr>
        <w:t xml:space="preserve">שמירת אמצעי תשלום באמצעות token אצל הסולק, לצורך חיובים שהוגדרו ואושרו.</w:t>
      </w:r>
    </w:p>
    <w:p>
      <w:pPr>
        <w:pStyle w:val="ListParagraph"/>
        <w:numPr>
          <w:ilvl w:val="0"/>
          <w:numId w:val="2"/>
        </w:numPr>
        <w:bidi/>
        <w:jc w:val="right"/>
      </w:pPr>
      <w:r>
        <w:rPr>
          <w:rFonts w:ascii="Arial" w:cs="Arial" w:eastAsia="Arial" w:hAnsi="Arial"/>
        </w:rPr>
        <w:t xml:space="preserve">הוראת קבע: סכום, תדירות, תאריך התחלה, תאריך סיום או “עד לביטול”, שם העמותה, דרך ביטול וכללי כשל.</w:t>
      </w:r>
    </w:p>
    <w:p>
      <w:pPr>
        <w:pStyle w:val="ListParagraph"/>
        <w:numPr>
          <w:ilvl w:val="0"/>
          <w:numId w:val="2"/>
        </w:numPr>
        <w:bidi/>
        <w:jc w:val="right"/>
      </w:pPr>
      <w:r>
        <w:rPr>
          <w:rFonts w:ascii="Arial" w:cs="Arial" w:eastAsia="Arial" w:hAnsi="Arial"/>
        </w:rPr>
        <w:t xml:space="preserve">קבלה ודיווח מס: קבלת קבלה דיגיטלית ומסירת פרטי תורם לצורך דיווח, אם התורם מבקש הטבת מס.</w:t>
      </w:r>
    </w:p>
    <w:p>
      <w:pPr>
        <w:pStyle w:val="ListParagraph"/>
        <w:numPr>
          <w:ilvl w:val="0"/>
          <w:numId w:val="2"/>
        </w:numPr>
        <w:bidi/>
        <w:jc w:val="right"/>
      </w:pPr>
      <w:r>
        <w:rPr>
          <w:rFonts w:ascii="Arial" w:cs="Arial" w:eastAsia="Arial" w:hAnsi="Arial"/>
        </w:rPr>
        <w:t xml:space="preserve">מדיניות פרטיות: מטרות השימוש, העברת מידע לעמותה ולסולק, תקופת שמירה וזכויות התורם.</w:t>
      </w:r>
    </w:p>
    <w:p>
      <w:pPr>
        <w:pStyle w:val="ListParagraph"/>
        <w:numPr>
          <w:ilvl w:val="0"/>
          <w:numId w:val="2"/>
        </w:numPr>
        <w:bidi/>
        <w:jc w:val="right"/>
      </w:pPr>
      <w:r>
        <w:rPr>
          <w:rFonts w:ascii="Arial" w:cs="Arial" w:eastAsia="Arial" w:hAnsi="Arial"/>
        </w:rPr>
        <w:t xml:space="preserve">דיוור שיווקי: checkbox נפרד, לא מסומן מראש, שאינו תנאי לתרומה.</w:t>
      </w:r>
    </w:p>
    <w:p>
      <w:pPr>
        <w:pStyle w:val="Heading2"/>
        <w:bidi/>
        <w:jc w:val="right"/>
      </w:pPr>
      <w:r>
        <w:rPr>
          <w:rFonts w:ascii="Arial" w:cs="Arial" w:eastAsia="Arial" w:hAnsi="Arial"/>
          <w:b/>
          <w:bCs/>
          <w:color w:val="101828"/>
        </w:rPr>
        <w:t xml:space="preserve">נוסח מומלץ להוראת קבע</w:t>
      </w:r>
    </w:p>
    <w:p>
      <w:pPr>
        <w:shd w:fill="E7FAF8" w:val="clear"/>
        <w:bidi/>
        <w:spacing w:after="180" w:before="120"/>
        <w:ind w:left="320" w:right="320"/>
        <w:jc w:val="right"/>
      </w:pPr>
      <w:r>
        <w:rPr>
          <w:rFonts w:ascii="Arial" w:cs="Arial" w:eastAsia="Arial" w:hAnsi="Arial"/>
          <w:color w:val="101828"/>
        </w:rPr>
        <w:t xml:space="preserve">“אני מאשר/ת ל־Impactify, בשם העמותה שנבחרה, לבצע חיוב חוזר בסך ___ ₪ בתדירות חודשית, החל מתאריך ___, עד לתאריך ___ / עד לביטול על ידי. כל חיוב יבוצע בנפרד ובכפוף לאישור חברת האשראי. ניתן לבטל בכל עת דרך האזור האישי או באמצעות שירות הלקוחות.”</w:t>
      </w:r>
    </w:p>
    <w:p>
      <w:pPr>
        <w:bidi/>
        <w:jc w:val="right"/>
      </w:pPr>
      <w:r>
        <w:rPr>
          <w:rFonts w:ascii="Arial" w:cs="Arial" w:eastAsia="Arial" w:hAnsi="Arial"/>
        </w:rPr>
        <w:t xml:space="preserve">אין להשתמש בנוסח שמאפשר ל־Impactify לחייב “כל סכום בעתיד” או להעביר את התרומה לעמותה אחרת ללא אישור. שינוי משמעותי בסכום, בתדירות, במטרה או בזהות העמותה דורש אישור חדש.</w:t>
      </w:r>
    </w:p>
    <w:p>
      <w:pPr>
        <w:pStyle w:val="Heading1"/>
        <w:bidi/>
        <w:jc w:val="right"/>
      </w:pPr>
      <w:r>
        <w:rPr>
          <w:rFonts w:ascii="Arial" w:cs="Arial" w:eastAsia="Arial" w:hAnsi="Arial"/>
          <w:b/>
          <w:bCs/>
          <w:color w:val="10B7B2"/>
        </w:rPr>
        <w:t xml:space="preserve">4. תורם — מה קורה אחרי האישור</w:t>
      </w:r>
    </w:p>
    <w:p>
      <w:pPr>
        <w:pStyle w:val="ListParagraph"/>
        <w:numPr>
          <w:ilvl w:val="0"/>
          <w:numId w:val="3"/>
        </w:numPr>
        <w:bidi/>
        <w:jc w:val="right"/>
      </w:pPr>
      <w:r>
        <w:rPr>
          <w:rFonts w:ascii="Arial" w:cs="Arial" w:eastAsia="Arial" w:hAnsi="Arial"/>
        </w:rPr>
        <w:t xml:space="preserve">התורם מקבל אישור עסקה וקבלה עבור כל חיוב מוצלח.</w:t>
      </w:r>
    </w:p>
    <w:p>
      <w:pPr>
        <w:pStyle w:val="ListParagraph"/>
        <w:numPr>
          <w:ilvl w:val="0"/>
          <w:numId w:val="3"/>
        </w:numPr>
        <w:bidi/>
        <w:jc w:val="right"/>
      </w:pPr>
      <w:r>
        <w:rPr>
          <w:rFonts w:ascii="Arial" w:cs="Arial" w:eastAsia="Arial" w:hAnsi="Arial"/>
        </w:rPr>
        <w:t xml:space="preserve">באזור האישי מוצגים העמותה, הקמפיין, הסכום, התדירות, מועד החיוב הבא, סטטוס ודרך ביטול.</w:t>
      </w:r>
    </w:p>
    <w:p>
      <w:pPr>
        <w:pStyle w:val="ListParagraph"/>
        <w:numPr>
          <w:ilvl w:val="0"/>
          <w:numId w:val="3"/>
        </w:numPr>
        <w:bidi/>
        <w:jc w:val="right"/>
      </w:pPr>
      <w:r>
        <w:rPr>
          <w:rFonts w:ascii="Arial" w:cs="Arial" w:eastAsia="Arial" w:hAnsi="Arial"/>
        </w:rPr>
        <w:t xml:space="preserve">לפני שינוי מהותי נשלחת הודעה ומוצגת בקשת אישור חדשה.</w:t>
      </w:r>
    </w:p>
    <w:p>
      <w:pPr>
        <w:pStyle w:val="ListParagraph"/>
        <w:numPr>
          <w:ilvl w:val="0"/>
          <w:numId w:val="3"/>
        </w:numPr>
        <w:bidi/>
        <w:jc w:val="right"/>
      </w:pPr>
      <w:r>
        <w:rPr>
          <w:rFonts w:ascii="Arial" w:cs="Arial" w:eastAsia="Arial" w:hAnsi="Arial"/>
        </w:rPr>
        <w:t xml:space="preserve">בכשל חיוב נשלחת הודעת שירות, מופעל retry לפי מדיניות מתועדת, והתורם יכול לעדכן אמצעי תשלום.</w:t>
      </w:r>
    </w:p>
    <w:p>
      <w:pPr>
        <w:pStyle w:val="ListParagraph"/>
        <w:numPr>
          <w:ilvl w:val="0"/>
          <w:numId w:val="3"/>
        </w:numPr>
        <w:bidi/>
        <w:jc w:val="right"/>
      </w:pPr>
      <w:r>
        <w:rPr>
          <w:rFonts w:ascii="Arial" w:cs="Arial" w:eastAsia="Arial" w:hAnsi="Arial"/>
        </w:rPr>
        <w:t xml:space="preserve">ביטול הוראת קבע עוצר חיובים עתידיים ואינו מוחק את היסטוריית התרומות או הקבלות.</w:t>
      </w:r>
    </w:p>
    <w:p>
      <w:pPr>
        <w:pStyle w:val="ListParagraph"/>
        <w:numPr>
          <w:ilvl w:val="0"/>
          <w:numId w:val="3"/>
        </w:numPr>
        <w:bidi/>
        <w:jc w:val="right"/>
      </w:pPr>
      <w:r>
        <w:rPr>
          <w:rFonts w:ascii="Arial" w:cs="Arial" w:eastAsia="Arial" w:hAnsi="Arial"/>
        </w:rPr>
        <w:t xml:space="preserve">בקשת החזר נרשמת עם סטטוס, אסמכתא ותיעוד הטיפול; ביצוע ההחזר תלוי בספק הסליקה.</w:t>
      </w:r>
    </w:p>
    <w:p>
      <w:pPr>
        <w:pStyle w:val="Heading1"/>
        <w:bidi/>
        <w:jc w:val="right"/>
      </w:pPr>
      <w:r>
        <w:rPr>
          <w:rFonts w:ascii="Arial" w:cs="Arial" w:eastAsia="Arial" w:hAnsi="Arial"/>
          <w:b/>
          <w:bCs/>
          <w:color w:val="10B7B2"/>
        </w:rPr>
        <w:t xml:space="preserve">5. תיעוד, אבטחה ובקרות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EE6" w:sz="1"/>
              <w:left w:val="single" w:color="D8DEE6" w:sz="1"/>
              <w:bottom w:val="single" w:color="D8DEE6" w:sz="1"/>
              <w:right w:val="single" w:color="D8DEE6" w:sz="1"/>
            </w:tcBorders>
            <w:shd w:fill="10B7B2" w:val="clear"/>
            <w:tcMar>
              <w:top w:type="dxa" w:w="100"/>
              <w:left w:type="dxa" w:w="140"/>
              <w:bottom w:type="dxa" w:w="100"/>
              <w:right w:type="dxa" w:w="140"/>
            </w:tcMar>
          </w:tcPr>
          <w:p>
            <w:pPr>
              <w:bidi/>
              <w:jc w:val="right"/>
            </w:pPr>
            <w:r>
              <w:rPr>
                <w:rFonts w:ascii="Arial" w:cs="Arial" w:eastAsia="Arial" w:hAnsi="Arial"/>
                <w:b/>
                <w:bCs/>
              </w:rPr>
              <w:t xml:space="preserve">מה מתעדים</w:t>
            </w:r>
          </w:p>
        </w:tc>
        <w:tc>
          <w:tcPr>
            <w:tcW w:type="dxa" w:w="3120"/>
            <w:tcBorders>
              <w:top w:val="single" w:color="D8DEE6" w:sz="1"/>
              <w:left w:val="single" w:color="D8DEE6" w:sz="1"/>
              <w:bottom w:val="single" w:color="D8DEE6" w:sz="1"/>
              <w:right w:val="single" w:color="D8DEE6" w:sz="1"/>
            </w:tcBorders>
            <w:shd w:fill="10B7B2" w:val="clear"/>
            <w:tcMar>
              <w:top w:type="dxa" w:w="100"/>
              <w:left w:type="dxa" w:w="140"/>
              <w:bottom w:type="dxa" w:w="100"/>
              <w:right w:type="dxa" w:w="140"/>
            </w:tcMar>
          </w:tcPr>
          <w:p>
            <w:pPr>
              <w:bidi/>
              <w:jc w:val="right"/>
            </w:pPr>
            <w:r>
              <w:rPr>
                <w:rFonts w:ascii="Arial" w:cs="Arial" w:eastAsia="Arial" w:hAnsi="Arial"/>
                <w:b/>
                <w:bCs/>
              </w:rPr>
              <w:t xml:space="preserve">איך</w:t>
            </w:r>
          </w:p>
        </w:tc>
        <w:tc>
          <w:tcPr>
            <w:tcW w:type="dxa" w:w="3120"/>
            <w:tcBorders>
              <w:top w:val="single" w:color="D8DEE6" w:sz="1"/>
              <w:left w:val="single" w:color="D8DEE6" w:sz="1"/>
              <w:bottom w:val="single" w:color="D8DEE6" w:sz="1"/>
              <w:right w:val="single" w:color="D8DEE6" w:sz="1"/>
            </w:tcBorders>
            <w:shd w:fill="10B7B2" w:val="clear"/>
            <w:tcMar>
              <w:top w:type="dxa" w:w="100"/>
              <w:left w:type="dxa" w:w="140"/>
              <w:bottom w:type="dxa" w:w="100"/>
              <w:right w:type="dxa" w:w="140"/>
            </w:tcMar>
          </w:tcPr>
          <w:p>
            <w:pPr>
              <w:bidi/>
              <w:jc w:val="right"/>
            </w:pPr>
            <w:r>
              <w:rPr>
                <w:rFonts w:ascii="Arial" w:cs="Arial" w:eastAsia="Arial" w:hAnsi="Arial"/>
                <w:b/>
                <w:bCs/>
              </w:rPr>
              <w:t xml:space="preserve">מה לא לשמור</w:t>
            </w:r>
          </w:p>
        </w:tc>
      </w:tr>
      <w:tr>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הסכמה</w:t>
            </w:r>
          </w:p>
        </w:tc>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נוסח, גרסה, זמן, מזהה משתמש, קמפיין ו־IP בהתאם למדיניות</w:t>
            </w:r>
          </w:p>
        </w:tc>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לא לשמור צילום כרטיס</w:t>
            </w:r>
          </w:p>
        </w:tc>
      </w:tr>
      <w:tr>
        <w:tc>
          <w:tcPr>
            <w:tcW w:type="dxa" w:w="3120"/>
            <w:tcBorders>
              <w:top w:val="single" w:color="D8DEE6" w:sz="1"/>
              <w:left w:val="single" w:color="D8DEE6" w:sz="1"/>
              <w:bottom w:val="single" w:color="D8DEE6" w:sz="1"/>
              <w:right w:val="single" w:color="D8DEE6" w:sz="1"/>
            </w:tcBorders>
            <w:shd w:fill="F4F6F8" w:val="clear"/>
            <w:tcMar>
              <w:top w:type="dxa" w:w="100"/>
              <w:left w:type="dxa" w:w="140"/>
              <w:bottom w:type="dxa" w:w="100"/>
              <w:right w:type="dxa" w:w="140"/>
            </w:tcMar>
          </w:tcPr>
          <w:p>
            <w:pPr>
              <w:bidi/>
              <w:jc w:val="right"/>
            </w:pPr>
            <w:r>
              <w:rPr>
                <w:rFonts w:ascii="Arial" w:cs="Arial" w:eastAsia="Arial" w:hAnsi="Arial"/>
              </w:rPr>
              <w:t xml:space="preserve">עסקה</w:t>
            </w:r>
          </w:p>
        </w:tc>
        <w:tc>
          <w:tcPr>
            <w:tcW w:type="dxa" w:w="3120"/>
            <w:tcBorders>
              <w:top w:val="single" w:color="D8DEE6" w:sz="1"/>
              <w:left w:val="single" w:color="D8DEE6" w:sz="1"/>
              <w:bottom w:val="single" w:color="D8DEE6" w:sz="1"/>
              <w:right w:val="single" w:color="D8DEE6" w:sz="1"/>
            </w:tcBorders>
            <w:shd w:fill="F4F6F8" w:val="clear"/>
            <w:tcMar>
              <w:top w:type="dxa" w:w="100"/>
              <w:left w:type="dxa" w:w="140"/>
              <w:bottom w:type="dxa" w:w="100"/>
              <w:right w:type="dxa" w:w="140"/>
            </w:tcMar>
          </w:tcPr>
          <w:p>
            <w:pPr>
              <w:bidi/>
              <w:jc w:val="right"/>
            </w:pPr>
            <w:r>
              <w:rPr>
                <w:rFonts w:ascii="Arial" w:cs="Arial" w:eastAsia="Arial" w:hAnsi="Arial"/>
              </w:rPr>
              <w:t xml:space="preserve">מזהה ספק, סכום, סטטוס, קבלה, עמותה וקמפיין</w:t>
            </w:r>
          </w:p>
        </w:tc>
        <w:tc>
          <w:tcPr>
            <w:tcW w:type="dxa" w:w="3120"/>
            <w:tcBorders>
              <w:top w:val="single" w:color="D8DEE6" w:sz="1"/>
              <w:left w:val="single" w:color="D8DEE6" w:sz="1"/>
              <w:bottom w:val="single" w:color="D8DEE6" w:sz="1"/>
              <w:right w:val="single" w:color="D8DEE6" w:sz="1"/>
            </w:tcBorders>
            <w:shd w:fill="F4F6F8" w:val="clear"/>
            <w:tcMar>
              <w:top w:type="dxa" w:w="100"/>
              <w:left w:type="dxa" w:w="140"/>
              <w:bottom w:type="dxa" w:w="100"/>
              <w:right w:type="dxa" w:w="140"/>
            </w:tcMar>
          </w:tcPr>
          <w:p>
            <w:pPr>
              <w:bidi/>
              <w:jc w:val="right"/>
            </w:pPr>
            <w:r>
              <w:rPr>
                <w:rFonts w:ascii="Arial" w:cs="Arial" w:eastAsia="Arial" w:hAnsi="Arial"/>
              </w:rPr>
              <w:t xml:space="preserve">לא לשמור PAN או CVV</w:t>
            </w:r>
          </w:p>
        </w:tc>
      </w:tr>
      <w:tr>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הוראת קבע</w:t>
            </w:r>
          </w:p>
        </w:tc>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סכום, cadence, token reference, הבא לחיוב, ביטול וכשלים</w:t>
            </w:r>
          </w:p>
        </w:tc>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לא לשמור סוד API בדפדפן</w:t>
            </w:r>
          </w:p>
        </w:tc>
      </w:tr>
      <w:tr>
        <w:tc>
          <w:tcPr>
            <w:tcW w:type="dxa" w:w="3120"/>
            <w:tcBorders>
              <w:top w:val="single" w:color="D8DEE6" w:sz="1"/>
              <w:left w:val="single" w:color="D8DEE6" w:sz="1"/>
              <w:bottom w:val="single" w:color="D8DEE6" w:sz="1"/>
              <w:right w:val="single" w:color="D8DEE6" w:sz="1"/>
            </w:tcBorders>
            <w:shd w:fill="F4F6F8" w:val="clear"/>
            <w:tcMar>
              <w:top w:type="dxa" w:w="100"/>
              <w:left w:type="dxa" w:w="140"/>
              <w:bottom w:type="dxa" w:w="100"/>
              <w:right w:type="dxa" w:w="140"/>
            </w:tcMar>
          </w:tcPr>
          <w:p>
            <w:pPr>
              <w:bidi/>
              <w:jc w:val="right"/>
            </w:pPr>
            <w:r>
              <w:rPr>
                <w:rFonts w:ascii="Arial" w:cs="Arial" w:eastAsia="Arial" w:hAnsi="Arial"/>
              </w:rPr>
              <w:t xml:space="preserve">Webhook</w:t>
            </w:r>
          </w:p>
        </w:tc>
        <w:tc>
          <w:tcPr>
            <w:tcW w:type="dxa" w:w="3120"/>
            <w:tcBorders>
              <w:top w:val="single" w:color="D8DEE6" w:sz="1"/>
              <w:left w:val="single" w:color="D8DEE6" w:sz="1"/>
              <w:bottom w:val="single" w:color="D8DEE6" w:sz="1"/>
              <w:right w:val="single" w:color="D8DEE6" w:sz="1"/>
            </w:tcBorders>
            <w:shd w:fill="F4F6F8" w:val="clear"/>
            <w:tcMar>
              <w:top w:type="dxa" w:w="100"/>
              <w:left w:type="dxa" w:w="140"/>
              <w:bottom w:type="dxa" w:w="100"/>
              <w:right w:type="dxa" w:w="140"/>
            </w:tcMar>
          </w:tcPr>
          <w:p>
            <w:pPr>
              <w:bidi/>
              <w:jc w:val="right"/>
            </w:pPr>
            <w:r>
              <w:rPr>
                <w:rFonts w:ascii="Arial" w:cs="Arial" w:eastAsia="Arial" w:hAnsi="Arial"/>
              </w:rPr>
              <w:t xml:space="preserve">אירוע גולמי מוגן, חתימה, אימות API וניסיון עיבוד</w:t>
            </w:r>
          </w:p>
        </w:tc>
        <w:tc>
          <w:tcPr>
            <w:tcW w:type="dxa" w:w="3120"/>
            <w:tcBorders>
              <w:top w:val="single" w:color="D8DEE6" w:sz="1"/>
              <w:left w:val="single" w:color="D8DEE6" w:sz="1"/>
              <w:bottom w:val="single" w:color="D8DEE6" w:sz="1"/>
              <w:right w:val="single" w:color="D8DEE6" w:sz="1"/>
            </w:tcBorders>
            <w:shd w:fill="F4F6F8" w:val="clear"/>
            <w:tcMar>
              <w:top w:type="dxa" w:w="100"/>
              <w:left w:type="dxa" w:w="140"/>
              <w:bottom w:type="dxa" w:w="100"/>
              <w:right w:type="dxa" w:w="140"/>
            </w:tcMar>
          </w:tcPr>
          <w:p>
            <w:pPr>
              <w:bidi/>
              <w:jc w:val="right"/>
            </w:pPr>
            <w:r>
              <w:rPr>
                <w:rFonts w:ascii="Arial" w:cs="Arial" w:eastAsia="Arial" w:hAnsi="Arial"/>
              </w:rPr>
              <w:t xml:space="preserve">לא לסמוך רק על redirect</w:t>
            </w:r>
          </w:p>
        </w:tc>
      </w:tr>
      <w:tr>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הרשאות</w:t>
            </w:r>
          </w:p>
        </w:tc>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גישה לפי תפקיד ועמותה, audit log לשינויים</w:t>
            </w:r>
          </w:p>
        </w:tc>
        <w:tc>
          <w:tcPr>
            <w:tcW w:type="dxa" w:w="3120"/>
            <w:tcBorders>
              <w:top w:val="single" w:color="D8DEE6" w:sz="1"/>
              <w:left w:val="single" w:color="D8DEE6" w:sz="1"/>
              <w:bottom w:val="single" w:color="D8DEE6" w:sz="1"/>
              <w:right w:val="single" w:color="D8DEE6" w:sz="1"/>
            </w:tcBorders>
            <w:tcMar>
              <w:top w:type="dxa" w:w="100"/>
              <w:left w:type="dxa" w:w="140"/>
              <w:bottom w:type="dxa" w:w="100"/>
              <w:right w:type="dxa" w:w="140"/>
            </w:tcMar>
          </w:tcPr>
          <w:p>
            <w:pPr>
              <w:bidi/>
              <w:jc w:val="right"/>
            </w:pPr>
            <w:r>
              <w:rPr>
                <w:rFonts w:ascii="Arial" w:cs="Arial" w:eastAsia="Arial" w:hAnsi="Arial"/>
              </w:rPr>
              <w:t xml:space="preserve">לא להציג token למשתמש</w:t>
            </w:r>
          </w:p>
        </w:tc>
      </w:tr>
    </w:tbl>
    <w:p>
      <w:pPr>
        <w:bidi/>
        <w:jc w:val="right"/>
      </w:pPr>
      <w:r>
        <w:rPr>
          <w:rFonts w:ascii="Arial" w:cs="Arial" w:eastAsia="Arial" w:hAnsi="Arial"/>
        </w:rPr>
        <w:t xml:space="preserve">המערכת צריכה להציג בבירור מי מקבל את התרומה ומי מפעיל את הסליקה. אם Impactify תעניק שירותי תשלום בעצמה או תחזיק כספים, יש לבדוק מראש את תחולת חוק הסדרת העיסוק בשירותי תשלום והרישוי הנדרש.</w:t>
      </w:r>
    </w:p>
    <w:p>
      <w:pPr>
        <w:pStyle w:val="Heading1"/>
        <w:bidi/>
        <w:jc w:val="right"/>
      </w:pPr>
      <w:r>
        <w:rPr>
          <w:rFonts w:ascii="Arial" w:cs="Arial" w:eastAsia="Arial" w:hAnsi="Arial"/>
          <w:b/>
          <w:bCs/>
          <w:color w:val="10B7B2"/>
        </w:rPr>
        <w:t xml:space="preserve">6. מקורות רשמיים להמשך בדיקה</w:t>
      </w:r>
    </w:p>
    <w:p>
      <w:pPr>
        <w:bidi/>
        <w:jc w:val="right"/>
      </w:pPr>
      <w:hyperlink w:history="1" r:id="rId9-zscjxzt7ruymxnhxpcn">
        <w:r>
          <w:rPr>
            <w:rFonts w:ascii="Arial" w:cs="Arial" w:eastAsia="Arial" w:hAnsi="Arial"/>
            <w:color w:val="0563C1"/>
            <w:u w:val="single"/>
          </w:rPr>
          <w:t xml:space="preserve">Cardcom — תיעוד מפתחים ותשלומי token</w:t>
        </w:r>
      </w:hyperlink>
    </w:p>
    <w:p>
      <w:pPr>
        <w:bidi/>
        <w:jc w:val="right"/>
      </w:pPr>
      <w:hyperlink w:history="1" r:id="rIdpt-dc4wvzdmq9_vmf0qh8">
        <w:r>
          <w:rPr>
            <w:rFonts w:ascii="Arial" w:cs="Arial" w:eastAsia="Arial" w:hAnsi="Arial"/>
            <w:color w:val="0563C1"/>
            <w:u w:val="single"/>
          </w:rPr>
          <w:t xml:space="preserve">Grow — Webhooks</w:t>
        </w:r>
      </w:hyperlink>
    </w:p>
    <w:p>
      <w:pPr>
        <w:bidi/>
        <w:jc w:val="right"/>
      </w:pPr>
      <w:hyperlink w:history="1" r:id="rId7b4yojhchn9lnl6nd0td_">
        <w:r>
          <w:rPr>
            <w:rFonts w:ascii="Arial" w:cs="Arial" w:eastAsia="Arial" w:hAnsi="Arial"/>
            <w:color w:val="0563C1"/>
            <w:u w:val="single"/>
          </w:rPr>
          <w:t xml:space="preserve">רשות המסים — דיווח תרומות לפי סעיף 46</w:t>
        </w:r>
      </w:hyperlink>
    </w:p>
    <w:p>
      <w:pPr>
        <w:bidi/>
        <w:jc w:val="right"/>
      </w:pPr>
      <w:hyperlink w:history="1" r:id="rIdeclb8iwuw-n6fz9wxa5mi">
        <w:r>
          <w:rPr>
            <w:rFonts w:ascii="Arial" w:cs="Arial" w:eastAsia="Arial" w:hAnsi="Arial"/>
            <w:color w:val="0563C1"/>
            <w:u w:val="single"/>
          </w:rPr>
          <w:t xml:space="preserve">הרשות להגנת הפרטיות — עקרונות הסכמה מדעת</w:t>
        </w:r>
      </w:hyperlink>
    </w:p>
    <w:p>
      <w:pPr>
        <w:bidi/>
        <w:jc w:val="right"/>
      </w:pPr>
      <w:hyperlink w:history="1" r:id="rIdw9d_4xipl7rsa6thrzesp">
        <w:r>
          <w:rPr>
            <w:rFonts w:ascii="Arial" w:cs="Arial" w:eastAsia="Arial" w:hAnsi="Arial"/>
            <w:color w:val="0563C1"/>
            <w:u w:val="single"/>
          </w:rPr>
          <w:t xml:space="preserve">חוק הסדרת העיסוק בשירותי תשלום וייזום תשלום</w:t>
        </w:r>
      </w:hyperlink>
    </w:p>
    <w:p>
      <w:pPr>
        <w:bidi/>
        <w:spacing w:before="300"/>
        <w:jc w:val="right"/>
      </w:pPr>
      <w:r>
        <w:rPr>
          <w:rFonts w:ascii="Arial" w:cs="Arial" w:eastAsia="Arial" w:hAnsi="Arial"/>
          <w:b/>
          <w:bCs/>
          <w:color w:val="B42318"/>
        </w:rPr>
        <w:t xml:space="preserve">הערה משפטית: המסמך הוא בסיס דרישות ותפעול. יש לאשר את נוסחי ההסכמה, התקנון, מדיניות הביטול ומדיניות הפרטיות מול עורך דין ישראלי, העמותה וספק הסליקה לפני הפעלה מסחרית.</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085"/>
        <w:sz w:val="16"/>
        <w:szCs w:val="16"/>
      </w:rPr>
      <w:t xml:space="preserve">Impactify  •  עמוד </w:t>
    </w:r>
    <w:r>
      <w:rPr>
        <w:rFonts w:ascii="Arial" w:cs="Arial" w:eastAsia="Arial" w:hAnsi="Arial"/>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0B7B2"/>
        <w:sz w:val="18"/>
        <w:szCs w:val="18"/>
      </w:rPr>
      <w:t xml:space="preserve">Impactify  |  מדריך עמותות ותורמים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360" w:hanging="180"/>
      </w:pPr>
    </w:lvl>
  </w:abstractNum>
  <w:abstractNum w:abstractNumId="3" w15:restartNumberingAfterBreak="0">
    <w:multiLevelType w:val="hybridMultilevel"/>
    <w:lvl w:ilvl="0" w15:tentative="1">
      <w:start w:val="1"/>
      <w:numFmt w:val="decimal"/>
      <w:lvlText w:val="%1."/>
      <w:lvlJc w:val="right"/>
      <w:pPr>
        <w:ind w:left="36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18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0B7B2"/>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018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zscjxzt7ruymxnhxpcn" Type="http://schemas.openxmlformats.org/officeDocument/2006/relationships/hyperlink" Target="https://www.cardcom.solutions/developers/" TargetMode="External"/><Relationship Id="rIdpt-dc4wvzdmq9_vmf0qh8" Type="http://schemas.openxmlformats.org/officeDocument/2006/relationships/hyperlink" Target="https://developers.grow.business/docs/webhooks" TargetMode="External"/><Relationship Id="rId7b4yojhchn9lnl6nd0td_" Type="http://schemas.openxmlformats.org/officeDocument/2006/relationships/hyperlink" Target="https://www.gov.il/he/service/report-public-institution-receipt-donation" TargetMode="External"/><Relationship Id="rIdeclb8iwuw-n6fz9wxa5mi" Type="http://schemas.openxmlformats.org/officeDocument/2006/relationships/hyperlink" Target="https://www.gov.il/BlobFolder/legalinfo/consent-2026/he/cpncent-2025.pdf" TargetMode="External"/><Relationship Id="rIdw9d_4xipl7rsa6thrzesp" Type="http://schemas.openxmlformats.org/officeDocument/2006/relationships/hyperlink" Target="https://main.knesset.gov.il/apps/legislation/main/laws/2206732"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2026-08-30T12:58:27.089Z</dcterms:created>
  <dcterms:modified xsi:type="dcterms:W3CDTF">2026-08-30T12:58:27.093Z</dcterms:modified>
</cp:coreProperties>
</file>

<file path=docProps/custom.xml><?xml version="1.0" encoding="utf-8"?>
<Properties xmlns="http://schemas.openxmlformats.org/officeDocument/2006/custom-properties" xmlns:vt="http://schemas.openxmlformats.org/officeDocument/2006/docPropsVTypes"/>
</file>