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53A6" w:rsidRDefault="0056094F" w:rsidP="0073668E">
      <w:pPr>
        <w:spacing w:after="40"/>
      </w:pPr>
      <w:r>
        <w:rPr>
          <w:b/>
          <w:sz w:val="36"/>
        </w:rPr>
        <w:t>How I worked with AI</w:t>
      </w:r>
    </w:p>
    <w:p w:rsidR="00B953A6" w:rsidRDefault="0056094F">
      <w:r>
        <w:t xml:space="preserve">I used Claude Code throughout, on a deliberate split: I made every design decision, and delegated construction. What an engaged view means, the grain of each table, the slowly-changing-dimension treatment of the subscription log, and where the Data/Product ownership boundary sits are all mine. Writing SQL, wiring </w:t>
      </w:r>
      <w:proofErr w:type="spellStart"/>
      <w:r>
        <w:t>dbt</w:t>
      </w:r>
      <w:proofErr w:type="spellEnd"/>
      <w:r>
        <w:t xml:space="preserve">, building profiling queries and drafting documentation were not. I used Claude’s desktop app and </w:t>
      </w:r>
      <w:proofErr w:type="spellStart"/>
      <w:r>
        <w:t>Pycharm</w:t>
      </w:r>
      <w:proofErr w:type="spellEnd"/>
      <w:r>
        <w:t xml:space="preserve"> for easier access to multiple </w:t>
      </w:r>
      <w:proofErr w:type="spellStart"/>
      <w:r>
        <w:t>claude</w:t>
      </w:r>
      <w:proofErr w:type="spellEnd"/>
      <w:r>
        <w:t xml:space="preserve"> agents fully under my control, and access to the code as it was written respectively.</w:t>
      </w:r>
      <w:r w:rsidR="0073668E">
        <w:t xml:space="preserve"> I’ve included my claude.md and </w:t>
      </w:r>
      <w:proofErr w:type="spellStart"/>
      <w:proofErr w:type="gramStart"/>
      <w:r w:rsidR="0073668E">
        <w:t>it’s</w:t>
      </w:r>
      <w:proofErr w:type="spellEnd"/>
      <w:proofErr w:type="gramEnd"/>
      <w:r w:rsidR="0073668E">
        <w:t xml:space="preserve"> index of files if you want to take a closer look at my approach.</w:t>
      </w:r>
      <w:bookmarkStart w:id="0" w:name="_GoBack"/>
      <w:bookmarkEnd w:id="0"/>
      <w:r w:rsidR="0073668E">
        <w:t xml:space="preserve"> </w:t>
      </w:r>
    </w:p>
    <w:p w:rsidR="00B953A6" w:rsidRDefault="0056094F" w:rsidP="0056094F">
      <w:pPr>
        <w:pStyle w:val="Heading1"/>
      </w:pPr>
      <w:r>
        <w:t>AI input examples:</w:t>
      </w:r>
      <w:r>
        <w:br/>
      </w:r>
      <w:r>
        <w:rPr>
          <w:rFonts w:ascii="Calibri" w:hAnsi="Calibri"/>
          <w:color w:val="146B78"/>
          <w:sz w:val="24"/>
        </w:rPr>
        <w:t>What I accepted</w:t>
      </w:r>
    </w:p>
    <w:p w:rsidR="00B953A6" w:rsidRDefault="0056094F">
      <w:pPr>
        <w:pStyle w:val="ListBullet"/>
        <w:spacing w:after="120"/>
      </w:pPr>
      <w:r>
        <w:rPr>
          <w:b/>
        </w:rPr>
        <w:t xml:space="preserve">Landing the raw CSVs as all-VARCHAR, with type sniffing switched off. </w:t>
      </w:r>
      <w:r>
        <w:t>I nearly overrode this as pedantry. It is the single reason the three timestamp encodings were visible at all — a sniffing load picks one format and nulls the rest, and the collision would have presented as missing data.</w:t>
      </w:r>
    </w:p>
    <w:p w:rsidR="00B953A6" w:rsidRDefault="0056094F">
      <w:pPr>
        <w:pStyle w:val="ListBullet"/>
        <w:spacing w:after="120"/>
      </w:pPr>
      <w:r>
        <w:rPr>
          <w:b/>
        </w:rPr>
        <w:t xml:space="preserve">A gaps-and-islands interval merge </w:t>
      </w:r>
      <w:r>
        <w:t>for users holding overlapping paid subscriptions. I had described the problem; it named the standard solution, which was faster than my reaching for it myself.</w:t>
      </w:r>
    </w:p>
    <w:p w:rsidR="00B953A6" w:rsidRDefault="0056094F">
      <w:pPr>
        <w:pStyle w:val="ListBullet"/>
        <w:spacing w:after="120"/>
      </w:pPr>
      <w:r>
        <w:rPr>
          <w:b/>
        </w:rPr>
        <w:t xml:space="preserve">Framing the 30% threshold by its insensitivity band </w:t>
      </w:r>
      <w:r>
        <w:t>— the range over which the answer does not change — rather than defending the number itself. That reframing became the strongest argument in the deck.</w:t>
      </w:r>
    </w:p>
    <w:p w:rsidR="00B953A6" w:rsidRDefault="0056094F">
      <w:pPr>
        <w:spacing w:before="280" w:after="100"/>
      </w:pPr>
      <w:r>
        <w:rPr>
          <w:b/>
          <w:color w:val="146B78"/>
          <w:sz w:val="24"/>
        </w:rPr>
        <w:t>What I rejected</w:t>
      </w:r>
    </w:p>
    <w:p w:rsidR="00B953A6" w:rsidRDefault="0056094F">
      <w:pPr>
        <w:pStyle w:val="ListBullet"/>
        <w:spacing w:after="120"/>
      </w:pPr>
      <w:r>
        <w:t xml:space="preserve">Nulling </w:t>
      </w:r>
      <w:r>
        <w:rPr>
          <w:b/>
        </w:rPr>
        <w:t>title</w:t>
      </w:r>
      <w:r>
        <w:t xml:space="preserve"> and </w:t>
      </w:r>
      <w:proofErr w:type="spellStart"/>
      <w:r>
        <w:rPr>
          <w:b/>
        </w:rPr>
        <w:t>asset_type</w:t>
      </w:r>
      <w:proofErr w:type="spellEnd"/>
      <w:r>
        <w:t xml:space="preserve"> for the twelve ambiguous assets. A column that is sometimes a fact and sometimes an admission forces every consumer to remember which. I had it omit those columns instead, which states the boundary once, in the schema.</w:t>
      </w:r>
    </w:p>
    <w:p w:rsidR="00B953A6" w:rsidRDefault="0056094F">
      <w:pPr>
        <w:pStyle w:val="ListBullet"/>
        <w:spacing w:after="120"/>
      </w:pPr>
      <w:r>
        <w:rPr>
          <w:b/>
        </w:rPr>
        <w:t xml:space="preserve">Pause as an engagement signal. </w:t>
      </w:r>
      <w:r>
        <w:t>It was confident — paused sessions complete at 0.46 against 0.134. But the mechanism does not hold: nothing is actually paused, nothing resumes, and pause presence simply tracks session length. A promising correlation with no causal story behind it.</w:t>
      </w:r>
    </w:p>
    <w:p w:rsidR="00B953A6" w:rsidRDefault="0056094F">
      <w:pPr>
        <w:pStyle w:val="ListBullet"/>
        <w:spacing w:after="120"/>
      </w:pPr>
      <w:r>
        <w:rPr>
          <w:b/>
        </w:rPr>
        <w:t xml:space="preserve">A 1,400-word handoff document </w:t>
      </w:r>
      <w:r>
        <w:t>that restated findings already written down elsewhere. Length is not thoroughness.</w:t>
      </w:r>
    </w:p>
    <w:p w:rsidR="00B953A6" w:rsidRDefault="0056094F">
      <w:pPr>
        <w:spacing w:before="280" w:after="100"/>
      </w:pPr>
      <w:r>
        <w:rPr>
          <w:b/>
          <w:color w:val="146B78"/>
          <w:sz w:val="24"/>
        </w:rPr>
        <w:t>Where it was wrong, and how I caught it</w:t>
      </w:r>
    </w:p>
    <w:p w:rsidR="00B953A6" w:rsidRDefault="0056094F">
      <w:pPr>
        <w:pStyle w:val="ListBullet"/>
        <w:spacing w:after="120"/>
      </w:pPr>
      <w:r>
        <w:t xml:space="preserve">It described the completion distribution as bimodal. It is </w:t>
      </w:r>
      <w:proofErr w:type="spellStart"/>
      <w:r>
        <w:t>trimodal</w:t>
      </w:r>
      <w:proofErr w:type="spellEnd"/>
      <w:r>
        <w:t xml:space="preserve"> — the first pass binned by deciles and included an event type that inflates the ratio by about 11%.</w:t>
      </w:r>
    </w:p>
    <w:p w:rsidR="00B953A6" w:rsidRDefault="0056094F">
      <w:pPr>
        <w:pStyle w:val="ListBullet"/>
        <w:spacing w:after="120"/>
      </w:pPr>
      <w:r>
        <w:t>It produced a row count using the exact fan-out that its own documentation, in the same file, warned against.</w:t>
      </w:r>
    </w:p>
    <w:p w:rsidR="00B953A6" w:rsidRDefault="0056094F" w:rsidP="0056094F">
      <w:pPr>
        <w:pStyle w:val="ListBullet"/>
        <w:spacing w:before="280" w:after="100"/>
      </w:pPr>
      <w:r>
        <w:t>It claimed the central Data team could own models sitting in a private layer. That is incoherent — ownership means responsibility to consumers, and a private layer has none. I pushed back, and the architecture argument had to be rebuilt from the correction.</w:t>
      </w:r>
    </w:p>
    <w:sectPr w:rsidR="00B953A6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094F"/>
    <w:rsid w:val="0073668E"/>
    <w:rsid w:val="00AA1D8D"/>
    <w:rsid w:val="00B47730"/>
    <w:rsid w:val="00B953A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56E14D"/>
  <w14:defaultImageDpi w14:val="300"/>
  <w15:docId w15:val="{6CABE28B-12E2-44E9-8E36-37E38A187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color w:val="14181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AC37F13-85AB-462C-B6FB-8F4B1DBBB9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392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Paluch</cp:lastModifiedBy>
  <cp:revision>3</cp:revision>
  <dcterms:created xsi:type="dcterms:W3CDTF">2013-12-23T23:15:00Z</dcterms:created>
  <dcterms:modified xsi:type="dcterms:W3CDTF">2026-08-20T07:14:00Z</dcterms:modified>
  <cp:category/>
</cp:coreProperties>
</file>