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13437" w14:textId="77777777" w:rsidR="00351F96" w:rsidRDefault="00351F96" w:rsidP="003C600E">
      <w:pPr>
        <w:jc w:val="both"/>
      </w:pPr>
      <w:r>
        <w:t>Robin Pflager</w:t>
      </w:r>
    </w:p>
    <w:p w14:paraId="364CDFDF" w14:textId="7163A2C5" w:rsidR="00351F96" w:rsidRDefault="00351F96" w:rsidP="003C600E">
      <w:pPr>
        <w:jc w:val="both"/>
      </w:pPr>
      <w:r>
        <w:t>July 30, 2018</w:t>
      </w:r>
    </w:p>
    <w:p w14:paraId="1668586E" w14:textId="5F602482" w:rsidR="00572660" w:rsidRDefault="00572660" w:rsidP="003C600E">
      <w:pPr>
        <w:jc w:val="both"/>
      </w:pPr>
      <w:r>
        <w:t>Revised: Aug 14, 2018</w:t>
      </w:r>
    </w:p>
    <w:p w14:paraId="1D46058B" w14:textId="59092106" w:rsidR="00762CCE" w:rsidRDefault="00351F96" w:rsidP="003C600E">
      <w:pPr>
        <w:jc w:val="both"/>
      </w:pPr>
      <w:r>
        <w:t>UW CubeSat</w:t>
      </w:r>
      <w:r w:rsidR="00E736B5">
        <w:t xml:space="preserve">, </w:t>
      </w:r>
      <w:r>
        <w:t>L5 Mission Proposal – Write-up</w:t>
      </w:r>
    </w:p>
    <w:p w14:paraId="224F5B12" w14:textId="77777777" w:rsidR="00351F96" w:rsidRDefault="00351F96" w:rsidP="003C600E">
      <w:pPr>
        <w:jc w:val="both"/>
      </w:pPr>
    </w:p>
    <w:p w14:paraId="59659682" w14:textId="77777777" w:rsidR="00351F96" w:rsidRDefault="00351F96" w:rsidP="003C600E">
      <w:pPr>
        <w:jc w:val="both"/>
      </w:pPr>
      <w:r>
        <w:t>Mission Overview:</w:t>
      </w:r>
    </w:p>
    <w:p w14:paraId="6253B05C" w14:textId="0B4628E5" w:rsidR="003C600E" w:rsidRDefault="003C600E" w:rsidP="003C600E">
      <w:pPr>
        <w:ind w:firstLine="720"/>
        <w:jc w:val="both"/>
      </w:pPr>
      <w:r>
        <w:t>This mission aims to launch a CubeSat from a parent craft</w:t>
      </w:r>
      <w:r>
        <w:t xml:space="preserve"> </w:t>
      </w:r>
      <w:r>
        <w:t xml:space="preserve">on route to or on return from the Moon, such as the </w:t>
      </w:r>
      <w:bookmarkStart w:id="0" w:name="_GoBack"/>
      <w:r>
        <w:t>SLS</w:t>
      </w:r>
      <w:bookmarkEnd w:id="0"/>
      <w:r>
        <w:t>,</w:t>
      </w:r>
      <w:r>
        <w:t xml:space="preserve"> and then to attain capture by</w:t>
      </w:r>
      <w:r w:rsidRPr="003C600E">
        <w:t xml:space="preserve"> </w:t>
      </w:r>
      <w:r>
        <w:t>one of the two stable Sun-Earth Lagrange Points, L4 or L5. The target will be determined by conditions set by the launch date of the parent mission and calculated Delta-V requirements.</w:t>
      </w:r>
      <w:r>
        <w:t xml:space="preserve"> </w:t>
      </w:r>
      <w:r>
        <w:t>Per the feasibility assessment to follow, a CubeSat mission to L5 is more easily achievable.</w:t>
      </w:r>
      <w:r>
        <w:t xml:space="preserve"> </w:t>
      </w:r>
      <w:r>
        <w:t>Released just outside of the Moon’s sphere of influence, the CubeSat will use its own propulsion to then path to</w:t>
      </w:r>
      <w:r>
        <w:t xml:space="preserve"> L5. </w:t>
      </w:r>
      <w:r>
        <w:t>Upon reaching L5, the CubeSat will perform a minimal maneuver to be captured and begin to survey for asteroids in the immediate area.</w:t>
      </w:r>
    </w:p>
    <w:p w14:paraId="5CD04624" w14:textId="77777777" w:rsidR="00202E91" w:rsidRDefault="00202E91" w:rsidP="003C600E">
      <w:pPr>
        <w:jc w:val="both"/>
      </w:pPr>
    </w:p>
    <w:p w14:paraId="3D1FAF51" w14:textId="77777777" w:rsidR="00351F96" w:rsidRDefault="00351F96" w:rsidP="003C600E">
      <w:pPr>
        <w:jc w:val="both"/>
      </w:pPr>
      <w:r>
        <w:t>Mission Purpose:</w:t>
      </w:r>
    </w:p>
    <w:p w14:paraId="039580E9" w14:textId="77777777" w:rsidR="00351F96" w:rsidRDefault="00202E91" w:rsidP="003C600E">
      <w:pPr>
        <w:jc w:val="both"/>
      </w:pPr>
      <w:r>
        <w:tab/>
        <w:t xml:space="preserve">The intent of this mission </w:t>
      </w:r>
      <w:r w:rsidR="00264E30">
        <w:t>is</w:t>
      </w:r>
      <w:r>
        <w:t xml:space="preserve"> to explore the L4 and L5 points of the Sun-Earth system. L4 and L5 are stable balance points between the gravities of the Earth and of the Sun and the rotational forces of orbit, located in the orbit of the Earth, ahead and behind by 60 degrees respectively. An object or spacecraft that reaches one of these points with low enough relative velocity will be captured </w:t>
      </w:r>
      <w:r w:rsidR="008A41DF">
        <w:t xml:space="preserve">and will experience a restorative force when moved from equilibrium. This results in an orbit </w:t>
      </w:r>
      <w:r w:rsidR="00B56C53">
        <w:t xml:space="preserve">apparently </w:t>
      </w:r>
      <w:r w:rsidR="008A41DF">
        <w:t>‘around nothing’, in a frame rotating with the orbit of the Earth. This property means that spacecraft can be placed at one of these points without the requirement of periodic station-keeping maneuvers.</w:t>
      </w:r>
    </w:p>
    <w:p w14:paraId="197F0CE4" w14:textId="77777777" w:rsidR="008A41DF" w:rsidRDefault="008A41DF" w:rsidP="003C600E">
      <w:pPr>
        <w:jc w:val="both"/>
      </w:pPr>
      <w:r>
        <w:tab/>
        <w:t xml:space="preserve">Captured asteroids known as Trojans, </w:t>
      </w:r>
      <w:r w:rsidR="00264E30">
        <w:t>extensively observed in the Sun-Jupiter system, have scarcely been found in the Sun-Earth system. Only one Trojan has been observed and catalogued at each the Sun-Earth stable points</w:t>
      </w:r>
      <w:r w:rsidR="0092662C">
        <w:t>, but this does not mean that there are only two Trojans of the Earth and Sun</w:t>
      </w:r>
      <w:r w:rsidR="00264E30">
        <w:t>.</w:t>
      </w:r>
      <w:r w:rsidR="0092662C">
        <w:t xml:space="preserve"> The Sun-Earth L4 and L5 points are relatively unobserved, due to their generally sunward direction and the difficulty of ground-based daylight observations. Additionally, previous space missions have never targeted the Sun-Earth stable points and have encountered them only incidentally, at velocities too great for capture and prolonged study.</w:t>
      </w:r>
    </w:p>
    <w:p w14:paraId="3A1E3AAE" w14:textId="030065AC" w:rsidR="0092662C" w:rsidRDefault="0092662C" w:rsidP="003C600E">
      <w:pPr>
        <w:jc w:val="both"/>
      </w:pPr>
      <w:r>
        <w:tab/>
        <w:t>This mission seeks to fill this gap in our collective knowledge of the Solar System</w:t>
      </w:r>
      <w:r w:rsidR="00B56C53">
        <w:t xml:space="preserve"> by </w:t>
      </w:r>
      <w:r w:rsidR="00182347">
        <w:t>achieving capture</w:t>
      </w:r>
      <w:r w:rsidR="00B56C53">
        <w:t xml:space="preserve"> by the target point and surveying for Trojans over an extended period.</w:t>
      </w:r>
      <w:r w:rsidR="00DD7D43">
        <w:t xml:space="preserve"> If no new asteroids are discovered at the target stable point, the implication would be that that point is a low hazard location for spacecraft to be “parked” for a wide variety of applications, chief among them being space-based observations, particularly of the Earth. If the point is found to be more heavily populated with Trojans than has so far been shown, then the point </w:t>
      </w:r>
      <w:r w:rsidR="00182347">
        <w:t>will be a convenient point of interest for future study and/or exploitation of asteroids. Additionally, in the process of designing the CubeSat and throughout the course of study, this mission will aim to provide insight into improving techniques for the remote detection of asteroids and other small bodies.</w:t>
      </w:r>
    </w:p>
    <w:p w14:paraId="762DFB91" w14:textId="30CE0A00" w:rsidR="00351F96" w:rsidRDefault="00351F96" w:rsidP="003C600E">
      <w:pPr>
        <w:jc w:val="both"/>
      </w:pPr>
      <w:r>
        <w:lastRenderedPageBreak/>
        <w:t>Initial Conditions, Assumptions and</w:t>
      </w:r>
      <w:r w:rsidR="00FA047A">
        <w:t xml:space="preserve"> Method of</w:t>
      </w:r>
      <w:r>
        <w:t xml:space="preserve"> Assessment of Feasibility:</w:t>
      </w:r>
    </w:p>
    <w:p w14:paraId="5D18E023" w14:textId="0E55F6F6" w:rsidR="009C7C7E" w:rsidRDefault="00F60051" w:rsidP="003C600E">
      <w:pPr>
        <w:jc w:val="both"/>
      </w:pPr>
      <w:r>
        <w:tab/>
        <w:t>Initial conditions for this mission were taken from publicly available NASA documentation for the Space Launch System, namely the ICPS Disposal State. Those conditions were then propagated forward using GMAT to find velocity and position relative to the Earth</w:t>
      </w:r>
      <w:r w:rsidR="00F726EF">
        <w:t xml:space="preserve"> at the time of CubeSat release, just outside the Moon’s sphere of influence. It was assumed that these parameters would be generalizable to any day of the lunar synodic month (i.e. any position of the Moon relative to the Earth in its orbit), so that Delta-V requirements to reach L4 or L5 can be found and optimized for any potential launch window of the host mission.</w:t>
      </w:r>
      <w:r w:rsidR="009C7C7E">
        <w:t xml:space="preserve"> It was assumed that spacecraft will be equipped with a Pulsed Plasma Thruster capable of sustaining an acceleration of (conservative estimate) of 5*10</w:t>
      </w:r>
      <w:r w:rsidR="009C7C7E" w:rsidRPr="009C7C7E">
        <w:rPr>
          <w:vertAlign w:val="superscript"/>
        </w:rPr>
        <w:t>-5</w:t>
      </w:r>
      <w:r w:rsidR="009C7C7E">
        <w:t xml:space="preserve"> m/s</w:t>
      </w:r>
      <w:r w:rsidR="009C7C7E" w:rsidRPr="009C7C7E">
        <w:rPr>
          <w:vertAlign w:val="superscript"/>
        </w:rPr>
        <w:t>2</w:t>
      </w:r>
      <w:r w:rsidR="009C7C7E">
        <w:t>, with sufficient fuel for a total Delta-V of 1 km/s. Keeping 40% of fuel in reserve for maneuvers and corrections will leave a Delta-V-to-target requirement of no more than 600 m/s, limiting desirable launch windows.</w:t>
      </w:r>
    </w:p>
    <w:p w14:paraId="49EAC995" w14:textId="226870DA" w:rsidR="001E5593" w:rsidRDefault="001E5593" w:rsidP="003C600E">
      <w:pPr>
        <w:jc w:val="both"/>
      </w:pPr>
      <w:r>
        <w:tab/>
        <w:t xml:space="preserve">GMAT, as a single body </w:t>
      </w:r>
      <w:r w:rsidR="004D06D4">
        <w:t>propagator, does not model Lagrange points and was therefore found to be insufficient for feasibility assessments of this mission.</w:t>
      </w:r>
      <w:r w:rsidR="00844C88">
        <w:t xml:space="preserve"> A </w:t>
      </w:r>
      <w:r w:rsidR="00E747F8">
        <w:t xml:space="preserve">simplified two-body propagator was written in </w:t>
      </w:r>
      <w:r w:rsidR="00927705">
        <w:t>MATLAB</w:t>
      </w:r>
      <w:r w:rsidR="00E747F8">
        <w:t xml:space="preserve"> for this assessment, modeling the Earth, the Sun and a general spacecraft object.</w:t>
      </w:r>
      <w:r w:rsidR="003D7A55">
        <w:t xml:space="preserve"> In the model, the Earth and the Sun orbit a shared barycenter located at the origin. These two orbits are maintained through setting appropriate tangential velocities, distances from barycenter, and applying gravitational acceleration due to the other body to each body at every time step. This resulted in a model in which the Earth and Sun are in circular orbits, approximating the low eccentricity of Earth’s orbit.</w:t>
      </w:r>
      <w:r w:rsidR="000B6EF9">
        <w:t xml:space="preserve"> The spacecraft object can be placed anywhere with any initial velocity, and at each timestep will experience the combined gravitational accelerations of the other two bodies. The spacecraft’s mass is assumed to be very small compared the Sun or the Earth, and the effects of its gravity on those two bodies are ignored. Motions in this model are restricted to the orbital plane of the Earth and the Sun. Calculations are done in Cartesian coordinates in the inertial frame of the system’s barycenter. Results are rotated into a non-inertial frame in which the Earth and Sun appear stationary for display purposes and analysis</w:t>
      </w:r>
      <w:r w:rsidR="006F7EC2">
        <w:t>.</w:t>
      </w:r>
    </w:p>
    <w:p w14:paraId="1BBE1FFB" w14:textId="7B19311F" w:rsidR="006F7EC2" w:rsidRDefault="006F7EC2" w:rsidP="003C600E">
      <w:pPr>
        <w:jc w:val="both"/>
      </w:pPr>
      <w:r>
        <w:tab/>
        <w:t>The propagator functions by numeric approximation. At every time step, positions and velocities of all objects are recorded. Then, gravitational accelerations</w:t>
      </w:r>
      <w:r w:rsidR="009A28AF">
        <w:t>,</w:t>
      </w:r>
      <w:r>
        <w:t xml:space="preserve"> based on relative position and mass</w:t>
      </w:r>
      <w:r w:rsidR="009A28AF">
        <w:t>,</w:t>
      </w:r>
      <w:r>
        <w:t xml:space="preserve"> are calculated. In the case of the spacecraft, acceleration due to thrust is also calculated, if applicable during the timestep. Thrust profiles are set by the user before the </w:t>
      </w:r>
      <w:r w:rsidR="009A28AF">
        <w:t>propagator</w:t>
      </w:r>
      <w:r>
        <w:t xml:space="preserve"> is run. The propagator then integrates accelerations into change in velocity, by multiplying the calculated accelerations by the length of the timestep. This velocity change is</w:t>
      </w:r>
      <w:r w:rsidR="009A28AF">
        <w:t xml:space="preserve"> added to current velocity. Similarly, </w:t>
      </w:r>
      <w:r>
        <w:t xml:space="preserve">the new velocity is integrated into change in position </w:t>
      </w:r>
      <w:r w:rsidR="009A28AF">
        <w:t>and the position is updated</w:t>
      </w:r>
      <w:r>
        <w:t>. The accuracy of this technique improves with shorter timesteps. A timestep length of 480 seconds was used for most of the analysis to provide a good balance between accuracy and computation time for timescales of a year or multiple years.</w:t>
      </w:r>
    </w:p>
    <w:p w14:paraId="3961595E" w14:textId="7C9C63D8" w:rsidR="00FA047A" w:rsidRDefault="0042527A" w:rsidP="003C600E">
      <w:pPr>
        <w:jc w:val="both"/>
        <w:rPr>
          <w:rFonts w:cstheme="minorHAnsi"/>
        </w:rPr>
      </w:pPr>
      <w:r>
        <w:tab/>
        <w:t xml:space="preserve">For the assessment, </w:t>
      </w:r>
      <w:r w:rsidR="009A63FF">
        <w:t xml:space="preserve">the spacecraft was placed and initialized with the position and velocity relative to Earth as found from the ICPS Disposal State and GMAT propagation. This position data was generalized to any </w:t>
      </w:r>
      <w:r w:rsidR="002B3A8A">
        <w:t>time</w:t>
      </w:r>
      <w:r w:rsidR="009A63FF">
        <w:t xml:space="preserve"> of the lunar month by rotation using the following system: using the synodic month of 29.5 days so that day 0 will mark the moon’s return to the same initial position relative the Earth and the Sun, day 0 was set to the position at which the moon is collinear with Earth and Sun and outside the Earth’s orbit (full moon position) and counting days positively counter-clockwise and negatively clockwise to a maximum/minimum at </w:t>
      </w:r>
      <w:r w:rsidR="009A63FF" w:rsidRPr="00182DA9">
        <w:rPr>
          <w:rFonts w:cstheme="minorHAnsi"/>
        </w:rPr>
        <w:t>±</w:t>
      </w:r>
      <w:r w:rsidR="009A63FF">
        <w:rPr>
          <w:rFonts w:cstheme="minorHAnsi"/>
        </w:rPr>
        <w:t>14.75 days (new moon position).</w:t>
      </w:r>
      <w:r w:rsidR="00FA047A">
        <w:rPr>
          <w:rFonts w:cstheme="minorHAnsi"/>
        </w:rPr>
        <w:t xml:space="preserve"> </w:t>
      </w:r>
    </w:p>
    <w:p w14:paraId="3031D68B" w14:textId="77777777" w:rsidR="00FA047A" w:rsidRDefault="00FA047A" w:rsidP="003C600E">
      <w:pPr>
        <w:jc w:val="both"/>
        <w:rPr>
          <w:rFonts w:cstheme="minorHAnsi"/>
        </w:rPr>
      </w:pPr>
    </w:p>
    <w:p w14:paraId="46F56B72" w14:textId="6809EE4E" w:rsidR="00FA047A" w:rsidRDefault="00FA047A" w:rsidP="003C600E">
      <w:pPr>
        <w:jc w:val="both"/>
        <w:rPr>
          <w:rFonts w:cstheme="minorHAnsi"/>
        </w:rPr>
      </w:pPr>
      <w:r>
        <w:rPr>
          <w:rFonts w:cstheme="minorHAnsi"/>
        </w:rPr>
        <w:lastRenderedPageBreak/>
        <w:t>Data and Assessment:</w:t>
      </w:r>
    </w:p>
    <w:p w14:paraId="62F07946" w14:textId="759EDE5D" w:rsidR="0042527A" w:rsidRDefault="00FA047A" w:rsidP="003C600E">
      <w:pPr>
        <w:ind w:firstLine="720"/>
        <w:jc w:val="both"/>
      </w:pPr>
      <w:r>
        <w:rPr>
          <w:rFonts w:cstheme="minorHAnsi"/>
        </w:rPr>
        <w:t xml:space="preserve">In the initial assessment, </w:t>
      </w:r>
      <w:r w:rsidR="00024B63">
        <w:rPr>
          <w:rFonts w:cstheme="minorHAnsi"/>
        </w:rPr>
        <w:t xml:space="preserve">the viability of 6 separate launch days, roughly evenly spaced throughout the lunar month, were tested. First, the propagator was run without a defined thrust profile, to see how close the craft would come to either target point under no propulsion. From there, trial-and-error techniques were used to find thrust profiles that would result in a successful encounter with the most convenient target for a minimized Delta-V. </w:t>
      </w:r>
      <w:r w:rsidR="005346EA">
        <w:t>Encounters were judged to be successful if the spacecraft passed within 0.</w:t>
      </w:r>
      <w:r w:rsidR="007D61A8">
        <w:t>1</w:t>
      </w:r>
      <w:r w:rsidR="005346EA">
        <w:t xml:space="preserve">5 AU of the target center at a velocity relative to the target of no more than 50 m/s. It was assumed that a corrective maneuver could be performed under those conditions without the requirement for additional reserve fuel. As this document’s aim is to assess first-order viability of the proposed mission, once a successful encounter was achieved </w:t>
      </w:r>
      <w:r w:rsidR="00AB2E83">
        <w:t xml:space="preserve">in a timely (&lt; 3 yr.) manner </w:t>
      </w:r>
      <w:r w:rsidR="005346EA">
        <w:t>with satisfactory fuel consumption, little more refinement was done, though the results listed below did prompt additional assessment in a narrower range between -8 and +8 days.</w:t>
      </w:r>
    </w:p>
    <w:tbl>
      <w:tblPr>
        <w:tblStyle w:val="TableGrid"/>
        <w:tblpPr w:leftFromText="180" w:rightFromText="180" w:vertAnchor="page" w:horzAnchor="margin" w:tblpY="6031"/>
        <w:tblW w:w="8545" w:type="dxa"/>
        <w:tblLook w:val="04A0" w:firstRow="1" w:lastRow="0" w:firstColumn="1" w:lastColumn="0" w:noHBand="0" w:noVBand="1"/>
      </w:tblPr>
      <w:tblGrid>
        <w:gridCol w:w="1468"/>
        <w:gridCol w:w="1610"/>
        <w:gridCol w:w="1168"/>
        <w:gridCol w:w="816"/>
        <w:gridCol w:w="2223"/>
        <w:gridCol w:w="1260"/>
      </w:tblGrid>
      <w:tr w:rsidR="00742F64" w:rsidRPr="005346EA" w14:paraId="040160DD" w14:textId="77777777" w:rsidTr="00B724D9">
        <w:tc>
          <w:tcPr>
            <w:tcW w:w="1468" w:type="dxa"/>
          </w:tcPr>
          <w:p w14:paraId="13BA35D3" w14:textId="77777777" w:rsidR="00742F64" w:rsidRPr="005346EA" w:rsidRDefault="00742F64" w:rsidP="003C600E">
            <w:pPr>
              <w:contextualSpacing/>
              <w:jc w:val="both"/>
            </w:pPr>
            <w:bookmarkStart w:id="1" w:name="_Hlk520830638"/>
            <w:r w:rsidRPr="005346EA">
              <w:t>Starting Position (Day)</w:t>
            </w:r>
          </w:p>
        </w:tc>
        <w:tc>
          <w:tcPr>
            <w:tcW w:w="1610" w:type="dxa"/>
          </w:tcPr>
          <w:p w14:paraId="69AF8FAE" w14:textId="77777777" w:rsidR="00742F64" w:rsidRPr="005346EA" w:rsidRDefault="00742F64" w:rsidP="003C600E">
            <w:pPr>
              <w:contextualSpacing/>
              <w:jc w:val="both"/>
            </w:pPr>
            <w:r w:rsidRPr="005346EA">
              <w:t>Delta-V to Best Encounter</w:t>
            </w:r>
          </w:p>
        </w:tc>
        <w:tc>
          <w:tcPr>
            <w:tcW w:w="1168" w:type="dxa"/>
          </w:tcPr>
          <w:p w14:paraId="0F27F09D" w14:textId="77777777" w:rsidR="00742F64" w:rsidRPr="005346EA" w:rsidRDefault="00742F64" w:rsidP="003C600E">
            <w:pPr>
              <w:contextualSpacing/>
              <w:jc w:val="both"/>
            </w:pPr>
            <w:r w:rsidRPr="005346EA">
              <w:t>Time to Encounter</w:t>
            </w:r>
          </w:p>
        </w:tc>
        <w:tc>
          <w:tcPr>
            <w:tcW w:w="816" w:type="dxa"/>
          </w:tcPr>
          <w:p w14:paraId="0A4667D1" w14:textId="77777777" w:rsidR="00742F64" w:rsidRPr="005346EA" w:rsidRDefault="00742F64" w:rsidP="003C600E">
            <w:pPr>
              <w:contextualSpacing/>
              <w:jc w:val="both"/>
            </w:pPr>
            <w:r w:rsidRPr="005346EA">
              <w:t>L4/L5?</w:t>
            </w:r>
          </w:p>
        </w:tc>
        <w:tc>
          <w:tcPr>
            <w:tcW w:w="2223" w:type="dxa"/>
          </w:tcPr>
          <w:p w14:paraId="4A0979EB" w14:textId="77777777" w:rsidR="00742F64" w:rsidRPr="005346EA" w:rsidRDefault="00742F64" w:rsidP="003C600E">
            <w:pPr>
              <w:contextualSpacing/>
              <w:jc w:val="both"/>
            </w:pPr>
            <w:r w:rsidRPr="005346EA">
              <w:t>Relative Speed During Encounter</w:t>
            </w:r>
          </w:p>
        </w:tc>
        <w:tc>
          <w:tcPr>
            <w:tcW w:w="1260" w:type="dxa"/>
          </w:tcPr>
          <w:p w14:paraId="689700AA" w14:textId="77777777" w:rsidR="00742F64" w:rsidRPr="005346EA" w:rsidRDefault="00742F64" w:rsidP="003C600E">
            <w:pPr>
              <w:contextualSpacing/>
              <w:jc w:val="both"/>
            </w:pPr>
            <w:r w:rsidRPr="005346EA">
              <w:t>Successful?</w:t>
            </w:r>
          </w:p>
        </w:tc>
      </w:tr>
      <w:tr w:rsidR="00742F64" w:rsidRPr="005346EA" w14:paraId="4A2ECF58" w14:textId="77777777" w:rsidTr="00B724D9">
        <w:tc>
          <w:tcPr>
            <w:tcW w:w="1468" w:type="dxa"/>
          </w:tcPr>
          <w:p w14:paraId="43EDAF5D" w14:textId="77777777" w:rsidR="00742F64" w:rsidRPr="005346EA" w:rsidRDefault="00742F64" w:rsidP="003C600E">
            <w:pPr>
              <w:contextualSpacing/>
              <w:jc w:val="both"/>
            </w:pPr>
            <w:r w:rsidRPr="005346EA">
              <w:rPr>
                <w:rFonts w:cstheme="minorHAnsi"/>
              </w:rPr>
              <w:t>±14.75</w:t>
            </w:r>
          </w:p>
        </w:tc>
        <w:tc>
          <w:tcPr>
            <w:tcW w:w="1610" w:type="dxa"/>
          </w:tcPr>
          <w:p w14:paraId="106D5BA7" w14:textId="77777777" w:rsidR="00742F64" w:rsidRPr="005346EA" w:rsidRDefault="00742F64" w:rsidP="003C600E">
            <w:pPr>
              <w:contextualSpacing/>
              <w:jc w:val="both"/>
            </w:pPr>
            <w:r w:rsidRPr="005346EA">
              <w:t>230 m/s</w:t>
            </w:r>
          </w:p>
        </w:tc>
        <w:tc>
          <w:tcPr>
            <w:tcW w:w="1168" w:type="dxa"/>
          </w:tcPr>
          <w:p w14:paraId="4E61D97A" w14:textId="77777777" w:rsidR="00742F64" w:rsidRPr="005346EA" w:rsidRDefault="00742F64" w:rsidP="003C600E">
            <w:pPr>
              <w:contextualSpacing/>
              <w:jc w:val="both"/>
            </w:pPr>
            <w:r w:rsidRPr="005346EA">
              <w:t>1 yr</w:t>
            </w:r>
          </w:p>
        </w:tc>
        <w:tc>
          <w:tcPr>
            <w:tcW w:w="816" w:type="dxa"/>
          </w:tcPr>
          <w:p w14:paraId="1AE105EC" w14:textId="77777777" w:rsidR="00742F64" w:rsidRPr="005346EA" w:rsidRDefault="00742F64" w:rsidP="003C600E">
            <w:pPr>
              <w:contextualSpacing/>
              <w:jc w:val="both"/>
            </w:pPr>
            <w:r w:rsidRPr="005346EA">
              <w:t>L4</w:t>
            </w:r>
          </w:p>
        </w:tc>
        <w:tc>
          <w:tcPr>
            <w:tcW w:w="2223" w:type="dxa"/>
          </w:tcPr>
          <w:p w14:paraId="45ACF817" w14:textId="5B9D25EF" w:rsidR="00742F64" w:rsidRPr="005346EA" w:rsidRDefault="009004DB" w:rsidP="003C600E">
            <w:pPr>
              <w:contextualSpacing/>
              <w:jc w:val="both"/>
            </w:pPr>
            <w:r>
              <w:t>260.7</w:t>
            </w:r>
            <w:r w:rsidR="00742F64" w:rsidRPr="005346EA">
              <w:t xml:space="preserve"> m/s</w:t>
            </w:r>
          </w:p>
        </w:tc>
        <w:tc>
          <w:tcPr>
            <w:tcW w:w="1260" w:type="dxa"/>
          </w:tcPr>
          <w:p w14:paraId="17B65D87" w14:textId="77777777" w:rsidR="00742F64" w:rsidRPr="005346EA" w:rsidRDefault="00742F64" w:rsidP="003C600E">
            <w:pPr>
              <w:contextualSpacing/>
              <w:jc w:val="both"/>
            </w:pPr>
            <w:r w:rsidRPr="005346EA">
              <w:t>N</w:t>
            </w:r>
          </w:p>
        </w:tc>
      </w:tr>
      <w:tr w:rsidR="00742F64" w:rsidRPr="005346EA" w14:paraId="18C55FEF" w14:textId="77777777" w:rsidTr="00B724D9">
        <w:tc>
          <w:tcPr>
            <w:tcW w:w="1468" w:type="dxa"/>
          </w:tcPr>
          <w:p w14:paraId="00D551DE" w14:textId="77777777" w:rsidR="00742F64" w:rsidRPr="005346EA" w:rsidRDefault="00742F64" w:rsidP="003C600E">
            <w:pPr>
              <w:contextualSpacing/>
              <w:jc w:val="both"/>
            </w:pPr>
            <w:r w:rsidRPr="005346EA">
              <w:t>-10</w:t>
            </w:r>
          </w:p>
        </w:tc>
        <w:tc>
          <w:tcPr>
            <w:tcW w:w="1610" w:type="dxa"/>
          </w:tcPr>
          <w:p w14:paraId="12B25E89" w14:textId="77777777" w:rsidR="00742F64" w:rsidRPr="005346EA" w:rsidRDefault="00742F64" w:rsidP="003C600E">
            <w:pPr>
              <w:contextualSpacing/>
              <w:jc w:val="both"/>
            </w:pPr>
            <w:r w:rsidRPr="005346EA">
              <w:t>526 m/s</w:t>
            </w:r>
          </w:p>
        </w:tc>
        <w:tc>
          <w:tcPr>
            <w:tcW w:w="1168" w:type="dxa"/>
          </w:tcPr>
          <w:p w14:paraId="5FE159AD" w14:textId="77777777" w:rsidR="00742F64" w:rsidRPr="005346EA" w:rsidRDefault="00742F64" w:rsidP="003C600E">
            <w:pPr>
              <w:contextualSpacing/>
              <w:jc w:val="both"/>
            </w:pPr>
            <w:r w:rsidRPr="005346EA">
              <w:t>2 yr</w:t>
            </w:r>
          </w:p>
        </w:tc>
        <w:tc>
          <w:tcPr>
            <w:tcW w:w="816" w:type="dxa"/>
          </w:tcPr>
          <w:p w14:paraId="633A381F" w14:textId="77777777" w:rsidR="00742F64" w:rsidRPr="005346EA" w:rsidRDefault="00742F64" w:rsidP="003C600E">
            <w:pPr>
              <w:contextualSpacing/>
              <w:jc w:val="both"/>
            </w:pPr>
            <w:r w:rsidRPr="005346EA">
              <w:t>L4</w:t>
            </w:r>
          </w:p>
        </w:tc>
        <w:tc>
          <w:tcPr>
            <w:tcW w:w="2223" w:type="dxa"/>
          </w:tcPr>
          <w:p w14:paraId="4B87DF91" w14:textId="09381A06" w:rsidR="00742F64" w:rsidRPr="005346EA" w:rsidRDefault="009004DB" w:rsidP="003C600E">
            <w:pPr>
              <w:contextualSpacing/>
              <w:jc w:val="both"/>
            </w:pPr>
            <w:r>
              <w:t>134</w:t>
            </w:r>
            <w:r w:rsidR="00742F64" w:rsidRPr="005346EA">
              <w:t xml:space="preserve"> m/s</w:t>
            </w:r>
          </w:p>
        </w:tc>
        <w:tc>
          <w:tcPr>
            <w:tcW w:w="1260" w:type="dxa"/>
          </w:tcPr>
          <w:p w14:paraId="3698A381" w14:textId="516CB49B" w:rsidR="00742F64" w:rsidRPr="005346EA" w:rsidRDefault="009004DB" w:rsidP="003C600E">
            <w:pPr>
              <w:contextualSpacing/>
              <w:jc w:val="both"/>
            </w:pPr>
            <w:r>
              <w:t>~Y</w:t>
            </w:r>
          </w:p>
        </w:tc>
      </w:tr>
      <w:tr w:rsidR="00742F64" w:rsidRPr="005346EA" w14:paraId="66CD0E17" w14:textId="77777777" w:rsidTr="00B724D9">
        <w:tc>
          <w:tcPr>
            <w:tcW w:w="1468" w:type="dxa"/>
          </w:tcPr>
          <w:p w14:paraId="66FE2605" w14:textId="77777777" w:rsidR="00742F64" w:rsidRPr="005346EA" w:rsidRDefault="00742F64" w:rsidP="003C600E">
            <w:pPr>
              <w:contextualSpacing/>
              <w:jc w:val="both"/>
            </w:pPr>
            <w:r w:rsidRPr="005346EA">
              <w:t>-5</w:t>
            </w:r>
          </w:p>
        </w:tc>
        <w:tc>
          <w:tcPr>
            <w:tcW w:w="1610" w:type="dxa"/>
          </w:tcPr>
          <w:p w14:paraId="3F05719F" w14:textId="77777777" w:rsidR="00742F64" w:rsidRPr="005346EA" w:rsidRDefault="00742F64" w:rsidP="003C600E">
            <w:pPr>
              <w:contextualSpacing/>
              <w:jc w:val="both"/>
            </w:pPr>
            <w:r w:rsidRPr="005346EA">
              <w:t>350 m/s</w:t>
            </w:r>
          </w:p>
        </w:tc>
        <w:tc>
          <w:tcPr>
            <w:tcW w:w="1168" w:type="dxa"/>
          </w:tcPr>
          <w:p w14:paraId="4EE4B881" w14:textId="77777777" w:rsidR="00742F64" w:rsidRPr="005346EA" w:rsidRDefault="00742F64" w:rsidP="003C600E">
            <w:pPr>
              <w:contextualSpacing/>
              <w:jc w:val="both"/>
            </w:pPr>
            <w:r w:rsidRPr="005346EA">
              <w:t>2 yr</w:t>
            </w:r>
          </w:p>
        </w:tc>
        <w:tc>
          <w:tcPr>
            <w:tcW w:w="816" w:type="dxa"/>
          </w:tcPr>
          <w:p w14:paraId="3786FB3D" w14:textId="77777777" w:rsidR="00742F64" w:rsidRPr="005346EA" w:rsidRDefault="00742F64" w:rsidP="003C600E">
            <w:pPr>
              <w:contextualSpacing/>
              <w:jc w:val="both"/>
            </w:pPr>
            <w:r w:rsidRPr="005346EA">
              <w:t>L5</w:t>
            </w:r>
          </w:p>
        </w:tc>
        <w:tc>
          <w:tcPr>
            <w:tcW w:w="2223" w:type="dxa"/>
          </w:tcPr>
          <w:p w14:paraId="50612CD9" w14:textId="77777777" w:rsidR="00742F64" w:rsidRPr="005346EA" w:rsidRDefault="00742F64" w:rsidP="003C600E">
            <w:pPr>
              <w:contextualSpacing/>
              <w:jc w:val="both"/>
            </w:pPr>
            <w:r w:rsidRPr="005346EA">
              <w:t>6.1 m/s</w:t>
            </w:r>
          </w:p>
        </w:tc>
        <w:tc>
          <w:tcPr>
            <w:tcW w:w="1260" w:type="dxa"/>
          </w:tcPr>
          <w:p w14:paraId="3B026AEE" w14:textId="77777777" w:rsidR="00742F64" w:rsidRPr="005346EA" w:rsidRDefault="00742F64" w:rsidP="003C600E">
            <w:pPr>
              <w:contextualSpacing/>
              <w:jc w:val="both"/>
            </w:pPr>
            <w:r w:rsidRPr="005346EA">
              <w:t>Y</w:t>
            </w:r>
          </w:p>
        </w:tc>
      </w:tr>
      <w:tr w:rsidR="00742F64" w:rsidRPr="005346EA" w14:paraId="0791B4BB" w14:textId="77777777" w:rsidTr="00B724D9">
        <w:tc>
          <w:tcPr>
            <w:tcW w:w="1468" w:type="dxa"/>
          </w:tcPr>
          <w:p w14:paraId="63A27C31" w14:textId="77777777" w:rsidR="00742F64" w:rsidRPr="005346EA" w:rsidRDefault="00742F64" w:rsidP="003C600E">
            <w:pPr>
              <w:contextualSpacing/>
              <w:jc w:val="both"/>
            </w:pPr>
            <w:r w:rsidRPr="005346EA">
              <w:t>0</w:t>
            </w:r>
          </w:p>
        </w:tc>
        <w:tc>
          <w:tcPr>
            <w:tcW w:w="1610" w:type="dxa"/>
          </w:tcPr>
          <w:p w14:paraId="6B835CF5" w14:textId="77777777" w:rsidR="00742F64" w:rsidRPr="005346EA" w:rsidRDefault="00742F64" w:rsidP="003C600E">
            <w:pPr>
              <w:contextualSpacing/>
              <w:jc w:val="both"/>
            </w:pPr>
            <w:r w:rsidRPr="005346EA">
              <w:t>865 m/s</w:t>
            </w:r>
          </w:p>
        </w:tc>
        <w:tc>
          <w:tcPr>
            <w:tcW w:w="1168" w:type="dxa"/>
          </w:tcPr>
          <w:p w14:paraId="29921832" w14:textId="77777777" w:rsidR="00742F64" w:rsidRPr="005346EA" w:rsidRDefault="00742F64" w:rsidP="003C600E">
            <w:pPr>
              <w:contextualSpacing/>
              <w:jc w:val="both"/>
            </w:pPr>
            <w:r w:rsidRPr="005346EA">
              <w:t>1 yr</w:t>
            </w:r>
          </w:p>
        </w:tc>
        <w:tc>
          <w:tcPr>
            <w:tcW w:w="816" w:type="dxa"/>
          </w:tcPr>
          <w:p w14:paraId="64B6ECEF" w14:textId="6A2C11FA" w:rsidR="00742F64" w:rsidRPr="005346EA" w:rsidRDefault="00742F64" w:rsidP="003C600E">
            <w:pPr>
              <w:contextualSpacing/>
              <w:jc w:val="both"/>
            </w:pPr>
            <w:r w:rsidRPr="005346EA">
              <w:t>L</w:t>
            </w:r>
            <w:r w:rsidR="009004DB">
              <w:t>5</w:t>
            </w:r>
          </w:p>
        </w:tc>
        <w:tc>
          <w:tcPr>
            <w:tcW w:w="2223" w:type="dxa"/>
          </w:tcPr>
          <w:p w14:paraId="58AC848F" w14:textId="281B75DF" w:rsidR="00742F64" w:rsidRPr="005346EA" w:rsidRDefault="009004DB" w:rsidP="003C600E">
            <w:pPr>
              <w:contextualSpacing/>
              <w:jc w:val="both"/>
            </w:pPr>
            <w:r>
              <w:t>16.4</w:t>
            </w:r>
            <w:r w:rsidR="00742F64" w:rsidRPr="005346EA">
              <w:t xml:space="preserve"> m/s</w:t>
            </w:r>
          </w:p>
        </w:tc>
        <w:tc>
          <w:tcPr>
            <w:tcW w:w="1260" w:type="dxa"/>
          </w:tcPr>
          <w:p w14:paraId="6D6645D4" w14:textId="6941F72C" w:rsidR="00742F64" w:rsidRPr="005346EA" w:rsidRDefault="00832065" w:rsidP="003C600E">
            <w:pPr>
              <w:contextualSpacing/>
              <w:jc w:val="both"/>
            </w:pPr>
            <w:r>
              <w:t>~Y</w:t>
            </w:r>
          </w:p>
        </w:tc>
      </w:tr>
      <w:tr w:rsidR="00742F64" w:rsidRPr="005346EA" w14:paraId="0AE4C61D" w14:textId="77777777" w:rsidTr="00B724D9">
        <w:tc>
          <w:tcPr>
            <w:tcW w:w="1468" w:type="dxa"/>
          </w:tcPr>
          <w:p w14:paraId="7BCF0DD2" w14:textId="77777777" w:rsidR="00742F64" w:rsidRPr="005346EA" w:rsidRDefault="00742F64" w:rsidP="003C600E">
            <w:pPr>
              <w:contextualSpacing/>
              <w:jc w:val="both"/>
            </w:pPr>
            <w:r w:rsidRPr="005346EA">
              <w:t>+5</w:t>
            </w:r>
          </w:p>
        </w:tc>
        <w:tc>
          <w:tcPr>
            <w:tcW w:w="1610" w:type="dxa"/>
          </w:tcPr>
          <w:p w14:paraId="515231B7" w14:textId="77777777" w:rsidR="00742F64" w:rsidRPr="005346EA" w:rsidRDefault="00742F64" w:rsidP="003C600E">
            <w:pPr>
              <w:contextualSpacing/>
              <w:jc w:val="both"/>
            </w:pPr>
            <w:r w:rsidRPr="005346EA">
              <w:t>409 m/s</w:t>
            </w:r>
          </w:p>
        </w:tc>
        <w:tc>
          <w:tcPr>
            <w:tcW w:w="1168" w:type="dxa"/>
          </w:tcPr>
          <w:p w14:paraId="594A2035" w14:textId="77777777" w:rsidR="00742F64" w:rsidRPr="005346EA" w:rsidRDefault="00742F64" w:rsidP="003C600E">
            <w:pPr>
              <w:contextualSpacing/>
              <w:jc w:val="both"/>
            </w:pPr>
            <w:r w:rsidRPr="005346EA">
              <w:t>1 yr</w:t>
            </w:r>
          </w:p>
        </w:tc>
        <w:tc>
          <w:tcPr>
            <w:tcW w:w="816" w:type="dxa"/>
          </w:tcPr>
          <w:p w14:paraId="0BC26C38" w14:textId="77777777" w:rsidR="00742F64" w:rsidRPr="005346EA" w:rsidRDefault="00742F64" w:rsidP="003C600E">
            <w:pPr>
              <w:contextualSpacing/>
              <w:jc w:val="both"/>
            </w:pPr>
            <w:r w:rsidRPr="005346EA">
              <w:t>L5</w:t>
            </w:r>
          </w:p>
        </w:tc>
        <w:tc>
          <w:tcPr>
            <w:tcW w:w="2223" w:type="dxa"/>
          </w:tcPr>
          <w:p w14:paraId="3CBE6774" w14:textId="77777777" w:rsidR="00742F64" w:rsidRPr="005346EA" w:rsidRDefault="00742F64" w:rsidP="003C600E">
            <w:pPr>
              <w:contextualSpacing/>
              <w:jc w:val="both"/>
            </w:pPr>
            <w:r w:rsidRPr="005346EA">
              <w:t>11.8 m/s</w:t>
            </w:r>
          </w:p>
        </w:tc>
        <w:tc>
          <w:tcPr>
            <w:tcW w:w="1260" w:type="dxa"/>
          </w:tcPr>
          <w:p w14:paraId="6F938F13" w14:textId="77777777" w:rsidR="00742F64" w:rsidRPr="005346EA" w:rsidRDefault="00742F64" w:rsidP="003C600E">
            <w:pPr>
              <w:contextualSpacing/>
              <w:jc w:val="both"/>
            </w:pPr>
            <w:r w:rsidRPr="005346EA">
              <w:t>Y</w:t>
            </w:r>
          </w:p>
        </w:tc>
      </w:tr>
      <w:tr w:rsidR="00742F64" w:rsidRPr="005346EA" w14:paraId="405FF714" w14:textId="77777777" w:rsidTr="00B724D9">
        <w:tc>
          <w:tcPr>
            <w:tcW w:w="1468" w:type="dxa"/>
          </w:tcPr>
          <w:p w14:paraId="059103E8" w14:textId="77777777" w:rsidR="00742F64" w:rsidRPr="005346EA" w:rsidRDefault="00742F64" w:rsidP="003C600E">
            <w:pPr>
              <w:contextualSpacing/>
              <w:jc w:val="both"/>
            </w:pPr>
            <w:r w:rsidRPr="005346EA">
              <w:t>+10</w:t>
            </w:r>
          </w:p>
        </w:tc>
        <w:tc>
          <w:tcPr>
            <w:tcW w:w="1610" w:type="dxa"/>
          </w:tcPr>
          <w:p w14:paraId="274F85B1" w14:textId="77777777" w:rsidR="00742F64" w:rsidRPr="005346EA" w:rsidRDefault="00742F64" w:rsidP="003C600E">
            <w:pPr>
              <w:contextualSpacing/>
              <w:jc w:val="both"/>
            </w:pPr>
            <w:r w:rsidRPr="005346EA">
              <w:t>877 m/s</w:t>
            </w:r>
          </w:p>
        </w:tc>
        <w:tc>
          <w:tcPr>
            <w:tcW w:w="1168" w:type="dxa"/>
          </w:tcPr>
          <w:p w14:paraId="30C8A9CC" w14:textId="77777777" w:rsidR="00742F64" w:rsidRPr="005346EA" w:rsidRDefault="00742F64" w:rsidP="003C600E">
            <w:pPr>
              <w:contextualSpacing/>
              <w:jc w:val="both"/>
            </w:pPr>
            <w:r w:rsidRPr="005346EA">
              <w:t>20 yr</w:t>
            </w:r>
          </w:p>
        </w:tc>
        <w:tc>
          <w:tcPr>
            <w:tcW w:w="816" w:type="dxa"/>
          </w:tcPr>
          <w:p w14:paraId="1D26D06D" w14:textId="77777777" w:rsidR="00742F64" w:rsidRPr="005346EA" w:rsidRDefault="00742F64" w:rsidP="003C600E">
            <w:pPr>
              <w:contextualSpacing/>
              <w:jc w:val="both"/>
            </w:pPr>
            <w:r w:rsidRPr="005346EA">
              <w:t>L4</w:t>
            </w:r>
          </w:p>
        </w:tc>
        <w:tc>
          <w:tcPr>
            <w:tcW w:w="2223" w:type="dxa"/>
          </w:tcPr>
          <w:p w14:paraId="7516ACDA" w14:textId="77777777" w:rsidR="00742F64" w:rsidRPr="005346EA" w:rsidRDefault="00742F64" w:rsidP="003C600E">
            <w:pPr>
              <w:contextualSpacing/>
              <w:jc w:val="both"/>
            </w:pPr>
            <w:r w:rsidRPr="005346EA">
              <w:t>0-400 m/s</w:t>
            </w:r>
          </w:p>
        </w:tc>
        <w:tc>
          <w:tcPr>
            <w:tcW w:w="1260" w:type="dxa"/>
          </w:tcPr>
          <w:p w14:paraId="01F21D70" w14:textId="77777777" w:rsidR="00742F64" w:rsidRPr="005346EA" w:rsidRDefault="00742F64" w:rsidP="003C600E">
            <w:pPr>
              <w:contextualSpacing/>
              <w:jc w:val="both"/>
            </w:pPr>
            <w:r w:rsidRPr="005346EA">
              <w:t xml:space="preserve">N* </w:t>
            </w:r>
          </w:p>
        </w:tc>
      </w:tr>
    </w:tbl>
    <w:bookmarkEnd w:id="1"/>
    <w:p w14:paraId="6BBF8674" w14:textId="1DBCEBF7" w:rsidR="005346EA" w:rsidRDefault="005346EA" w:rsidP="003C600E">
      <w:pPr>
        <w:ind w:firstLine="720"/>
        <w:jc w:val="both"/>
      </w:pPr>
      <w:r>
        <w:t>Assessment 1</w:t>
      </w:r>
      <w:r w:rsidR="00AB2E83">
        <w:t>, general</w:t>
      </w:r>
      <w:r>
        <w:t>:</w:t>
      </w:r>
    </w:p>
    <w:p w14:paraId="76956CD7" w14:textId="28B7237A" w:rsidR="009004DB" w:rsidRDefault="009004DB" w:rsidP="003C600E">
      <w:pPr>
        <w:spacing w:after="0" w:line="240" w:lineRule="auto"/>
        <w:ind w:firstLine="720"/>
        <w:jc w:val="both"/>
      </w:pPr>
      <w:r>
        <w:t>~ = (Within parameters, but not ideal)</w:t>
      </w:r>
    </w:p>
    <w:p w14:paraId="4FF1892A" w14:textId="5410298C" w:rsidR="00AB2E83" w:rsidRDefault="00AB2E83" w:rsidP="003C600E">
      <w:pPr>
        <w:spacing w:after="0" w:line="240" w:lineRule="auto"/>
        <w:ind w:firstLine="720"/>
        <w:jc w:val="both"/>
      </w:pPr>
      <w:r>
        <w:t>*</w:t>
      </w:r>
      <w:r w:rsidR="009004DB">
        <w:t xml:space="preserve"> = </w:t>
      </w:r>
      <w:r>
        <w:t>(Captured in horseshoe orbit very early, but approaches target too slowly)</w:t>
      </w:r>
    </w:p>
    <w:p w14:paraId="315A0882" w14:textId="77777777" w:rsidR="009004DB" w:rsidRDefault="009004DB" w:rsidP="003C600E">
      <w:pPr>
        <w:spacing w:after="0" w:line="240" w:lineRule="auto"/>
        <w:ind w:firstLine="720"/>
        <w:jc w:val="both"/>
      </w:pPr>
    </w:p>
    <w:p w14:paraId="750CA159" w14:textId="2EDC1251" w:rsidR="009004DB" w:rsidRDefault="00AB2E83" w:rsidP="003C600E">
      <w:pPr>
        <w:ind w:firstLine="720"/>
        <w:jc w:val="both"/>
      </w:pPr>
      <w:r>
        <w:t>Per this data, a mission to L4 may not be possible without a larger craft capable of a greater Delta-V. On the other hand, a mission to L5 using a CubeSat probe is very plausible.</w:t>
      </w:r>
    </w:p>
    <w:p w14:paraId="125F621D" w14:textId="77777777" w:rsidR="00913B1B" w:rsidRDefault="00913B1B" w:rsidP="003C600E">
      <w:pPr>
        <w:jc w:val="both"/>
      </w:pPr>
      <w:r>
        <w:br w:type="page"/>
      </w:r>
    </w:p>
    <w:tbl>
      <w:tblPr>
        <w:tblStyle w:val="TableGrid"/>
        <w:tblpPr w:leftFromText="180" w:rightFromText="180" w:vertAnchor="text" w:horzAnchor="margin" w:tblpY="357"/>
        <w:tblW w:w="8083" w:type="dxa"/>
        <w:tblLook w:val="04A0" w:firstRow="1" w:lastRow="0" w:firstColumn="1" w:lastColumn="0" w:noHBand="0" w:noVBand="1"/>
      </w:tblPr>
      <w:tblGrid>
        <w:gridCol w:w="1503"/>
        <w:gridCol w:w="1642"/>
        <w:gridCol w:w="1170"/>
        <w:gridCol w:w="1884"/>
        <w:gridCol w:w="1884"/>
      </w:tblGrid>
      <w:tr w:rsidR="00913B1B" w:rsidRPr="005346EA" w14:paraId="239E91B6" w14:textId="77777777" w:rsidTr="00913B1B">
        <w:tc>
          <w:tcPr>
            <w:tcW w:w="1503" w:type="dxa"/>
          </w:tcPr>
          <w:p w14:paraId="44F92221" w14:textId="77777777" w:rsidR="00913B1B" w:rsidRPr="005346EA" w:rsidRDefault="00913B1B" w:rsidP="003C600E">
            <w:pPr>
              <w:contextualSpacing/>
              <w:jc w:val="both"/>
            </w:pPr>
            <w:r w:rsidRPr="005346EA">
              <w:lastRenderedPageBreak/>
              <w:t>Starting Position (Day)</w:t>
            </w:r>
          </w:p>
        </w:tc>
        <w:tc>
          <w:tcPr>
            <w:tcW w:w="1642" w:type="dxa"/>
          </w:tcPr>
          <w:p w14:paraId="249F3198" w14:textId="77777777" w:rsidR="00913B1B" w:rsidRPr="005346EA" w:rsidRDefault="00913B1B" w:rsidP="003C600E">
            <w:pPr>
              <w:contextualSpacing/>
              <w:jc w:val="both"/>
            </w:pPr>
            <w:r w:rsidRPr="005346EA">
              <w:t>Delta-V to Best Encounter</w:t>
            </w:r>
          </w:p>
        </w:tc>
        <w:tc>
          <w:tcPr>
            <w:tcW w:w="1170" w:type="dxa"/>
          </w:tcPr>
          <w:p w14:paraId="0A3E5363" w14:textId="77777777" w:rsidR="00913B1B" w:rsidRPr="005346EA" w:rsidRDefault="00913B1B" w:rsidP="003C600E">
            <w:pPr>
              <w:contextualSpacing/>
              <w:jc w:val="both"/>
            </w:pPr>
            <w:r w:rsidRPr="005346EA">
              <w:t>Time to Encounter</w:t>
            </w:r>
          </w:p>
        </w:tc>
        <w:tc>
          <w:tcPr>
            <w:tcW w:w="1884" w:type="dxa"/>
          </w:tcPr>
          <w:p w14:paraId="1411B52A" w14:textId="77777777" w:rsidR="00913B1B" w:rsidRPr="005346EA" w:rsidRDefault="00913B1B" w:rsidP="003C600E">
            <w:pPr>
              <w:contextualSpacing/>
              <w:jc w:val="both"/>
            </w:pPr>
            <w:r w:rsidRPr="005346EA">
              <w:t>Relative Speed During Encounter</w:t>
            </w:r>
          </w:p>
        </w:tc>
        <w:tc>
          <w:tcPr>
            <w:tcW w:w="1884" w:type="dxa"/>
          </w:tcPr>
          <w:p w14:paraId="065FC894" w14:textId="77777777" w:rsidR="00913B1B" w:rsidRPr="005346EA" w:rsidRDefault="00913B1B" w:rsidP="003C600E">
            <w:pPr>
              <w:contextualSpacing/>
              <w:jc w:val="both"/>
            </w:pPr>
            <w:r w:rsidRPr="005346EA">
              <w:t>Successful?</w:t>
            </w:r>
          </w:p>
        </w:tc>
      </w:tr>
      <w:tr w:rsidR="00913B1B" w:rsidRPr="005346EA" w14:paraId="7F2FA0C1" w14:textId="77777777" w:rsidTr="00913B1B">
        <w:tc>
          <w:tcPr>
            <w:tcW w:w="1503" w:type="dxa"/>
          </w:tcPr>
          <w:p w14:paraId="1548B296" w14:textId="77777777" w:rsidR="00913B1B" w:rsidRPr="005346EA" w:rsidRDefault="00913B1B" w:rsidP="003C600E">
            <w:pPr>
              <w:contextualSpacing/>
              <w:jc w:val="both"/>
            </w:pPr>
            <w:r>
              <w:rPr>
                <w:rFonts w:cstheme="minorHAnsi"/>
              </w:rPr>
              <w:t>-8</w:t>
            </w:r>
          </w:p>
        </w:tc>
        <w:tc>
          <w:tcPr>
            <w:tcW w:w="1642" w:type="dxa"/>
          </w:tcPr>
          <w:p w14:paraId="20F7D233" w14:textId="77777777" w:rsidR="00913B1B" w:rsidRPr="005346EA" w:rsidRDefault="00913B1B" w:rsidP="003C600E">
            <w:pPr>
              <w:contextualSpacing/>
              <w:jc w:val="both"/>
            </w:pPr>
            <w:r>
              <w:rPr>
                <w:rFonts w:ascii="Calibri" w:hAnsi="Calibri" w:cs="Calibri"/>
                <w:color w:val="000000"/>
              </w:rPr>
              <w:t>702</w:t>
            </w:r>
          </w:p>
        </w:tc>
        <w:tc>
          <w:tcPr>
            <w:tcW w:w="1170" w:type="dxa"/>
          </w:tcPr>
          <w:p w14:paraId="5E47C0B9" w14:textId="77777777" w:rsidR="00913B1B" w:rsidRPr="005346EA" w:rsidRDefault="00913B1B" w:rsidP="003C600E">
            <w:pPr>
              <w:contextualSpacing/>
              <w:jc w:val="both"/>
            </w:pPr>
            <w:r>
              <w:t>9 yr</w:t>
            </w:r>
          </w:p>
        </w:tc>
        <w:tc>
          <w:tcPr>
            <w:tcW w:w="1884" w:type="dxa"/>
          </w:tcPr>
          <w:p w14:paraId="01B95D04" w14:textId="77777777" w:rsidR="00913B1B" w:rsidRPr="005346EA" w:rsidRDefault="00913B1B" w:rsidP="003C600E">
            <w:pPr>
              <w:contextualSpacing/>
              <w:jc w:val="both"/>
            </w:pPr>
            <w:r>
              <w:rPr>
                <w:rFonts w:ascii="Calibri" w:hAnsi="Calibri" w:cs="Calibri"/>
                <w:color w:val="000000"/>
              </w:rPr>
              <w:t>334</w:t>
            </w:r>
          </w:p>
        </w:tc>
        <w:tc>
          <w:tcPr>
            <w:tcW w:w="1884" w:type="dxa"/>
          </w:tcPr>
          <w:p w14:paraId="3F3213D5" w14:textId="77777777" w:rsidR="00913B1B" w:rsidRPr="005346EA" w:rsidRDefault="00913B1B" w:rsidP="003C600E">
            <w:pPr>
              <w:contextualSpacing/>
              <w:jc w:val="both"/>
            </w:pPr>
            <w:r>
              <w:t>N</w:t>
            </w:r>
          </w:p>
        </w:tc>
      </w:tr>
      <w:tr w:rsidR="00913B1B" w:rsidRPr="005346EA" w14:paraId="2FBBBE5C" w14:textId="77777777" w:rsidTr="00913B1B">
        <w:tc>
          <w:tcPr>
            <w:tcW w:w="1503" w:type="dxa"/>
          </w:tcPr>
          <w:p w14:paraId="6136FCCE" w14:textId="77777777" w:rsidR="00913B1B" w:rsidRPr="005346EA" w:rsidRDefault="00913B1B" w:rsidP="003C600E">
            <w:pPr>
              <w:contextualSpacing/>
              <w:jc w:val="both"/>
            </w:pPr>
            <w:r w:rsidRPr="005346EA">
              <w:t>-</w:t>
            </w:r>
            <w:r>
              <w:t>6</w:t>
            </w:r>
          </w:p>
        </w:tc>
        <w:tc>
          <w:tcPr>
            <w:tcW w:w="1642" w:type="dxa"/>
          </w:tcPr>
          <w:p w14:paraId="158D4BDF" w14:textId="77777777" w:rsidR="00913B1B" w:rsidRPr="005346EA" w:rsidRDefault="00913B1B" w:rsidP="003C600E">
            <w:pPr>
              <w:contextualSpacing/>
              <w:jc w:val="both"/>
            </w:pPr>
            <w:r>
              <w:rPr>
                <w:rFonts w:ascii="Calibri" w:hAnsi="Calibri" w:cs="Calibri"/>
                <w:color w:val="000000"/>
              </w:rPr>
              <w:t>740</w:t>
            </w:r>
          </w:p>
        </w:tc>
        <w:tc>
          <w:tcPr>
            <w:tcW w:w="1170" w:type="dxa"/>
          </w:tcPr>
          <w:p w14:paraId="68A4661A" w14:textId="77777777" w:rsidR="00913B1B" w:rsidRPr="005346EA" w:rsidRDefault="00913B1B" w:rsidP="003C600E">
            <w:pPr>
              <w:contextualSpacing/>
              <w:jc w:val="both"/>
            </w:pPr>
            <w:r>
              <w:t>2 yr</w:t>
            </w:r>
          </w:p>
        </w:tc>
        <w:tc>
          <w:tcPr>
            <w:tcW w:w="1884" w:type="dxa"/>
          </w:tcPr>
          <w:p w14:paraId="05EDE737" w14:textId="77777777" w:rsidR="00913B1B" w:rsidRPr="005346EA" w:rsidRDefault="00913B1B" w:rsidP="003C600E">
            <w:pPr>
              <w:contextualSpacing/>
              <w:jc w:val="both"/>
            </w:pPr>
            <w:r>
              <w:rPr>
                <w:rFonts w:ascii="Calibri" w:hAnsi="Calibri" w:cs="Calibri"/>
                <w:color w:val="000000"/>
              </w:rPr>
              <w:t>50</w:t>
            </w:r>
          </w:p>
        </w:tc>
        <w:tc>
          <w:tcPr>
            <w:tcW w:w="1884" w:type="dxa"/>
          </w:tcPr>
          <w:p w14:paraId="12CBCE73" w14:textId="77777777" w:rsidR="00913B1B" w:rsidRPr="005346EA" w:rsidRDefault="00913B1B" w:rsidP="003C600E">
            <w:pPr>
              <w:contextualSpacing/>
              <w:jc w:val="both"/>
            </w:pPr>
            <w:r>
              <w:t>~Y</w:t>
            </w:r>
          </w:p>
        </w:tc>
      </w:tr>
      <w:tr w:rsidR="00913B1B" w:rsidRPr="005346EA" w14:paraId="70BE0D61" w14:textId="77777777" w:rsidTr="00913B1B">
        <w:tc>
          <w:tcPr>
            <w:tcW w:w="1503" w:type="dxa"/>
          </w:tcPr>
          <w:p w14:paraId="5082AC2F" w14:textId="77777777" w:rsidR="00913B1B" w:rsidRPr="005346EA" w:rsidRDefault="00913B1B" w:rsidP="003C600E">
            <w:pPr>
              <w:contextualSpacing/>
              <w:jc w:val="both"/>
            </w:pPr>
            <w:r w:rsidRPr="005346EA">
              <w:t>-</w:t>
            </w:r>
            <w:r>
              <w:t>4</w:t>
            </w:r>
          </w:p>
        </w:tc>
        <w:tc>
          <w:tcPr>
            <w:tcW w:w="1642" w:type="dxa"/>
          </w:tcPr>
          <w:p w14:paraId="40145BF8" w14:textId="77777777" w:rsidR="00913B1B" w:rsidRPr="005346EA" w:rsidRDefault="00913B1B" w:rsidP="003C600E">
            <w:pPr>
              <w:contextualSpacing/>
              <w:jc w:val="both"/>
            </w:pPr>
            <w:r>
              <w:rPr>
                <w:rFonts w:ascii="Calibri" w:hAnsi="Calibri" w:cs="Calibri"/>
                <w:color w:val="000000"/>
              </w:rPr>
              <w:t>374</w:t>
            </w:r>
          </w:p>
        </w:tc>
        <w:tc>
          <w:tcPr>
            <w:tcW w:w="1170" w:type="dxa"/>
          </w:tcPr>
          <w:p w14:paraId="68190B37" w14:textId="77777777" w:rsidR="00913B1B" w:rsidRPr="005346EA" w:rsidRDefault="00913B1B" w:rsidP="003C600E">
            <w:pPr>
              <w:contextualSpacing/>
              <w:jc w:val="both"/>
            </w:pPr>
            <w:r>
              <w:t>2 yr</w:t>
            </w:r>
          </w:p>
        </w:tc>
        <w:tc>
          <w:tcPr>
            <w:tcW w:w="1884" w:type="dxa"/>
          </w:tcPr>
          <w:p w14:paraId="23D019D2" w14:textId="77777777" w:rsidR="00913B1B" w:rsidRPr="005346EA" w:rsidRDefault="00913B1B" w:rsidP="003C600E">
            <w:pPr>
              <w:contextualSpacing/>
              <w:jc w:val="both"/>
            </w:pPr>
            <w:r>
              <w:rPr>
                <w:rFonts w:ascii="Calibri" w:hAnsi="Calibri" w:cs="Calibri"/>
                <w:color w:val="000000"/>
              </w:rPr>
              <w:t>50</w:t>
            </w:r>
          </w:p>
        </w:tc>
        <w:tc>
          <w:tcPr>
            <w:tcW w:w="1884" w:type="dxa"/>
          </w:tcPr>
          <w:p w14:paraId="017B42CB" w14:textId="77777777" w:rsidR="00913B1B" w:rsidRPr="005346EA" w:rsidRDefault="00913B1B" w:rsidP="003C600E">
            <w:pPr>
              <w:contextualSpacing/>
              <w:jc w:val="both"/>
            </w:pPr>
            <w:r>
              <w:t>Y</w:t>
            </w:r>
          </w:p>
        </w:tc>
      </w:tr>
      <w:tr w:rsidR="00913B1B" w:rsidRPr="005346EA" w14:paraId="2F74A51C" w14:textId="77777777" w:rsidTr="00913B1B">
        <w:tc>
          <w:tcPr>
            <w:tcW w:w="1503" w:type="dxa"/>
          </w:tcPr>
          <w:p w14:paraId="461445D0" w14:textId="77777777" w:rsidR="00913B1B" w:rsidRPr="005346EA" w:rsidRDefault="00913B1B" w:rsidP="003C600E">
            <w:pPr>
              <w:contextualSpacing/>
              <w:jc w:val="both"/>
            </w:pPr>
            <w:r>
              <w:t>-2</w:t>
            </w:r>
          </w:p>
        </w:tc>
        <w:tc>
          <w:tcPr>
            <w:tcW w:w="1642" w:type="dxa"/>
          </w:tcPr>
          <w:p w14:paraId="12C72072" w14:textId="77777777" w:rsidR="00913B1B" w:rsidRPr="005346EA" w:rsidRDefault="00913B1B" w:rsidP="003C600E">
            <w:pPr>
              <w:contextualSpacing/>
              <w:jc w:val="both"/>
            </w:pPr>
            <w:r>
              <w:rPr>
                <w:rFonts w:ascii="Calibri" w:hAnsi="Calibri" w:cs="Calibri"/>
                <w:color w:val="000000"/>
              </w:rPr>
              <w:t>468</w:t>
            </w:r>
          </w:p>
        </w:tc>
        <w:tc>
          <w:tcPr>
            <w:tcW w:w="1170" w:type="dxa"/>
          </w:tcPr>
          <w:p w14:paraId="7C346DC2" w14:textId="77777777" w:rsidR="00913B1B" w:rsidRPr="005346EA" w:rsidRDefault="00913B1B" w:rsidP="003C600E">
            <w:pPr>
              <w:contextualSpacing/>
              <w:jc w:val="both"/>
            </w:pPr>
            <w:r>
              <w:t>1 yr</w:t>
            </w:r>
          </w:p>
        </w:tc>
        <w:tc>
          <w:tcPr>
            <w:tcW w:w="1884" w:type="dxa"/>
          </w:tcPr>
          <w:p w14:paraId="02639C19" w14:textId="77777777" w:rsidR="00913B1B" w:rsidRPr="005346EA" w:rsidRDefault="00913B1B" w:rsidP="003C600E">
            <w:pPr>
              <w:contextualSpacing/>
              <w:jc w:val="both"/>
            </w:pPr>
            <w:r>
              <w:rPr>
                <w:rFonts w:ascii="Calibri" w:hAnsi="Calibri" w:cs="Calibri"/>
                <w:color w:val="000000"/>
              </w:rPr>
              <w:t>16</w:t>
            </w:r>
          </w:p>
        </w:tc>
        <w:tc>
          <w:tcPr>
            <w:tcW w:w="1884" w:type="dxa"/>
          </w:tcPr>
          <w:p w14:paraId="42681EDC" w14:textId="77777777" w:rsidR="00913B1B" w:rsidRPr="005346EA" w:rsidRDefault="00913B1B" w:rsidP="003C600E">
            <w:pPr>
              <w:contextualSpacing/>
              <w:jc w:val="both"/>
            </w:pPr>
            <w:r>
              <w:t>Y</w:t>
            </w:r>
          </w:p>
        </w:tc>
      </w:tr>
      <w:tr w:rsidR="00913B1B" w:rsidRPr="005346EA" w14:paraId="77D69409" w14:textId="77777777" w:rsidTr="00913B1B">
        <w:tc>
          <w:tcPr>
            <w:tcW w:w="1503" w:type="dxa"/>
          </w:tcPr>
          <w:p w14:paraId="28EEDCB8" w14:textId="77777777" w:rsidR="00913B1B" w:rsidRPr="005346EA" w:rsidRDefault="00913B1B" w:rsidP="003C600E">
            <w:pPr>
              <w:contextualSpacing/>
              <w:jc w:val="both"/>
            </w:pPr>
            <w:r>
              <w:t>0</w:t>
            </w:r>
          </w:p>
        </w:tc>
        <w:tc>
          <w:tcPr>
            <w:tcW w:w="1642" w:type="dxa"/>
          </w:tcPr>
          <w:p w14:paraId="6E964580" w14:textId="77777777" w:rsidR="00913B1B" w:rsidRPr="005346EA" w:rsidRDefault="00913B1B" w:rsidP="003C600E">
            <w:pPr>
              <w:contextualSpacing/>
              <w:jc w:val="both"/>
            </w:pPr>
            <w:r>
              <w:rPr>
                <w:rFonts w:ascii="Calibri" w:hAnsi="Calibri" w:cs="Calibri"/>
                <w:color w:val="000000"/>
              </w:rPr>
              <w:t>877</w:t>
            </w:r>
          </w:p>
        </w:tc>
        <w:tc>
          <w:tcPr>
            <w:tcW w:w="1170" w:type="dxa"/>
          </w:tcPr>
          <w:p w14:paraId="15F5245B" w14:textId="77777777" w:rsidR="00913B1B" w:rsidRPr="005346EA" w:rsidRDefault="00913B1B" w:rsidP="003C600E">
            <w:pPr>
              <w:contextualSpacing/>
              <w:jc w:val="both"/>
            </w:pPr>
            <w:r>
              <w:t>1 yr</w:t>
            </w:r>
          </w:p>
        </w:tc>
        <w:tc>
          <w:tcPr>
            <w:tcW w:w="1884" w:type="dxa"/>
          </w:tcPr>
          <w:p w14:paraId="78807D6A" w14:textId="77777777" w:rsidR="00913B1B" w:rsidRPr="005346EA" w:rsidRDefault="00913B1B" w:rsidP="003C600E">
            <w:pPr>
              <w:contextualSpacing/>
              <w:jc w:val="both"/>
            </w:pPr>
            <w:r>
              <w:rPr>
                <w:rFonts w:ascii="Calibri" w:hAnsi="Calibri" w:cs="Calibri"/>
                <w:color w:val="000000"/>
              </w:rPr>
              <w:t>16</w:t>
            </w:r>
          </w:p>
        </w:tc>
        <w:tc>
          <w:tcPr>
            <w:tcW w:w="1884" w:type="dxa"/>
          </w:tcPr>
          <w:p w14:paraId="74583AD9" w14:textId="77777777" w:rsidR="00913B1B" w:rsidRPr="005346EA" w:rsidRDefault="00913B1B" w:rsidP="003C600E">
            <w:pPr>
              <w:contextualSpacing/>
              <w:jc w:val="both"/>
            </w:pPr>
            <w:r>
              <w:t>~Y</w:t>
            </w:r>
          </w:p>
        </w:tc>
      </w:tr>
      <w:tr w:rsidR="00913B1B" w:rsidRPr="005346EA" w14:paraId="6387E677" w14:textId="77777777" w:rsidTr="00913B1B">
        <w:tc>
          <w:tcPr>
            <w:tcW w:w="1503" w:type="dxa"/>
          </w:tcPr>
          <w:p w14:paraId="7DFA0B30" w14:textId="77777777" w:rsidR="00913B1B" w:rsidRPr="005346EA" w:rsidRDefault="00913B1B" w:rsidP="003C600E">
            <w:pPr>
              <w:contextualSpacing/>
              <w:jc w:val="both"/>
            </w:pPr>
            <w:r w:rsidRPr="005346EA">
              <w:t>+</w:t>
            </w:r>
            <w:r>
              <w:t>2</w:t>
            </w:r>
          </w:p>
        </w:tc>
        <w:tc>
          <w:tcPr>
            <w:tcW w:w="1642" w:type="dxa"/>
          </w:tcPr>
          <w:p w14:paraId="7C8C1C42" w14:textId="77777777" w:rsidR="00913B1B" w:rsidRPr="005346EA" w:rsidRDefault="00913B1B" w:rsidP="003C600E">
            <w:pPr>
              <w:contextualSpacing/>
              <w:jc w:val="both"/>
            </w:pPr>
            <w:r>
              <w:rPr>
                <w:rFonts w:ascii="Calibri" w:hAnsi="Calibri" w:cs="Calibri"/>
                <w:color w:val="000000"/>
              </w:rPr>
              <w:t>573</w:t>
            </w:r>
          </w:p>
        </w:tc>
        <w:tc>
          <w:tcPr>
            <w:tcW w:w="1170" w:type="dxa"/>
          </w:tcPr>
          <w:p w14:paraId="2624F881" w14:textId="77777777" w:rsidR="00913B1B" w:rsidRPr="005346EA" w:rsidRDefault="00913B1B" w:rsidP="003C600E">
            <w:pPr>
              <w:contextualSpacing/>
              <w:jc w:val="both"/>
            </w:pPr>
            <w:r>
              <w:t>1 yr</w:t>
            </w:r>
          </w:p>
        </w:tc>
        <w:tc>
          <w:tcPr>
            <w:tcW w:w="1884" w:type="dxa"/>
          </w:tcPr>
          <w:p w14:paraId="735E2F52" w14:textId="77777777" w:rsidR="00913B1B" w:rsidRPr="005346EA" w:rsidRDefault="00913B1B" w:rsidP="003C600E">
            <w:pPr>
              <w:contextualSpacing/>
              <w:jc w:val="both"/>
            </w:pPr>
            <w:r>
              <w:rPr>
                <w:rFonts w:ascii="Calibri" w:hAnsi="Calibri" w:cs="Calibri"/>
                <w:color w:val="000000"/>
              </w:rPr>
              <w:t>17</w:t>
            </w:r>
          </w:p>
        </w:tc>
        <w:tc>
          <w:tcPr>
            <w:tcW w:w="1884" w:type="dxa"/>
          </w:tcPr>
          <w:p w14:paraId="7F4A6169" w14:textId="77777777" w:rsidR="00913B1B" w:rsidRPr="005346EA" w:rsidRDefault="00913B1B" w:rsidP="003C600E">
            <w:pPr>
              <w:contextualSpacing/>
              <w:jc w:val="both"/>
            </w:pPr>
            <w:r w:rsidRPr="005346EA">
              <w:t xml:space="preserve"> </w:t>
            </w:r>
            <w:r>
              <w:t>Y</w:t>
            </w:r>
          </w:p>
        </w:tc>
      </w:tr>
      <w:tr w:rsidR="00913B1B" w:rsidRPr="005346EA" w14:paraId="7C816E53" w14:textId="77777777" w:rsidTr="00913B1B">
        <w:tc>
          <w:tcPr>
            <w:tcW w:w="1503" w:type="dxa"/>
          </w:tcPr>
          <w:p w14:paraId="6FA13DAB" w14:textId="77777777" w:rsidR="00913B1B" w:rsidRPr="005346EA" w:rsidRDefault="00913B1B" w:rsidP="003C600E">
            <w:pPr>
              <w:contextualSpacing/>
              <w:jc w:val="both"/>
            </w:pPr>
            <w:r>
              <w:t>+4</w:t>
            </w:r>
          </w:p>
        </w:tc>
        <w:tc>
          <w:tcPr>
            <w:tcW w:w="1642" w:type="dxa"/>
          </w:tcPr>
          <w:p w14:paraId="17C7AC2E" w14:textId="77777777" w:rsidR="00913B1B" w:rsidRPr="005346EA" w:rsidRDefault="00913B1B" w:rsidP="003C600E">
            <w:pPr>
              <w:contextualSpacing/>
              <w:jc w:val="both"/>
            </w:pPr>
            <w:r>
              <w:rPr>
                <w:rFonts w:ascii="Calibri" w:hAnsi="Calibri" w:cs="Calibri"/>
                <w:color w:val="000000"/>
              </w:rPr>
              <w:t>222</w:t>
            </w:r>
          </w:p>
        </w:tc>
        <w:tc>
          <w:tcPr>
            <w:tcW w:w="1170" w:type="dxa"/>
          </w:tcPr>
          <w:p w14:paraId="62251948" w14:textId="77777777" w:rsidR="00913B1B" w:rsidRPr="005346EA" w:rsidRDefault="00913B1B" w:rsidP="003C600E">
            <w:pPr>
              <w:contextualSpacing/>
              <w:jc w:val="both"/>
            </w:pPr>
            <w:r>
              <w:t>1 yr</w:t>
            </w:r>
          </w:p>
        </w:tc>
        <w:tc>
          <w:tcPr>
            <w:tcW w:w="1884" w:type="dxa"/>
          </w:tcPr>
          <w:p w14:paraId="4447BE51" w14:textId="77777777" w:rsidR="00913B1B" w:rsidRPr="005346EA" w:rsidRDefault="00913B1B" w:rsidP="003C600E">
            <w:pPr>
              <w:contextualSpacing/>
              <w:jc w:val="both"/>
            </w:pPr>
            <w:r>
              <w:rPr>
                <w:rFonts w:ascii="Calibri" w:hAnsi="Calibri" w:cs="Calibri"/>
                <w:color w:val="000000"/>
              </w:rPr>
              <w:t>7</w:t>
            </w:r>
          </w:p>
        </w:tc>
        <w:tc>
          <w:tcPr>
            <w:tcW w:w="1884" w:type="dxa"/>
          </w:tcPr>
          <w:p w14:paraId="0F5CF721" w14:textId="77777777" w:rsidR="00913B1B" w:rsidRPr="005346EA" w:rsidRDefault="00913B1B" w:rsidP="003C600E">
            <w:pPr>
              <w:contextualSpacing/>
              <w:jc w:val="both"/>
            </w:pPr>
            <w:r>
              <w:t>Y</w:t>
            </w:r>
          </w:p>
        </w:tc>
      </w:tr>
      <w:tr w:rsidR="00913B1B" w:rsidRPr="005346EA" w14:paraId="5D48D7CF" w14:textId="77777777" w:rsidTr="00913B1B">
        <w:tc>
          <w:tcPr>
            <w:tcW w:w="1503" w:type="dxa"/>
          </w:tcPr>
          <w:p w14:paraId="0C724EFB" w14:textId="77777777" w:rsidR="00913B1B" w:rsidRPr="005346EA" w:rsidRDefault="00913B1B" w:rsidP="003C600E">
            <w:pPr>
              <w:contextualSpacing/>
              <w:jc w:val="both"/>
            </w:pPr>
            <w:r>
              <w:t>+6</w:t>
            </w:r>
          </w:p>
        </w:tc>
        <w:tc>
          <w:tcPr>
            <w:tcW w:w="1642" w:type="dxa"/>
          </w:tcPr>
          <w:p w14:paraId="184CAB28" w14:textId="77777777" w:rsidR="00913B1B" w:rsidRPr="005346EA" w:rsidRDefault="00913B1B" w:rsidP="003C600E">
            <w:pPr>
              <w:contextualSpacing/>
              <w:jc w:val="both"/>
            </w:pPr>
            <w:r>
              <w:rPr>
                <w:rFonts w:ascii="Calibri" w:hAnsi="Calibri" w:cs="Calibri"/>
                <w:color w:val="000000"/>
              </w:rPr>
              <w:t>608</w:t>
            </w:r>
          </w:p>
        </w:tc>
        <w:tc>
          <w:tcPr>
            <w:tcW w:w="1170" w:type="dxa"/>
          </w:tcPr>
          <w:p w14:paraId="504EEB4E" w14:textId="77777777" w:rsidR="00913B1B" w:rsidRPr="005346EA" w:rsidRDefault="00913B1B" w:rsidP="003C600E">
            <w:pPr>
              <w:contextualSpacing/>
              <w:jc w:val="both"/>
            </w:pPr>
            <w:r>
              <w:t>1 yr</w:t>
            </w:r>
          </w:p>
        </w:tc>
        <w:tc>
          <w:tcPr>
            <w:tcW w:w="1884" w:type="dxa"/>
          </w:tcPr>
          <w:p w14:paraId="7EA5FE00" w14:textId="77777777" w:rsidR="00913B1B" w:rsidRPr="005346EA" w:rsidRDefault="00913B1B" w:rsidP="003C600E">
            <w:pPr>
              <w:contextualSpacing/>
              <w:jc w:val="both"/>
            </w:pPr>
            <w:r>
              <w:rPr>
                <w:rFonts w:ascii="Calibri" w:hAnsi="Calibri" w:cs="Calibri"/>
                <w:color w:val="000000"/>
              </w:rPr>
              <w:t>49</w:t>
            </w:r>
          </w:p>
        </w:tc>
        <w:tc>
          <w:tcPr>
            <w:tcW w:w="1884" w:type="dxa"/>
          </w:tcPr>
          <w:p w14:paraId="410E5111" w14:textId="77777777" w:rsidR="00913B1B" w:rsidRPr="005346EA" w:rsidRDefault="00913B1B" w:rsidP="003C600E">
            <w:pPr>
              <w:contextualSpacing/>
              <w:jc w:val="both"/>
            </w:pPr>
            <w:r>
              <w:t>Y</w:t>
            </w:r>
          </w:p>
        </w:tc>
      </w:tr>
      <w:tr w:rsidR="00913B1B" w:rsidRPr="005346EA" w14:paraId="09A9CD66" w14:textId="77777777" w:rsidTr="00913B1B">
        <w:tc>
          <w:tcPr>
            <w:tcW w:w="1503" w:type="dxa"/>
          </w:tcPr>
          <w:p w14:paraId="4E8C09D9" w14:textId="77777777" w:rsidR="00913B1B" w:rsidRPr="005346EA" w:rsidRDefault="00913B1B" w:rsidP="003C600E">
            <w:pPr>
              <w:contextualSpacing/>
              <w:jc w:val="both"/>
            </w:pPr>
            <w:r>
              <w:t>+8</w:t>
            </w:r>
          </w:p>
        </w:tc>
        <w:tc>
          <w:tcPr>
            <w:tcW w:w="1642" w:type="dxa"/>
          </w:tcPr>
          <w:p w14:paraId="6D62A804" w14:textId="77777777" w:rsidR="00913B1B" w:rsidRPr="005346EA" w:rsidRDefault="00913B1B" w:rsidP="003C600E">
            <w:pPr>
              <w:contextualSpacing/>
              <w:jc w:val="both"/>
            </w:pPr>
            <w:r>
              <w:rPr>
                <w:rFonts w:ascii="Calibri" w:hAnsi="Calibri" w:cs="Calibri"/>
                <w:color w:val="000000"/>
              </w:rPr>
              <w:t>667</w:t>
            </w:r>
          </w:p>
        </w:tc>
        <w:tc>
          <w:tcPr>
            <w:tcW w:w="1170" w:type="dxa"/>
          </w:tcPr>
          <w:p w14:paraId="7CD487A7" w14:textId="77777777" w:rsidR="00913B1B" w:rsidRPr="005346EA" w:rsidRDefault="00913B1B" w:rsidP="003C600E">
            <w:pPr>
              <w:contextualSpacing/>
              <w:jc w:val="both"/>
            </w:pPr>
            <w:r>
              <w:t>2 yr</w:t>
            </w:r>
          </w:p>
        </w:tc>
        <w:tc>
          <w:tcPr>
            <w:tcW w:w="1884" w:type="dxa"/>
          </w:tcPr>
          <w:p w14:paraId="00650895" w14:textId="77777777" w:rsidR="00913B1B" w:rsidRPr="005346EA" w:rsidRDefault="00913B1B" w:rsidP="003C600E">
            <w:pPr>
              <w:contextualSpacing/>
              <w:jc w:val="both"/>
            </w:pPr>
            <w:r>
              <w:rPr>
                <w:rFonts w:ascii="Calibri" w:hAnsi="Calibri" w:cs="Calibri"/>
                <w:color w:val="000000"/>
              </w:rPr>
              <w:t>4</w:t>
            </w:r>
          </w:p>
        </w:tc>
        <w:tc>
          <w:tcPr>
            <w:tcW w:w="1884" w:type="dxa"/>
          </w:tcPr>
          <w:p w14:paraId="3F06F9CC" w14:textId="77777777" w:rsidR="00913B1B" w:rsidRPr="005346EA" w:rsidRDefault="00913B1B" w:rsidP="003C600E">
            <w:pPr>
              <w:contextualSpacing/>
              <w:jc w:val="both"/>
            </w:pPr>
            <w:r>
              <w:t>~Y</w:t>
            </w:r>
          </w:p>
        </w:tc>
      </w:tr>
    </w:tbl>
    <w:p w14:paraId="4B4B018E" w14:textId="5E4EDC1E" w:rsidR="00AB2E83" w:rsidRDefault="009004DB" w:rsidP="003C600E">
      <w:pPr>
        <w:ind w:firstLine="720"/>
        <w:jc w:val="both"/>
      </w:pPr>
      <w:r>
        <w:t>Assessment 2, L5-focus:</w:t>
      </w:r>
    </w:p>
    <w:p w14:paraId="466B51DA" w14:textId="545C96B1" w:rsidR="00AB2E83" w:rsidRDefault="00AB2E83" w:rsidP="003C600E">
      <w:pPr>
        <w:ind w:firstLine="720"/>
        <w:jc w:val="both"/>
      </w:pPr>
    </w:p>
    <w:p w14:paraId="05DA63C7" w14:textId="26328D68" w:rsidR="00AB2E83" w:rsidRDefault="00AB2E83" w:rsidP="003C600E">
      <w:pPr>
        <w:ind w:firstLine="720"/>
        <w:jc w:val="both"/>
      </w:pPr>
    </w:p>
    <w:p w14:paraId="7C678686" w14:textId="2FF08E7B" w:rsidR="00AB2E83" w:rsidRDefault="00AB2E83" w:rsidP="003C600E">
      <w:pPr>
        <w:ind w:firstLine="720"/>
        <w:jc w:val="both"/>
      </w:pPr>
    </w:p>
    <w:p w14:paraId="3A96C8F2" w14:textId="45A7B199" w:rsidR="00D44D64" w:rsidRDefault="00D44D64" w:rsidP="003C600E">
      <w:pPr>
        <w:ind w:firstLine="720"/>
        <w:jc w:val="both"/>
      </w:pPr>
    </w:p>
    <w:p w14:paraId="4D551193" w14:textId="539009D2" w:rsidR="00D44D64" w:rsidRDefault="00D44D64" w:rsidP="003C600E">
      <w:pPr>
        <w:ind w:firstLine="720"/>
        <w:jc w:val="both"/>
      </w:pPr>
    </w:p>
    <w:p w14:paraId="57D599D3" w14:textId="387B1A01" w:rsidR="00D44D64" w:rsidRDefault="00D44D64" w:rsidP="003C600E">
      <w:pPr>
        <w:ind w:firstLine="720"/>
        <w:jc w:val="both"/>
      </w:pPr>
    </w:p>
    <w:p w14:paraId="65A176D9" w14:textId="7E593E8A" w:rsidR="00D44D64" w:rsidRDefault="00D44D64" w:rsidP="003C600E">
      <w:pPr>
        <w:ind w:firstLine="720"/>
        <w:jc w:val="both"/>
      </w:pPr>
    </w:p>
    <w:p w14:paraId="50E48343" w14:textId="744CD04F" w:rsidR="00D44D64" w:rsidRDefault="00D44D64" w:rsidP="003C600E">
      <w:pPr>
        <w:spacing w:after="0" w:line="240" w:lineRule="auto"/>
        <w:ind w:firstLine="720"/>
        <w:jc w:val="both"/>
      </w:pPr>
      <w:r>
        <w:t>~ = (Within parameters, but not ideal)</w:t>
      </w:r>
    </w:p>
    <w:p w14:paraId="41E05B4A" w14:textId="152426B0" w:rsidR="00913B1B" w:rsidRDefault="00913B1B" w:rsidP="003C600E">
      <w:pPr>
        <w:spacing w:after="0" w:line="240" w:lineRule="auto"/>
        <w:ind w:firstLine="720"/>
        <w:jc w:val="both"/>
      </w:pPr>
    </w:p>
    <w:p w14:paraId="26ECDC18" w14:textId="77777777" w:rsidR="00913B1B" w:rsidRDefault="00913B1B" w:rsidP="003C600E">
      <w:pPr>
        <w:spacing w:after="0" w:line="240" w:lineRule="auto"/>
        <w:ind w:firstLine="720"/>
        <w:jc w:val="both"/>
      </w:pPr>
    </w:p>
    <w:p w14:paraId="40C140EC" w14:textId="1E9B976D" w:rsidR="00B724D9" w:rsidRDefault="00913B1B" w:rsidP="003C600E">
      <w:pPr>
        <w:jc w:val="both"/>
      </w:pPr>
      <w:r>
        <w:rPr>
          <w:noProof/>
        </w:rPr>
        <w:drawing>
          <wp:inline distT="0" distB="0" distL="0" distR="0" wp14:anchorId="520CEF89" wp14:editId="74BD6BB6">
            <wp:extent cx="5943600" cy="4310380"/>
            <wp:effectExtent l="0" t="0" r="0" b="0"/>
            <wp:docPr id="1" name="Chart 1">
              <a:extLst xmlns:a="http://schemas.openxmlformats.org/drawingml/2006/main">
                <a:ext uri="{FF2B5EF4-FFF2-40B4-BE49-F238E27FC236}">
                  <a16:creationId xmlns:a16="http://schemas.microsoft.com/office/drawing/2014/main" id="{72953AB8-35AC-43C9-937C-FFD9536DAD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B724D9">
        <w:br w:type="page"/>
      </w:r>
    </w:p>
    <w:p w14:paraId="54F5ADE4" w14:textId="6B53B413" w:rsidR="00D44D64" w:rsidRPr="009C7C7E" w:rsidRDefault="00D44D64" w:rsidP="003C600E">
      <w:pPr>
        <w:jc w:val="both"/>
      </w:pPr>
    </w:p>
    <w:sectPr w:rsidR="00D44D64" w:rsidRPr="009C7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F96"/>
    <w:rsid w:val="00020647"/>
    <w:rsid w:val="00024B63"/>
    <w:rsid w:val="000B6EF9"/>
    <w:rsid w:val="00182347"/>
    <w:rsid w:val="001E5593"/>
    <w:rsid w:val="00202E91"/>
    <w:rsid w:val="00240D55"/>
    <w:rsid w:val="00264E30"/>
    <w:rsid w:val="00265F4F"/>
    <w:rsid w:val="002B3A8A"/>
    <w:rsid w:val="00351F96"/>
    <w:rsid w:val="003A547A"/>
    <w:rsid w:val="003C600E"/>
    <w:rsid w:val="003D7A55"/>
    <w:rsid w:val="003E278E"/>
    <w:rsid w:val="0042527A"/>
    <w:rsid w:val="00474E5D"/>
    <w:rsid w:val="004D06D4"/>
    <w:rsid w:val="00507419"/>
    <w:rsid w:val="005346EA"/>
    <w:rsid w:val="00572660"/>
    <w:rsid w:val="006425CB"/>
    <w:rsid w:val="006F7EC2"/>
    <w:rsid w:val="00742F64"/>
    <w:rsid w:val="0074542F"/>
    <w:rsid w:val="00762CCE"/>
    <w:rsid w:val="007D61A8"/>
    <w:rsid w:val="00821092"/>
    <w:rsid w:val="00832065"/>
    <w:rsid w:val="00844C88"/>
    <w:rsid w:val="008A41DF"/>
    <w:rsid w:val="009004DB"/>
    <w:rsid w:val="00913B1B"/>
    <w:rsid w:val="0092662C"/>
    <w:rsid w:val="00927705"/>
    <w:rsid w:val="009A28AF"/>
    <w:rsid w:val="009A63FF"/>
    <w:rsid w:val="009C0DE1"/>
    <w:rsid w:val="009C7C7E"/>
    <w:rsid w:val="009F317B"/>
    <w:rsid w:val="00AB2E83"/>
    <w:rsid w:val="00AC4198"/>
    <w:rsid w:val="00AD6A6C"/>
    <w:rsid w:val="00B269A6"/>
    <w:rsid w:val="00B56C53"/>
    <w:rsid w:val="00B724D9"/>
    <w:rsid w:val="00C156E7"/>
    <w:rsid w:val="00C75065"/>
    <w:rsid w:val="00D166B6"/>
    <w:rsid w:val="00D44D64"/>
    <w:rsid w:val="00DD7D43"/>
    <w:rsid w:val="00E736B5"/>
    <w:rsid w:val="00E747F8"/>
    <w:rsid w:val="00EA3CD7"/>
    <w:rsid w:val="00EF3AB7"/>
    <w:rsid w:val="00F60051"/>
    <w:rsid w:val="00F726EF"/>
    <w:rsid w:val="00FA0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4487"/>
  <w15:chartTrackingRefBased/>
  <w15:docId w15:val="{34DC2432-592E-4538-947C-82C77AD3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1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4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269A6"/>
    <w:rPr>
      <w:sz w:val="16"/>
      <w:szCs w:val="16"/>
    </w:rPr>
  </w:style>
  <w:style w:type="paragraph" w:styleId="CommentText">
    <w:name w:val="annotation text"/>
    <w:basedOn w:val="Normal"/>
    <w:link w:val="CommentTextChar"/>
    <w:uiPriority w:val="99"/>
    <w:semiHidden/>
    <w:unhideWhenUsed/>
    <w:rsid w:val="00B269A6"/>
    <w:pPr>
      <w:spacing w:line="240" w:lineRule="auto"/>
    </w:pPr>
    <w:rPr>
      <w:sz w:val="20"/>
      <w:szCs w:val="20"/>
    </w:rPr>
  </w:style>
  <w:style w:type="character" w:customStyle="1" w:styleId="CommentTextChar">
    <w:name w:val="Comment Text Char"/>
    <w:basedOn w:val="DefaultParagraphFont"/>
    <w:link w:val="CommentText"/>
    <w:uiPriority w:val="99"/>
    <w:semiHidden/>
    <w:rsid w:val="00B269A6"/>
    <w:rPr>
      <w:sz w:val="20"/>
      <w:szCs w:val="20"/>
    </w:rPr>
  </w:style>
  <w:style w:type="paragraph" w:styleId="CommentSubject">
    <w:name w:val="annotation subject"/>
    <w:basedOn w:val="CommentText"/>
    <w:next w:val="CommentText"/>
    <w:link w:val="CommentSubjectChar"/>
    <w:uiPriority w:val="99"/>
    <w:semiHidden/>
    <w:unhideWhenUsed/>
    <w:rsid w:val="00B269A6"/>
    <w:rPr>
      <w:b/>
      <w:bCs/>
    </w:rPr>
  </w:style>
  <w:style w:type="character" w:customStyle="1" w:styleId="CommentSubjectChar">
    <w:name w:val="Comment Subject Char"/>
    <w:basedOn w:val="CommentTextChar"/>
    <w:link w:val="CommentSubject"/>
    <w:uiPriority w:val="99"/>
    <w:semiHidden/>
    <w:rsid w:val="00B269A6"/>
    <w:rPr>
      <w:b/>
      <w:bCs/>
      <w:sz w:val="20"/>
      <w:szCs w:val="20"/>
    </w:rPr>
  </w:style>
  <w:style w:type="paragraph" w:styleId="BalloonText">
    <w:name w:val="Balloon Text"/>
    <w:basedOn w:val="Normal"/>
    <w:link w:val="BalloonTextChar"/>
    <w:uiPriority w:val="99"/>
    <w:semiHidden/>
    <w:unhideWhenUsed/>
    <w:rsid w:val="00B269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9A6"/>
    <w:rPr>
      <w:rFonts w:ascii="Segoe UI" w:hAnsi="Segoe UI" w:cs="Segoe UI"/>
      <w:sz w:val="18"/>
      <w:szCs w:val="18"/>
    </w:rPr>
  </w:style>
  <w:style w:type="paragraph" w:styleId="ListParagraph">
    <w:name w:val="List Paragraph"/>
    <w:basedOn w:val="Normal"/>
    <w:uiPriority w:val="34"/>
    <w:qFormat/>
    <w:rsid w:val="00900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93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tx2"/>
                </a:solidFill>
                <a:effectLst>
                  <a:outerShdw blurRad="50800" dist="38100" dir="5400000" algn="t" rotWithShape="0">
                    <a:prstClr val="black">
                      <a:alpha val="40000"/>
                    </a:prstClr>
                  </a:outerShdw>
                </a:effectLst>
                <a:latin typeface="+mn-lt"/>
                <a:ea typeface="+mn-ea"/>
                <a:cs typeface="+mn-cs"/>
              </a:defRPr>
            </a:pPr>
            <a:r>
              <a:rPr lang="en-US"/>
              <a:t>Delta-V Requirement To Reach L5 </a:t>
            </a:r>
          </a:p>
          <a:p>
            <a:pPr>
              <a:defRPr/>
            </a:pPr>
            <a:r>
              <a:rPr lang="en-US"/>
              <a:t>vs Launch Day</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tx2"/>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6.9402887139107611E-2"/>
          <c:y val="0.15554336276615985"/>
          <c:w val="0.89370822397200345"/>
          <c:h val="0.6484170769166524"/>
        </c:manualLayout>
      </c:layout>
      <c:scatterChart>
        <c:scatterStyle val="smoothMarker"/>
        <c:varyColors val="0"/>
        <c:ser>
          <c:idx val="2"/>
          <c:order val="0"/>
          <c:tx>
            <c:v>Goal Delta-V</c:v>
          </c:tx>
          <c:spPr>
            <a:ln w="9525" cap="rnd">
              <a:solidFill>
                <a:srgbClr val="92D050"/>
              </a:solidFill>
              <a:round/>
            </a:ln>
            <a:effectLst>
              <a:outerShdw blurRad="57150" dist="19050" dir="5400000" algn="ctr" rotWithShape="0">
                <a:srgbClr val="000000">
                  <a:alpha val="63000"/>
                </a:srgbClr>
              </a:outerShdw>
            </a:effectLst>
          </c:spPr>
          <c:marker>
            <c:symbol val="none"/>
          </c:marker>
          <c:xVal>
            <c:numRef>
              <c:f>(Sheet1!$A$2,Sheet1!$A$10)</c:f>
              <c:numCache>
                <c:formatCode>General</c:formatCode>
                <c:ptCount val="2"/>
                <c:pt idx="0">
                  <c:v>-8</c:v>
                </c:pt>
                <c:pt idx="1">
                  <c:v>8</c:v>
                </c:pt>
              </c:numCache>
            </c:numRef>
          </c:xVal>
          <c:yVal>
            <c:numRef>
              <c:f>(Sheet1!$F$2,Sheet1!$F$10)</c:f>
              <c:numCache>
                <c:formatCode>General</c:formatCode>
                <c:ptCount val="2"/>
                <c:pt idx="0">
                  <c:v>600</c:v>
                </c:pt>
                <c:pt idx="1">
                  <c:v>600</c:v>
                </c:pt>
              </c:numCache>
            </c:numRef>
          </c:yVal>
          <c:smooth val="1"/>
          <c:extLst>
            <c:ext xmlns:c16="http://schemas.microsoft.com/office/drawing/2014/chart" uri="{C3380CC4-5D6E-409C-BE32-E72D297353CC}">
              <c16:uniqueId val="{00000000-EA39-4D61-9719-FC1C24EAF160}"/>
            </c:ext>
          </c:extLst>
        </c:ser>
        <c:ser>
          <c:idx val="0"/>
          <c:order val="1"/>
          <c:tx>
            <c:strRef>
              <c:f>Sheet1!$B$1</c:f>
              <c:strCache>
                <c:ptCount val="1"/>
                <c:pt idx="0">
                  <c:v>Delta-V to Target</c:v>
                </c:pt>
              </c:strCache>
            </c:strRef>
          </c:tx>
          <c:spPr>
            <a:ln w="9525" cap="rnd">
              <a:solidFill>
                <a:schemeClr val="accent1"/>
              </a:solidFill>
              <a:round/>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c:spPr>
          </c:marker>
          <c:xVal>
            <c:numRef>
              <c:f>Sheet1!$A$2:$A$10</c:f>
              <c:numCache>
                <c:formatCode>General</c:formatCode>
                <c:ptCount val="9"/>
                <c:pt idx="0">
                  <c:v>-8</c:v>
                </c:pt>
                <c:pt idx="1">
                  <c:v>-6</c:v>
                </c:pt>
                <c:pt idx="2">
                  <c:v>-4</c:v>
                </c:pt>
                <c:pt idx="3">
                  <c:v>-2</c:v>
                </c:pt>
                <c:pt idx="4">
                  <c:v>0</c:v>
                </c:pt>
                <c:pt idx="5">
                  <c:v>2</c:v>
                </c:pt>
                <c:pt idx="6">
                  <c:v>4</c:v>
                </c:pt>
                <c:pt idx="7">
                  <c:v>6</c:v>
                </c:pt>
                <c:pt idx="8">
                  <c:v>8</c:v>
                </c:pt>
              </c:numCache>
            </c:numRef>
          </c:xVal>
          <c:yVal>
            <c:numRef>
              <c:f>Sheet1!$B$2:$B$10</c:f>
              <c:numCache>
                <c:formatCode>General</c:formatCode>
                <c:ptCount val="9"/>
                <c:pt idx="0">
                  <c:v>702</c:v>
                </c:pt>
                <c:pt idx="1">
                  <c:v>740</c:v>
                </c:pt>
                <c:pt idx="2">
                  <c:v>374</c:v>
                </c:pt>
                <c:pt idx="3">
                  <c:v>468</c:v>
                </c:pt>
                <c:pt idx="4">
                  <c:v>877</c:v>
                </c:pt>
                <c:pt idx="5">
                  <c:v>573</c:v>
                </c:pt>
                <c:pt idx="6">
                  <c:v>222</c:v>
                </c:pt>
                <c:pt idx="7">
                  <c:v>608</c:v>
                </c:pt>
                <c:pt idx="8">
                  <c:v>667</c:v>
                </c:pt>
              </c:numCache>
            </c:numRef>
          </c:yVal>
          <c:smooth val="1"/>
          <c:extLst>
            <c:ext xmlns:c16="http://schemas.microsoft.com/office/drawing/2014/chart" uri="{C3380CC4-5D6E-409C-BE32-E72D297353CC}">
              <c16:uniqueId val="{00000001-EA39-4D61-9719-FC1C24EAF160}"/>
            </c:ext>
          </c:extLst>
        </c:ser>
        <c:ser>
          <c:idx val="1"/>
          <c:order val="2"/>
          <c:tx>
            <c:strRef>
              <c:f>Sheet1!$D$1</c:f>
              <c:strCache>
                <c:ptCount val="1"/>
                <c:pt idx="0">
                  <c:v>Total V Req</c:v>
                </c:pt>
              </c:strCache>
            </c:strRef>
          </c:tx>
          <c:spPr>
            <a:ln w="9525" cap="rnd">
              <a:solidFill>
                <a:schemeClr val="accent2"/>
              </a:solidFill>
              <a:round/>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c:spPr>
          </c:marker>
          <c:xVal>
            <c:numRef>
              <c:f>Sheet1!$A$2:$A$10</c:f>
              <c:numCache>
                <c:formatCode>General</c:formatCode>
                <c:ptCount val="9"/>
                <c:pt idx="0">
                  <c:v>-8</c:v>
                </c:pt>
                <c:pt idx="1">
                  <c:v>-6</c:v>
                </c:pt>
                <c:pt idx="2">
                  <c:v>-4</c:v>
                </c:pt>
                <c:pt idx="3">
                  <c:v>-2</c:v>
                </c:pt>
                <c:pt idx="4">
                  <c:v>0</c:v>
                </c:pt>
                <c:pt idx="5">
                  <c:v>2</c:v>
                </c:pt>
                <c:pt idx="6">
                  <c:v>4</c:v>
                </c:pt>
                <c:pt idx="7">
                  <c:v>6</c:v>
                </c:pt>
                <c:pt idx="8">
                  <c:v>8</c:v>
                </c:pt>
              </c:numCache>
            </c:numRef>
          </c:xVal>
          <c:yVal>
            <c:numRef>
              <c:f>Sheet1!$D$2:$D$10</c:f>
              <c:numCache>
                <c:formatCode>General</c:formatCode>
                <c:ptCount val="9"/>
                <c:pt idx="0">
                  <c:v>1036</c:v>
                </c:pt>
                <c:pt idx="1">
                  <c:v>790</c:v>
                </c:pt>
                <c:pt idx="2">
                  <c:v>424</c:v>
                </c:pt>
                <c:pt idx="3">
                  <c:v>484</c:v>
                </c:pt>
                <c:pt idx="4">
                  <c:v>893</c:v>
                </c:pt>
                <c:pt idx="5">
                  <c:v>590</c:v>
                </c:pt>
                <c:pt idx="6">
                  <c:v>229</c:v>
                </c:pt>
                <c:pt idx="7">
                  <c:v>657</c:v>
                </c:pt>
                <c:pt idx="8">
                  <c:v>671</c:v>
                </c:pt>
              </c:numCache>
            </c:numRef>
          </c:yVal>
          <c:smooth val="1"/>
          <c:extLst>
            <c:ext xmlns:c16="http://schemas.microsoft.com/office/drawing/2014/chart" uri="{C3380CC4-5D6E-409C-BE32-E72D297353CC}">
              <c16:uniqueId val="{00000002-EA39-4D61-9719-FC1C24EAF160}"/>
            </c:ext>
          </c:extLst>
        </c:ser>
        <c:dLbls>
          <c:showLegendKey val="0"/>
          <c:showVal val="0"/>
          <c:showCatName val="0"/>
          <c:showSerName val="0"/>
          <c:showPercent val="0"/>
          <c:showBubbleSize val="0"/>
        </c:dLbls>
        <c:axId val="494454192"/>
        <c:axId val="494450584"/>
      </c:scatterChart>
      <c:valAx>
        <c:axId val="494454192"/>
        <c:scaling>
          <c:orientation val="minMax"/>
          <c:max val="8"/>
          <c:min val="-8"/>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tx2"/>
                    </a:solidFill>
                    <a:latin typeface="+mn-lt"/>
                    <a:ea typeface="+mn-ea"/>
                    <a:cs typeface="+mn-cs"/>
                  </a:defRPr>
                </a:pPr>
                <a:r>
                  <a:rPr lang="en-US" sz="1100" cap="none" baseline="0"/>
                  <a:t>Launch Day (Days since Full Moon)</a:t>
                </a:r>
              </a:p>
            </c:rich>
          </c:tx>
          <c:layout>
            <c:manualLayout>
              <c:xMode val="edge"/>
              <c:yMode val="edge"/>
              <c:x val="0.34111901877649908"/>
              <c:y val="0.85516010189356839"/>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tx2"/>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94450584"/>
        <c:crosses val="autoZero"/>
        <c:crossBetween val="midCat"/>
      </c:valAx>
      <c:valAx>
        <c:axId val="49445058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tx2"/>
                    </a:solidFill>
                    <a:latin typeface="+mn-lt"/>
                    <a:ea typeface="+mn-ea"/>
                    <a:cs typeface="+mn-cs"/>
                  </a:defRPr>
                </a:pPr>
                <a:r>
                  <a:rPr lang="en-US" sz="1100" cap="none" baseline="0"/>
                  <a:t>Delta-V (m/s)</a:t>
                </a:r>
              </a:p>
            </c:rich>
          </c:tx>
          <c:layout>
            <c:manualLayout>
              <c:xMode val="edge"/>
              <c:yMode val="edge"/>
              <c:x val="1.6666666666666666E-2"/>
              <c:y val="0.35307050160396619"/>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0" spcFirstLastPara="1" vertOverflow="ellipsis" wrap="square" anchor="ctr" anchorCtr="1"/>
          <a:lstStyle/>
          <a:p>
            <a:pPr>
              <a:defRPr sz="900" b="0" i="0" u="none" strike="noStrike" kern="1200" baseline="0">
                <a:solidFill>
                  <a:schemeClr val="tx2"/>
                </a:solidFill>
                <a:latin typeface="+mn-lt"/>
                <a:ea typeface="+mn-ea"/>
                <a:cs typeface="+mn-cs"/>
              </a:defRPr>
            </a:pPr>
            <a:endParaRPr lang="en-US"/>
          </a:p>
        </c:txPr>
        <c:crossAx val="494454192"/>
        <c:crosses val="autoZero"/>
        <c:crossBetween val="midCat"/>
      </c:valAx>
      <c:spPr>
        <a:noFill/>
        <a:ln>
          <a:noFill/>
        </a:ln>
        <a:effectLst/>
      </c:spPr>
    </c:plotArea>
    <c:legend>
      <c:legendPos val="b"/>
      <c:layout>
        <c:manualLayout>
          <c:xMode val="edge"/>
          <c:yMode val="edge"/>
          <c:x val="0.22108839760414564"/>
          <c:y val="0.92670855005823149"/>
          <c:w val="0.57064371761222155"/>
          <c:h val="4.972044228119098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FC000">
        <a:lumMod val="20000"/>
        <a:lumOff val="80000"/>
      </a:srgbClr>
    </a:solidFill>
    <a:ln>
      <a:noFill/>
    </a:ln>
    <a:effectLst/>
  </c:spPr>
  <c:txPr>
    <a:bodyPr/>
    <a:lstStyle/>
    <a:p>
      <a:pPr>
        <a:defRPr>
          <a:solidFill>
            <a:schemeClr val="tx2"/>
          </a:solidFill>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373</TotalTime>
  <Pages>5</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Pflager</dc:creator>
  <cp:keywords/>
  <dc:description/>
  <cp:lastModifiedBy>Robin Pflager</cp:lastModifiedBy>
  <cp:revision>13</cp:revision>
  <dcterms:created xsi:type="dcterms:W3CDTF">2018-08-01T18:25:00Z</dcterms:created>
  <dcterms:modified xsi:type="dcterms:W3CDTF">2018-08-15T03:23:00Z</dcterms:modified>
</cp:coreProperties>
</file>