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60" w:lineRule="auto"/>
        <w:rPr>
          <w:color w:val="000000"/>
          <w:sz w:val="27"/>
          <w:szCs w:val="27"/>
        </w:rPr>
      </w:pPr>
      <w:bookmarkStart w:colFirst="0" w:colLast="0" w:name="_hioidj1d3rg4" w:id="0"/>
      <w:bookmarkEnd w:id="0"/>
      <w:r w:rsidDel="00000000" w:rsidR="00000000" w:rsidRPr="00000000">
        <w:rPr>
          <w:color w:val="000000"/>
          <w:sz w:val="27"/>
          <w:szCs w:val="27"/>
          <w:rtl w:val="0"/>
        </w:rPr>
        <w:t xml:space="preserve">Context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"Predict behavior to retain customers. You can analyze all relevant customer data and develop focused customer retention programs." [IBM Sample Data Sets]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360" w:lineRule="auto"/>
        <w:rPr>
          <w:color w:val="000000"/>
          <w:sz w:val="27"/>
          <w:szCs w:val="27"/>
        </w:rPr>
      </w:pPr>
      <w:bookmarkStart w:colFirst="0" w:colLast="0" w:name="_2n5dd192i4qb" w:id="1"/>
      <w:bookmarkEnd w:id="1"/>
      <w:r w:rsidDel="00000000" w:rsidR="00000000" w:rsidRPr="00000000">
        <w:rPr>
          <w:color w:val="000000"/>
          <w:sz w:val="27"/>
          <w:szCs w:val="27"/>
          <w:rtl w:val="0"/>
        </w:rPr>
        <w:t xml:space="preserve">Data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https://www.kaggle.com/blastchar/telco-customer-churn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Each row represents a customer, each column contains customer’s attributes described on the column Metadata.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data set includes information about: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Customers who left within the last month – the column is called Churn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Services that each customer has signed up for – phone, multiple lines, internet, online security, online backup, device protection, tech support, and streaming TV and movies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Customer account information – how long they’ve been a customer, contract, payment method, paperless billing, monthly charges, and total charges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4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Demographic info about customers – gender, age range, and if they have partners and dependents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Expected metrics  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lineRule="auto"/>
        <w:ind w:left="720" w:hanging="360"/>
      </w:pPr>
      <w:hyperlink r:id="rId7">
        <w:r w:rsidDel="00000000" w:rsidR="00000000" w:rsidRPr="00000000">
          <w:rPr>
            <w:color w:val="4183c4"/>
            <w:sz w:val="24"/>
            <w:szCs w:val="24"/>
            <w:rtl w:val="0"/>
          </w:rPr>
          <w:t xml:space="preserve">Accuracy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lineRule="auto"/>
        <w:ind w:left="720" w:hanging="360"/>
      </w:pPr>
      <w:hyperlink r:id="rId8">
        <w:r w:rsidDel="00000000" w:rsidR="00000000" w:rsidRPr="00000000">
          <w:rPr>
            <w:color w:val="4183c4"/>
            <w:sz w:val="24"/>
            <w:szCs w:val="24"/>
            <w:rtl w:val="0"/>
          </w:rPr>
          <w:t xml:space="preserve">Confusion matrix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lineRule="auto"/>
        <w:ind w:left="720" w:hanging="360"/>
      </w:pPr>
      <w:hyperlink r:id="rId9">
        <w:r w:rsidDel="00000000" w:rsidR="00000000" w:rsidRPr="00000000">
          <w:rPr>
            <w:color w:val="4183c4"/>
            <w:sz w:val="24"/>
            <w:szCs w:val="24"/>
            <w:rtl w:val="0"/>
          </w:rPr>
          <w:t xml:space="preserve">Precision and Recall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lineRule="auto"/>
        <w:ind w:left="720" w:hanging="360"/>
      </w:pPr>
      <w:hyperlink r:id="rId10">
        <w:r w:rsidDel="00000000" w:rsidR="00000000" w:rsidRPr="00000000">
          <w:rPr>
            <w:color w:val="4183c4"/>
            <w:sz w:val="24"/>
            <w:szCs w:val="24"/>
            <w:rtl w:val="0"/>
          </w:rPr>
          <w:t xml:space="preserve">F-Scores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lineRule="auto"/>
        <w:ind w:left="720" w:hanging="360"/>
      </w:pPr>
      <w:hyperlink r:id="rId11">
        <w:r w:rsidDel="00000000" w:rsidR="00000000" w:rsidRPr="00000000">
          <w:rPr>
            <w:color w:val="4183c4"/>
            <w:sz w:val="24"/>
            <w:szCs w:val="24"/>
            <w:rtl w:val="0"/>
          </w:rPr>
          <w:t xml:space="preserve">Receiver operating characteristic (ROC) curve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380" w:lineRule="auto"/>
        <w:ind w:left="720" w:hanging="360"/>
      </w:pPr>
      <w:hyperlink r:id="rId12">
        <w:r w:rsidDel="00000000" w:rsidR="00000000" w:rsidRPr="00000000">
          <w:rPr>
            <w:color w:val="4183c4"/>
            <w:sz w:val="24"/>
            <w:szCs w:val="24"/>
            <w:rtl w:val="0"/>
          </w:rPr>
          <w:t xml:space="preserve">Area under curve (AUC) ("curve" corresponds to the ROC curve)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turi.com/learn/userguide/evaluation/classification.html#roc_curve" TargetMode="External"/><Relationship Id="rId10" Type="http://schemas.openxmlformats.org/officeDocument/2006/relationships/hyperlink" Target="https://turi.com/learn/userguide/evaluation/classification.html#f_scores" TargetMode="External"/><Relationship Id="rId12" Type="http://schemas.openxmlformats.org/officeDocument/2006/relationships/hyperlink" Target="https://turi.com/learn/userguide/evaluation/classification.html#auc" TargetMode="External"/><Relationship Id="rId9" Type="http://schemas.openxmlformats.org/officeDocument/2006/relationships/hyperlink" Target="https://turi.com/learn/userguide/evaluation/classification.html#precision_recal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blastchar/telco-customer-churn" TargetMode="External"/><Relationship Id="rId7" Type="http://schemas.openxmlformats.org/officeDocument/2006/relationships/hyperlink" Target="https://turi.com/learn/userguide/evaluation/classification.html#accuracy" TargetMode="External"/><Relationship Id="rId8" Type="http://schemas.openxmlformats.org/officeDocument/2006/relationships/hyperlink" Target="https://turi.com/learn/userguide/evaluation/classification.html#confusion_matri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