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7365D"/>
          <w:sz w:val="60"/>
        </w:rPr>
        <w:t>NDT</w:t>
      </w:r>
    </w:p>
    <w:p>
      <w:pPr>
        <w:jc w:val="center"/>
      </w:pPr>
      <w:r>
        <w:rPr>
          <w:rFonts w:ascii="Arial" w:hAnsi="Arial"/>
          <w:b/>
          <w:color w:val="0F6B78"/>
          <w:sz w:val="24"/>
        </w:rPr>
        <w:t>NEW DAWN TECHNOLOGIES</w:t>
      </w:r>
    </w:p>
    <w:p>
      <w:pPr>
        <w:spacing w:before="1100"/>
        <w:jc w:val="center"/>
      </w:pPr>
      <w:r>
        <w:rPr>
          <w:rFonts w:ascii="Arial" w:hAnsi="Arial"/>
          <w:b/>
          <w:color w:val="1F4E78"/>
          <w:sz w:val="60"/>
        </w:rPr>
        <w:t>lulaFi</w:t>
      </w:r>
    </w:p>
    <w:p>
      <w:pPr>
        <w:jc w:val="center"/>
      </w:pPr>
      <w:r>
        <w:rPr>
          <w:rFonts w:ascii="Arial" w:hAnsi="Arial"/>
          <w:b/>
          <w:color w:val="17365D"/>
          <w:sz w:val="46"/>
        </w:rPr>
        <w:t>ANALYTICS</w:t>
      </w:r>
    </w:p>
    <w:p>
      <w:pPr>
        <w:jc w:val="center"/>
      </w:pPr>
      <w:r>
        <w:rPr>
          <w:rFonts w:ascii="Arial" w:hAnsi="Arial"/>
          <w:b/>
          <w:color w:val="0F6B78"/>
          <w:sz w:val="32"/>
        </w:rPr>
        <w:t>System Requirements Specification</w:t>
      </w:r>
    </w:p>
    <w:p>
      <w:pPr>
        <w:spacing w:before="900"/>
        <w:jc w:val="center"/>
      </w:pPr>
      <w:r>
        <w:t>Document Number: LULAFI-SRS-ANL-001</w:t>
        <w:br/>
        <w:t>Version: 1.1</w:t>
        <w:br/>
        <w:t>Date: 5 July 2026</w:t>
        <w:br/>
        <w:t>Status: Second Circulation</w:t>
      </w:r>
    </w:p>
    <w:p>
      <w:pPr>
        <w:spacing w:before="1400"/>
        <w:jc w:val="center"/>
      </w:pPr>
      <w:r>
        <w:rPr>
          <w:rFonts w:ascii="Arial" w:hAnsi="Arial"/>
          <w:b/>
          <w:color w:val="17365D"/>
          <w:sz w:val="22"/>
        </w:rPr>
        <w:t>CONFIDENTIAL</w:t>
      </w:r>
    </w:p>
    <w:p>
      <w:pPr>
        <w:jc w:val="center"/>
      </w:pPr>
      <w:r>
        <w:rPr>
          <w:rFonts w:ascii="Arial" w:hAnsi="Arial"/>
          <w:i/>
          <w:color w:val="0F6B78"/>
          <w:sz w:val="22"/>
        </w:rPr>
        <w:t>One Platform. One Experience. No Repetition.</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F4E78"/>
            <w:tcMar>
              <w:top w:w="70" w:type="dxa"/>
              <w:start w:w="80" w:type="dxa"/>
              <w:bottom w:w="70" w:type="dxa"/>
              <w:end w:w="80" w:type="dxa"/>
            </w:tcMar>
          </w:tcPr>
          <w:p>
            <w:pPr>
              <w:spacing w:before="0" w:after="0" w:line="240" w:lineRule="auto"/>
              <w:jc w:val="left"/>
            </w:pPr>
            <w:r>
              <w:rPr>
                <w:rFonts w:ascii="Arial" w:hAnsi="Arial"/>
                <w:b/>
                <w:color w:val="FFFFFF"/>
                <w:sz w:val="18"/>
              </w:rPr>
              <w:t>Control Item</w:t>
            </w:r>
          </w:p>
        </w:tc>
        <w:tc>
          <w:tcPr>
            <w:tcW w:type="dxa" w:w="6917"/>
            <w:shd w:fill="1F4E78"/>
            <w:tcMar>
              <w:top w:w="70" w:type="dxa"/>
              <w:start w:w="80" w:type="dxa"/>
              <w:bottom w:w="70" w:type="dxa"/>
              <w:end w:w="80" w:type="dxa"/>
            </w:tcMar>
          </w:tcPr>
          <w:p>
            <w:pPr>
              <w:spacing w:before="0" w:after="0" w:line="240" w:lineRule="auto"/>
              <w:jc w:val="left"/>
            </w:pPr>
            <w:r>
              <w:rPr>
                <w:rFonts w:ascii="Arial" w:hAnsi="Arial"/>
                <w:b/>
                <w:color w:val="FFFFFF"/>
                <w:sz w:val="18"/>
              </w:rPr>
              <w:t>Value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Document Type</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System Requirements Specification (SRS)</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8"/>
              </w:rPr>
              <w:t>Project</w:t>
            </w:r>
          </w:p>
        </w:tc>
        <w:tc>
          <w:tcPr>
            <w:tcW w:type="dxa" w:w="6917"/>
            <w:vAlign w:val="top"/>
            <w:tcMar>
              <w:top w:w="70" w:type="dxa"/>
              <w:start w:w="80" w:type="dxa"/>
              <w:bottom w:w="70" w:type="dxa"/>
              <w:end w:w="80" w:type="dxa"/>
            </w:tcMar>
            <w:shd w:fill="F7F9FB"/>
          </w:tcPr>
          <w:p>
            <w:pPr>
              <w:spacing w:before="0" w:after="0" w:line="240" w:lineRule="auto"/>
            </w:pPr>
            <w:r>
              <w:rPr>
                <w:rFonts w:ascii="Arial" w:hAnsi="Arial"/>
                <w:b w:val="0"/>
                <w:sz w:val="18"/>
              </w:rPr>
              <w:t>lulaFi</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Document Title</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lulaFi Analytics System Requirements Specification</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8"/>
              </w:rPr>
              <w:t>Document Number</w:t>
            </w:r>
          </w:p>
        </w:tc>
        <w:tc>
          <w:tcPr>
            <w:tcW w:type="dxa" w:w="6917"/>
            <w:vAlign w:val="top"/>
            <w:tcMar>
              <w:top w:w="70" w:type="dxa"/>
              <w:start w:w="80" w:type="dxa"/>
              <w:bottom w:w="70" w:type="dxa"/>
              <w:end w:w="80" w:type="dxa"/>
            </w:tcMar>
            <w:shd w:fill="F7F9FB"/>
          </w:tcPr>
          <w:p>
            <w:pPr>
              <w:spacing w:before="0" w:after="0" w:line="240" w:lineRule="auto"/>
            </w:pPr>
            <w:r>
              <w:rPr>
                <w:rFonts w:ascii="Arial" w:hAnsi="Arial"/>
                <w:b w:val="0"/>
                <w:sz w:val="18"/>
              </w:rPr>
              <w:t>LULAFI-SRS-ANL-001</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Version</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1.1</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8"/>
              </w:rPr>
              <w:t>Document Date</w:t>
            </w:r>
          </w:p>
        </w:tc>
        <w:tc>
          <w:tcPr>
            <w:tcW w:type="dxa" w:w="6917"/>
            <w:vAlign w:val="top"/>
            <w:tcMar>
              <w:top w:w="70" w:type="dxa"/>
              <w:start w:w="80" w:type="dxa"/>
              <w:bottom w:w="70" w:type="dxa"/>
              <w:end w:w="80" w:type="dxa"/>
            </w:tcMar>
            <w:shd w:fill="F7F9FB"/>
          </w:tcPr>
          <w:p>
            <w:pPr>
              <w:spacing w:before="0" w:after="0" w:line="240" w:lineRule="auto"/>
            </w:pPr>
            <w:r>
              <w:rPr>
                <w:rFonts w:ascii="Arial" w:hAnsi="Arial"/>
                <w:b w:val="0"/>
                <w:sz w:val="18"/>
              </w:rPr>
              <w:t>5 July 2026</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Project Sponsor</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Mr Seleke Masemola</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8"/>
              </w:rPr>
              <w:t>Project Owner</w:t>
            </w:r>
          </w:p>
        </w:tc>
        <w:tc>
          <w:tcPr>
            <w:tcW w:type="dxa" w:w="6917"/>
            <w:vAlign w:val="top"/>
            <w:tcMar>
              <w:top w:w="70" w:type="dxa"/>
              <w:start w:w="80" w:type="dxa"/>
              <w:bottom w:w="70" w:type="dxa"/>
              <w:end w:w="80" w:type="dxa"/>
            </w:tcMar>
            <w:shd w:fill="F7F9FB"/>
          </w:tcPr>
          <w:p>
            <w:pPr>
              <w:spacing w:before="0" w:after="0" w:line="240" w:lineRule="auto"/>
            </w:pPr>
            <w:r>
              <w:rPr>
                <w:rFonts w:ascii="Arial" w:hAnsi="Arial"/>
                <w:b w:val="0"/>
                <w:sz w:val="18"/>
              </w:rPr>
              <w:t>Mr Seleke Masemola</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Prepared By</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New Dawn Technologies (NDT)</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8"/>
              </w:rPr>
              <w:t>Author</w:t>
            </w:r>
          </w:p>
        </w:tc>
        <w:tc>
          <w:tcPr>
            <w:tcW w:type="dxa" w:w="6917"/>
            <w:vAlign w:val="top"/>
            <w:tcMar>
              <w:top w:w="70" w:type="dxa"/>
              <w:start w:w="80" w:type="dxa"/>
              <w:bottom w:w="70" w:type="dxa"/>
              <w:end w:w="80" w:type="dxa"/>
            </w:tcMar>
            <w:shd w:fill="F7F9FB"/>
          </w:tcPr>
          <w:p>
            <w:pPr>
              <w:spacing w:before="0" w:after="0" w:line="240" w:lineRule="auto"/>
            </w:pPr>
            <w:r>
              <w:rPr>
                <w:rFonts w:ascii="Arial" w:hAnsi="Arial"/>
                <w:b w:val="0"/>
                <w:sz w:val="18"/>
              </w:rPr>
              <w:t>Reg Courtenay</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Classification</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Confidential</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8"/>
              </w:rPr>
              <w:t>Status</w:t>
            </w:r>
          </w:p>
        </w:tc>
        <w:tc>
          <w:tcPr>
            <w:tcW w:type="dxa" w:w="6917"/>
            <w:vAlign w:val="top"/>
            <w:tcMar>
              <w:top w:w="70" w:type="dxa"/>
              <w:start w:w="80" w:type="dxa"/>
              <w:bottom w:w="70" w:type="dxa"/>
              <w:end w:w="80" w:type="dxa"/>
            </w:tcMar>
            <w:shd w:fill="F7F9FB"/>
          </w:tcPr>
          <w:p>
            <w:pPr>
              <w:spacing w:before="0" w:after="0" w:line="240" w:lineRule="auto"/>
            </w:pPr>
            <w:r>
              <w:rPr>
                <w:rFonts w:ascii="Arial" w:hAnsi="Arial"/>
                <w:b w:val="0"/>
                <w:sz w:val="18"/>
              </w:rPr>
              <w:t>Second Circulation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8"/>
              </w:rPr>
              <w:t>Source Baseline</w:t>
            </w:r>
          </w:p>
        </w:tc>
        <w:tc>
          <w:tcPr>
            <w:tcW w:type="dxa" w:w="6917"/>
            <w:vAlign w:val="top"/>
            <w:tcMar>
              <w:top w:w="70" w:type="dxa"/>
              <w:start w:w="80" w:type="dxa"/>
              <w:bottom w:w="70" w:type="dxa"/>
              <w:end w:w="80" w:type="dxa"/>
            </w:tcMar>
          </w:tcPr>
          <w:p>
            <w:pPr>
              <w:spacing w:before="0" w:after="0" w:line="240" w:lineRule="auto"/>
            </w:pPr>
            <w:r>
              <w:rPr>
                <w:rFonts w:ascii="Arial" w:hAnsi="Arial"/>
                <w:b w:val="0"/>
                <w:sz w:val="18"/>
              </w:rPr>
              <w:t>lulaFi Requirements PRD v0.2, dated 18 May 2026; Analytics SRS v1.0; stakeholder-supplied WhatsApp conversational analytics and Google full-funnel analytics requirements, July 2026</w:t>
            </w:r>
          </w:p>
        </w:tc>
      </w:tr>
    </w:tbl>
    <w:p>
      <w:pPr>
        <w:spacing w:after="20"/>
      </w:pPr>
    </w:p>
    <w:p>
      <w:pPr>
        <w:pStyle w:val="Heading2"/>
        <w:keepNext/>
      </w:pPr>
      <w:r>
        <w:t>Revision History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134"/>
            <w:shd w:fill="1F4E78"/>
            <w:tcMar>
              <w:top w:w="70" w:type="dxa"/>
              <w:start w:w="80" w:type="dxa"/>
              <w:bottom w:w="70" w:type="dxa"/>
              <w:end w:w="80" w:type="dxa"/>
            </w:tcMar>
          </w:tcPr>
          <w:p>
            <w:pPr>
              <w:spacing w:before="0" w:after="0" w:line="240" w:lineRule="auto"/>
              <w:jc w:val="left"/>
            </w:pPr>
            <w:r>
              <w:rPr>
                <w:rFonts w:ascii="Arial" w:hAnsi="Arial"/>
                <w:b/>
                <w:color w:val="FFFFFF"/>
                <w:sz w:val="17"/>
              </w:rPr>
              <w:t>Version</w:t>
            </w:r>
          </w:p>
        </w:tc>
        <w:tc>
          <w:tcPr>
            <w:tcW w:type="dxa" w:w="1701"/>
            <w:shd w:fill="1F4E78"/>
            <w:tcMar>
              <w:top w:w="70" w:type="dxa"/>
              <w:start w:w="80" w:type="dxa"/>
              <w:bottom w:w="70" w:type="dxa"/>
              <w:end w:w="80" w:type="dxa"/>
            </w:tcMar>
          </w:tcPr>
          <w:p>
            <w:pPr>
              <w:spacing w:before="0" w:after="0" w:line="240" w:lineRule="auto"/>
              <w:jc w:val="left"/>
            </w:pPr>
            <w:r>
              <w:rPr>
                <w:rFonts w:ascii="Arial" w:hAnsi="Arial"/>
                <w:b/>
                <w:color w:val="FFFFFF"/>
                <w:sz w:val="17"/>
              </w:rPr>
              <w:t>Date</w:t>
            </w:r>
          </w:p>
        </w:tc>
        <w:tc>
          <w:tcPr>
            <w:tcW w:type="dxa" w:w="1984"/>
            <w:shd w:fill="1F4E78"/>
            <w:tcMar>
              <w:top w:w="70" w:type="dxa"/>
              <w:start w:w="80" w:type="dxa"/>
              <w:bottom w:w="70" w:type="dxa"/>
              <w:end w:w="80" w:type="dxa"/>
            </w:tcMar>
          </w:tcPr>
          <w:p>
            <w:pPr>
              <w:spacing w:before="0" w:after="0" w:line="240" w:lineRule="auto"/>
              <w:jc w:val="left"/>
            </w:pPr>
            <w:r>
              <w:rPr>
                <w:rFonts w:ascii="Arial" w:hAnsi="Arial"/>
                <w:b/>
                <w:color w:val="FFFFFF"/>
                <w:sz w:val="17"/>
              </w:rPr>
              <w:t>Author</w:t>
            </w:r>
          </w:p>
        </w:tc>
        <w:tc>
          <w:tcPr>
            <w:tcW w:type="dxa" w:w="4932"/>
            <w:shd w:fill="1F4E78"/>
            <w:tcMar>
              <w:top w:w="70" w:type="dxa"/>
              <w:start w:w="80" w:type="dxa"/>
              <w:bottom w:w="70" w:type="dxa"/>
              <w:end w:w="80" w:type="dxa"/>
            </w:tcMar>
          </w:tcPr>
          <w:p>
            <w:pPr>
              <w:spacing w:before="0" w:after="0" w:line="240" w:lineRule="auto"/>
              <w:jc w:val="left"/>
            </w:pPr>
            <w:r>
              <w:rPr>
                <w:rFonts w:ascii="Arial" w:hAnsi="Arial"/>
                <w:b/>
                <w:color w:val="FFFFFF"/>
                <w:sz w:val="17"/>
              </w:rPr>
              <w:t>Comment</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val="0"/>
                <w:sz w:val="17"/>
              </w:rPr>
              <w:t>1.0</w:t>
            </w:r>
          </w:p>
        </w:tc>
        <w:tc>
          <w:tcPr>
            <w:tcW w:type="dxa" w:w="1701"/>
            <w:vAlign w:val="top"/>
            <w:tcMar>
              <w:top w:w="70" w:type="dxa"/>
              <w:start w:w="80" w:type="dxa"/>
              <w:bottom w:w="70" w:type="dxa"/>
              <w:end w:w="80" w:type="dxa"/>
            </w:tcMar>
          </w:tcPr>
          <w:p>
            <w:pPr>
              <w:spacing w:before="0" w:after="0" w:line="240" w:lineRule="auto"/>
            </w:pPr>
            <w:r>
              <w:rPr>
                <w:rFonts w:ascii="Arial" w:hAnsi="Arial"/>
                <w:b w:val="0"/>
                <w:sz w:val="17"/>
              </w:rPr>
              <w:t>5 July 2026</w:t>
            </w:r>
          </w:p>
        </w:tc>
        <w:tc>
          <w:tcPr>
            <w:tcW w:type="dxa" w:w="1984"/>
            <w:vAlign w:val="top"/>
            <w:tcMar>
              <w:top w:w="70" w:type="dxa"/>
              <w:start w:w="80" w:type="dxa"/>
              <w:bottom w:w="70" w:type="dxa"/>
              <w:end w:w="80" w:type="dxa"/>
            </w:tcMar>
          </w:tcPr>
          <w:p>
            <w:pPr>
              <w:spacing w:before="0" w:after="0" w:line="240" w:lineRule="auto"/>
            </w:pPr>
            <w:r>
              <w:rPr>
                <w:rFonts w:ascii="Arial" w:hAnsi="Arial"/>
                <w:b w:val="0"/>
                <w:sz w:val="17"/>
              </w:rPr>
              <w:t>Reg Courtenay</w:t>
            </w:r>
          </w:p>
        </w:tc>
        <w:tc>
          <w:tcPr>
            <w:tcW w:type="dxa" w:w="4932"/>
            <w:vAlign w:val="top"/>
            <w:tcMar>
              <w:top w:w="70" w:type="dxa"/>
              <w:start w:w="80" w:type="dxa"/>
              <w:bottom w:w="70" w:type="dxa"/>
              <w:end w:w="80" w:type="dxa"/>
            </w:tcMar>
          </w:tcPr>
          <w:p>
            <w:pPr>
              <w:spacing w:before="0" w:after="0" w:line="240" w:lineRule="auto"/>
            </w:pPr>
            <w:r>
              <w:rPr>
                <w:rFonts w:ascii="Arial" w:hAnsi="Arial"/>
                <w:b w:val="0"/>
                <w:sz w:val="17"/>
              </w:rPr>
              <w:t>Initial Analytics SRS derived from the lulaFi PRD v0.2 and expanded for provider-specific and global platform analytics.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val="0"/>
                <w:sz w:val="17"/>
              </w:rPr>
              <w:t>1.1</w:t>
            </w:r>
          </w:p>
        </w:tc>
        <w:tc>
          <w:tcPr>
            <w:tcW w:type="dxa" w:w="1701"/>
            <w:vAlign w:val="top"/>
            <w:tcMar>
              <w:top w:w="70" w:type="dxa"/>
              <w:start w:w="80" w:type="dxa"/>
              <w:bottom w:w="70" w:type="dxa"/>
              <w:end w:w="80" w:type="dxa"/>
            </w:tcMar>
          </w:tcPr>
          <w:p>
            <w:pPr>
              <w:spacing w:before="0" w:after="0" w:line="240" w:lineRule="auto"/>
            </w:pPr>
            <w:r>
              <w:rPr>
                <w:rFonts w:ascii="Arial" w:hAnsi="Arial"/>
                <w:b w:val="0"/>
                <w:sz w:val="17"/>
              </w:rPr>
              <w:t>5 July 2026</w:t>
            </w:r>
          </w:p>
        </w:tc>
        <w:tc>
          <w:tcPr>
            <w:tcW w:type="dxa" w:w="1984"/>
            <w:vAlign w:val="top"/>
            <w:tcMar>
              <w:top w:w="70" w:type="dxa"/>
              <w:start w:w="80" w:type="dxa"/>
              <w:bottom w:w="70" w:type="dxa"/>
              <w:end w:w="80" w:type="dxa"/>
            </w:tcMar>
          </w:tcPr>
          <w:p>
            <w:pPr>
              <w:spacing w:before="0" w:after="0" w:line="240" w:lineRule="auto"/>
            </w:pPr>
            <w:r>
              <w:rPr>
                <w:rFonts w:ascii="Arial" w:hAnsi="Arial"/>
                <w:b w:val="0"/>
                <w:sz w:val="17"/>
              </w:rPr>
              <w:t>Reg Courtenay</w:t>
            </w:r>
          </w:p>
        </w:tc>
        <w:tc>
          <w:tcPr>
            <w:tcW w:type="dxa" w:w="4932"/>
            <w:vAlign w:val="top"/>
            <w:tcMar>
              <w:top w:w="70" w:type="dxa"/>
              <w:start w:w="80" w:type="dxa"/>
              <w:bottom w:w="70" w:type="dxa"/>
              <w:end w:w="80" w:type="dxa"/>
            </w:tcMar>
          </w:tcPr>
          <w:p>
            <w:pPr>
              <w:spacing w:before="0" w:after="0" w:line="240" w:lineRule="auto"/>
            </w:pPr>
            <w:r>
              <w:rPr>
                <w:rFonts w:ascii="Arial" w:hAnsi="Arial"/>
                <w:b w:val="0"/>
                <w:sz w:val="17"/>
              </w:rPr>
              <w:t>Expanded the Analytics SRS to include conversational and marketing analytics, revenue attribution, traffic acquisition, commerce funnels, cart abandonment and recovery, product and inventory analysis, predictive insights and revenue growth management while retaining all v1.0 functions.</w:t>
            </w:r>
          </w:p>
        </w:tc>
      </w:tr>
    </w:tbl>
    <w:p>
      <w:pPr>
        <w:spacing w:after="20"/>
      </w:pPr>
    </w:p>
    <w:p>
      <w:pPr>
        <w:pStyle w:val="Heading2"/>
        <w:keepNext/>
      </w:pPr>
      <w:r>
        <w:t>Approval Record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381"/>
            <w:shd w:fill="1F4E78"/>
            <w:tcMar>
              <w:top w:w="70" w:type="dxa"/>
              <w:start w:w="80" w:type="dxa"/>
              <w:bottom w:w="70" w:type="dxa"/>
              <w:end w:w="80" w:type="dxa"/>
            </w:tcMar>
          </w:tcPr>
          <w:p>
            <w:pPr>
              <w:spacing w:before="0" w:after="0" w:line="240" w:lineRule="auto"/>
              <w:jc w:val="left"/>
            </w:pPr>
            <w:r>
              <w:rPr>
                <w:rFonts w:ascii="Arial" w:hAnsi="Arial"/>
                <w:b/>
                <w:color w:val="FFFFFF"/>
                <w:sz w:val="17"/>
              </w:rPr>
              <w:t>Role</w:t>
            </w:r>
          </w:p>
        </w:tc>
        <w:tc>
          <w:tcPr>
            <w:tcW w:type="dxa" w:w="2381"/>
            <w:shd w:fill="1F4E78"/>
            <w:tcMar>
              <w:top w:w="70" w:type="dxa"/>
              <w:start w:w="80" w:type="dxa"/>
              <w:bottom w:w="70" w:type="dxa"/>
              <w:end w:w="80" w:type="dxa"/>
            </w:tcMar>
          </w:tcPr>
          <w:p>
            <w:pPr>
              <w:spacing w:before="0" w:after="0" w:line="240" w:lineRule="auto"/>
              <w:jc w:val="left"/>
            </w:pPr>
            <w:r>
              <w:rPr>
                <w:rFonts w:ascii="Arial" w:hAnsi="Arial"/>
                <w:b/>
                <w:color w:val="FFFFFF"/>
                <w:sz w:val="17"/>
              </w:rPr>
              <w:t>Name</w:t>
            </w:r>
          </w:p>
        </w:tc>
        <w:tc>
          <w:tcPr>
            <w:tcW w:type="dxa" w:w="2948"/>
            <w:shd w:fill="1F4E78"/>
            <w:tcMar>
              <w:top w:w="70" w:type="dxa"/>
              <w:start w:w="80" w:type="dxa"/>
              <w:bottom w:w="70" w:type="dxa"/>
              <w:end w:w="80" w:type="dxa"/>
            </w:tcMar>
          </w:tcPr>
          <w:p>
            <w:pPr>
              <w:spacing w:before="0" w:after="0" w:line="240" w:lineRule="auto"/>
              <w:jc w:val="left"/>
            </w:pPr>
            <w:r>
              <w:rPr>
                <w:rFonts w:ascii="Arial" w:hAnsi="Arial"/>
                <w:b/>
                <w:color w:val="FFFFFF"/>
                <w:sz w:val="17"/>
              </w:rPr>
              <w:t>Decision / Signature</w:t>
            </w:r>
          </w:p>
        </w:tc>
        <w:tc>
          <w:tcPr>
            <w:tcW w:type="dxa" w:w="1927"/>
            <w:shd w:fill="1F4E78"/>
            <w:tcMar>
              <w:top w:w="70" w:type="dxa"/>
              <w:start w:w="80" w:type="dxa"/>
              <w:bottom w:w="70" w:type="dxa"/>
              <w:end w:w="80" w:type="dxa"/>
            </w:tcMar>
          </w:tcPr>
          <w:p>
            <w:pPr>
              <w:spacing w:before="0" w:after="0" w:line="240" w:lineRule="auto"/>
              <w:jc w:val="left"/>
            </w:pPr>
            <w:r>
              <w:rPr>
                <w:rFonts w:ascii="Arial" w:hAnsi="Arial"/>
                <w:b/>
                <w:color w:val="FFFFFF"/>
                <w:sz w:val="17"/>
              </w:rPr>
              <w:t>Date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val="0"/>
                <w:sz w:val="17"/>
              </w:rPr>
              <w:t>Project Sponsor</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7"/>
              </w:rPr>
              <w:t>Mr Seleke Masemola</w:t>
            </w:r>
          </w:p>
        </w:tc>
        <w:tc>
          <w:tcPr>
            <w:tcW w:type="dxa" w:w="2948"/>
            <w:vAlign w:val="top"/>
            <w:tcMar>
              <w:top w:w="70" w:type="dxa"/>
              <w:start w:w="80" w:type="dxa"/>
              <w:bottom w:w="70" w:type="dxa"/>
              <w:end w:w="80" w:type="dxa"/>
            </w:tcMar>
          </w:tcPr>
          <w:p>
            <w:pPr>
              <w:spacing w:before="0" w:after="0" w:line="240" w:lineRule="auto"/>
            </w:pPr>
            <w:r>
              <w:rPr>
                <w:rFonts w:ascii="Arial" w:hAnsi="Arial"/>
                <w:b w:val="0"/>
                <w:sz w:val="17"/>
              </w:rPr>
            </w:r>
          </w:p>
        </w:tc>
        <w:tc>
          <w:tcPr>
            <w:tcW w:type="dxa" w:w="1927"/>
            <w:vAlign w:val="top"/>
            <w:tcMar>
              <w:top w:w="70" w:type="dxa"/>
              <w:start w:w="80" w:type="dxa"/>
              <w:bottom w:w="70" w:type="dxa"/>
              <w:end w:w="80" w:type="dxa"/>
            </w:tcMar>
          </w:tcPr>
          <w:p>
            <w:pPr>
              <w:spacing w:before="0" w:after="0" w:line="240" w:lineRule="auto"/>
            </w:pPr>
            <w:r>
              <w:rPr>
                <w:rFonts w:ascii="Arial" w:hAnsi="Arial"/>
                <w:b w:val="0"/>
                <w:sz w:val="17"/>
              </w:rPr>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7"/>
              </w:rPr>
              <w:t>Project Owner</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7"/>
              </w:rPr>
              <w:t>Mr Seleke Masemola</w:t>
            </w:r>
          </w:p>
        </w:tc>
        <w:tc>
          <w:tcPr>
            <w:tcW w:type="dxa" w:w="2948"/>
            <w:vAlign w:val="top"/>
            <w:tcMar>
              <w:top w:w="70" w:type="dxa"/>
              <w:start w:w="80" w:type="dxa"/>
              <w:bottom w:w="70" w:type="dxa"/>
              <w:end w:w="80" w:type="dxa"/>
            </w:tcMar>
            <w:shd w:fill="F7F9FB"/>
          </w:tcPr>
          <w:p>
            <w:pPr>
              <w:spacing w:before="0" w:after="0" w:line="240" w:lineRule="auto"/>
            </w:pPr>
            <w:r>
              <w:rPr>
                <w:rFonts w:ascii="Arial" w:hAnsi="Arial"/>
                <w:b w:val="0"/>
                <w:sz w:val="17"/>
              </w:rPr>
            </w:r>
          </w:p>
        </w:tc>
        <w:tc>
          <w:tcPr>
            <w:tcW w:type="dxa" w:w="1927"/>
            <w:vAlign w:val="top"/>
            <w:tcMar>
              <w:top w:w="70" w:type="dxa"/>
              <w:start w:w="80" w:type="dxa"/>
              <w:bottom w:w="70" w:type="dxa"/>
              <w:end w:w="80" w:type="dxa"/>
            </w:tcMar>
            <w:shd w:fill="F7F9FB"/>
          </w:tcPr>
          <w:p>
            <w:pPr>
              <w:spacing w:before="0" w:after="0" w:line="240" w:lineRule="auto"/>
            </w:pPr>
            <w:r>
              <w:rPr>
                <w:rFonts w:ascii="Arial" w:hAnsi="Arial"/>
                <w:b w:val="0"/>
                <w:sz w:val="17"/>
              </w:rPr>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val="0"/>
                <w:sz w:val="17"/>
              </w:rPr>
              <w:t>Product / Business Representative</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7"/>
              </w:rPr>
            </w:r>
          </w:p>
        </w:tc>
        <w:tc>
          <w:tcPr>
            <w:tcW w:type="dxa" w:w="2948"/>
            <w:vAlign w:val="top"/>
            <w:tcMar>
              <w:top w:w="70" w:type="dxa"/>
              <w:start w:w="80" w:type="dxa"/>
              <w:bottom w:w="70" w:type="dxa"/>
              <w:end w:w="80" w:type="dxa"/>
            </w:tcMar>
          </w:tcPr>
          <w:p>
            <w:pPr>
              <w:spacing w:before="0" w:after="0" w:line="240" w:lineRule="auto"/>
            </w:pPr>
            <w:r>
              <w:rPr>
                <w:rFonts w:ascii="Arial" w:hAnsi="Arial"/>
                <w:b w:val="0"/>
                <w:sz w:val="17"/>
              </w:rPr>
            </w:r>
          </w:p>
        </w:tc>
        <w:tc>
          <w:tcPr>
            <w:tcW w:type="dxa" w:w="1927"/>
            <w:vAlign w:val="top"/>
            <w:tcMar>
              <w:top w:w="70" w:type="dxa"/>
              <w:start w:w="80" w:type="dxa"/>
              <w:bottom w:w="70" w:type="dxa"/>
              <w:end w:w="80" w:type="dxa"/>
            </w:tcMar>
          </w:tcPr>
          <w:p>
            <w:pPr>
              <w:spacing w:before="0" w:after="0" w:line="240" w:lineRule="auto"/>
            </w:pPr>
            <w:r>
              <w:rPr>
                <w:rFonts w:ascii="Arial" w:hAnsi="Arial"/>
                <w:b w:val="0"/>
                <w:sz w:val="17"/>
              </w:rPr>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7"/>
              </w:rPr>
              <w:t>Technical Lead</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7"/>
              </w:rPr>
            </w:r>
          </w:p>
        </w:tc>
        <w:tc>
          <w:tcPr>
            <w:tcW w:type="dxa" w:w="2948"/>
            <w:vAlign w:val="top"/>
            <w:tcMar>
              <w:top w:w="70" w:type="dxa"/>
              <w:start w:w="80" w:type="dxa"/>
              <w:bottom w:w="70" w:type="dxa"/>
              <w:end w:w="80" w:type="dxa"/>
            </w:tcMar>
            <w:shd w:fill="F7F9FB"/>
          </w:tcPr>
          <w:p>
            <w:pPr>
              <w:spacing w:before="0" w:after="0" w:line="240" w:lineRule="auto"/>
            </w:pPr>
            <w:r>
              <w:rPr>
                <w:rFonts w:ascii="Arial" w:hAnsi="Arial"/>
                <w:b w:val="0"/>
                <w:sz w:val="17"/>
              </w:rPr>
            </w:r>
          </w:p>
        </w:tc>
        <w:tc>
          <w:tcPr>
            <w:tcW w:type="dxa" w:w="1927"/>
            <w:vAlign w:val="top"/>
            <w:tcMar>
              <w:top w:w="70" w:type="dxa"/>
              <w:start w:w="80" w:type="dxa"/>
              <w:bottom w:w="70" w:type="dxa"/>
              <w:end w:w="80" w:type="dxa"/>
            </w:tcMar>
            <w:shd w:fill="F7F9FB"/>
          </w:tcPr>
          <w:p>
            <w:pPr>
              <w:spacing w:before="0" w:after="0" w:line="240" w:lineRule="auto"/>
            </w:pPr>
            <w:r>
              <w:rPr>
                <w:rFonts w:ascii="Arial" w:hAnsi="Arial"/>
                <w:b w:val="0"/>
                <w:sz w:val="17"/>
              </w:rPr>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val="0"/>
                <w:sz w:val="17"/>
              </w:rPr>
              <w:t>Information Security / Privacy</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7"/>
              </w:rPr>
            </w:r>
          </w:p>
        </w:tc>
        <w:tc>
          <w:tcPr>
            <w:tcW w:type="dxa" w:w="2948"/>
            <w:vAlign w:val="top"/>
            <w:tcMar>
              <w:top w:w="70" w:type="dxa"/>
              <w:start w:w="80" w:type="dxa"/>
              <w:bottom w:w="70" w:type="dxa"/>
              <w:end w:w="80" w:type="dxa"/>
            </w:tcMar>
          </w:tcPr>
          <w:p>
            <w:pPr>
              <w:spacing w:before="0" w:after="0" w:line="240" w:lineRule="auto"/>
            </w:pPr>
            <w:r>
              <w:rPr>
                <w:rFonts w:ascii="Arial" w:hAnsi="Arial"/>
                <w:b w:val="0"/>
                <w:sz w:val="17"/>
              </w:rPr>
            </w:r>
          </w:p>
        </w:tc>
        <w:tc>
          <w:tcPr>
            <w:tcW w:type="dxa" w:w="1927"/>
            <w:vAlign w:val="top"/>
            <w:tcMar>
              <w:top w:w="70" w:type="dxa"/>
              <w:start w:w="80" w:type="dxa"/>
              <w:bottom w:w="70" w:type="dxa"/>
              <w:end w:w="80" w:type="dxa"/>
            </w:tcMar>
          </w:tcPr>
          <w:p>
            <w:pPr>
              <w:spacing w:before="0" w:after="0" w:line="240" w:lineRule="auto"/>
            </w:pPr>
            <w:r>
              <w:rPr>
                <w:rFonts w:ascii="Arial" w:hAnsi="Arial"/>
                <w:b w:val="0"/>
                <w:sz w:val="17"/>
              </w:rPr>
            </w:r>
          </w:p>
        </w:tc>
      </w:tr>
    </w:tbl>
    <w:p>
      <w:pPr>
        <w:spacing w:after="20"/>
      </w:pPr>
    </w:p>
    <w:p>
      <w:pPr>
        <w:pStyle w:val="Heading2"/>
        <w:keepNext/>
      </w:pPr>
      <w:r>
        <w:t>Distribution List</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3515"/>
            <w:shd w:fill="1F4E78"/>
            <w:tcMar>
              <w:top w:w="70" w:type="dxa"/>
              <w:start w:w="80" w:type="dxa"/>
              <w:bottom w:w="70" w:type="dxa"/>
              <w:end w:w="80" w:type="dxa"/>
            </w:tcMar>
          </w:tcPr>
          <w:p>
            <w:pPr>
              <w:spacing w:before="0" w:after="0" w:line="240" w:lineRule="auto"/>
              <w:jc w:val="left"/>
            </w:pPr>
            <w:r>
              <w:rPr>
                <w:rFonts w:ascii="Arial" w:hAnsi="Arial"/>
                <w:b/>
                <w:color w:val="FFFFFF"/>
                <w:sz w:val="17"/>
              </w:rPr>
              <w:t>Recipient / Group</w:t>
            </w:r>
          </w:p>
        </w:tc>
        <w:tc>
          <w:tcPr>
            <w:tcW w:type="dxa" w:w="6123"/>
            <w:shd w:fill="1F4E78"/>
            <w:tcMar>
              <w:top w:w="70" w:type="dxa"/>
              <w:start w:w="80" w:type="dxa"/>
              <w:bottom w:w="70" w:type="dxa"/>
              <w:end w:w="80" w:type="dxa"/>
            </w:tcMar>
          </w:tcPr>
          <w:p>
            <w:pPr>
              <w:spacing w:before="0" w:after="0" w:line="240" w:lineRule="auto"/>
              <w:jc w:val="left"/>
            </w:pPr>
            <w:r>
              <w:rPr>
                <w:rFonts w:ascii="Arial" w:hAnsi="Arial"/>
                <w:b/>
                <w:color w:val="FFFFFF"/>
                <w:sz w:val="17"/>
              </w:rPr>
              <w:t>Purpose</w:t>
            </w:r>
          </w:p>
        </w:tc>
      </w:tr>
      <w:tr>
        <w:trPr>
          <w:cantSplit/>
        </w:trPr>
        <w:tc>
          <w:tcPr>
            <w:tcW w:type="dxa" w:w="3515"/>
            <w:vAlign w:val="top"/>
            <w:tcMar>
              <w:top w:w="70" w:type="dxa"/>
              <w:start w:w="80" w:type="dxa"/>
              <w:bottom w:w="70" w:type="dxa"/>
              <w:end w:w="80" w:type="dxa"/>
            </w:tcMar>
          </w:tcPr>
          <w:p>
            <w:pPr>
              <w:spacing w:before="0" w:after="0" w:line="240" w:lineRule="auto"/>
            </w:pPr>
            <w:r>
              <w:rPr>
                <w:rFonts w:ascii="Arial" w:hAnsi="Arial"/>
                <w:b w:val="0"/>
                <w:sz w:val="17"/>
              </w:rPr>
              <w:t>Project Sponsor and Project Owner</w:t>
            </w:r>
          </w:p>
        </w:tc>
        <w:tc>
          <w:tcPr>
            <w:tcW w:type="dxa" w:w="6123"/>
            <w:vAlign w:val="top"/>
            <w:tcMar>
              <w:top w:w="70" w:type="dxa"/>
              <w:start w:w="80" w:type="dxa"/>
              <w:bottom w:w="70" w:type="dxa"/>
              <w:end w:w="80" w:type="dxa"/>
            </w:tcMar>
          </w:tcPr>
          <w:p>
            <w:pPr>
              <w:spacing w:before="0" w:after="0" w:line="240" w:lineRule="auto"/>
            </w:pPr>
            <w:r>
              <w:rPr>
                <w:rFonts w:ascii="Arial" w:hAnsi="Arial"/>
                <w:b w:val="0"/>
                <w:sz w:val="17"/>
              </w:rPr>
              <w:t>Approval and governance</w:t>
            </w:r>
          </w:p>
        </w:tc>
      </w:tr>
      <w:tr>
        <w:trPr>
          <w:cantSplit/>
        </w:trPr>
        <w:tc>
          <w:tcPr>
            <w:tcW w:type="dxa" w:w="3515"/>
            <w:vAlign w:val="top"/>
            <w:tcMar>
              <w:top w:w="70" w:type="dxa"/>
              <w:start w:w="80" w:type="dxa"/>
              <w:bottom w:w="70" w:type="dxa"/>
              <w:end w:w="80" w:type="dxa"/>
            </w:tcMar>
            <w:shd w:fill="F7F9FB"/>
          </w:tcPr>
          <w:p>
            <w:pPr>
              <w:spacing w:before="0" w:after="0" w:line="240" w:lineRule="auto"/>
            </w:pPr>
            <w:r>
              <w:rPr>
                <w:rFonts w:ascii="Arial" w:hAnsi="Arial"/>
                <w:b w:val="0"/>
                <w:sz w:val="17"/>
              </w:rPr>
              <w:t>lulaFi Product Management</w:t>
            </w:r>
          </w:p>
        </w:tc>
        <w:tc>
          <w:tcPr>
            <w:tcW w:type="dxa" w:w="6123"/>
            <w:vAlign w:val="top"/>
            <w:tcMar>
              <w:top w:w="70" w:type="dxa"/>
              <w:start w:w="80" w:type="dxa"/>
              <w:bottom w:w="70" w:type="dxa"/>
              <w:end w:w="80" w:type="dxa"/>
            </w:tcMar>
            <w:shd w:fill="F7F9FB"/>
          </w:tcPr>
          <w:p>
            <w:pPr>
              <w:spacing w:before="0" w:after="0" w:line="240" w:lineRule="auto"/>
            </w:pPr>
            <w:r>
              <w:rPr>
                <w:rFonts w:ascii="Arial" w:hAnsi="Arial"/>
                <w:b w:val="0"/>
                <w:sz w:val="17"/>
              </w:rPr>
              <w:t>Requirements ownership and prioritisation</w:t>
            </w:r>
          </w:p>
        </w:tc>
      </w:tr>
      <w:tr>
        <w:trPr>
          <w:cantSplit/>
        </w:trPr>
        <w:tc>
          <w:tcPr>
            <w:tcW w:type="dxa" w:w="3515"/>
            <w:vAlign w:val="top"/>
            <w:tcMar>
              <w:top w:w="70" w:type="dxa"/>
              <w:start w:w="80" w:type="dxa"/>
              <w:bottom w:w="70" w:type="dxa"/>
              <w:end w:w="80" w:type="dxa"/>
            </w:tcMar>
          </w:tcPr>
          <w:p>
            <w:pPr>
              <w:spacing w:before="0" w:after="0" w:line="240" w:lineRule="auto"/>
            </w:pPr>
            <w:r>
              <w:rPr>
                <w:rFonts w:ascii="Arial" w:hAnsi="Arial"/>
                <w:b w:val="0"/>
                <w:sz w:val="17"/>
              </w:rPr>
              <w:t>lulaFi Architecture and Development Teams</w:t>
            </w:r>
          </w:p>
        </w:tc>
        <w:tc>
          <w:tcPr>
            <w:tcW w:type="dxa" w:w="6123"/>
            <w:vAlign w:val="top"/>
            <w:tcMar>
              <w:top w:w="70" w:type="dxa"/>
              <w:start w:w="80" w:type="dxa"/>
              <w:bottom w:w="70" w:type="dxa"/>
              <w:end w:w="80" w:type="dxa"/>
            </w:tcMar>
          </w:tcPr>
          <w:p>
            <w:pPr>
              <w:spacing w:before="0" w:after="0" w:line="240" w:lineRule="auto"/>
            </w:pPr>
            <w:r>
              <w:rPr>
                <w:rFonts w:ascii="Arial" w:hAnsi="Arial"/>
                <w:b w:val="0"/>
                <w:sz w:val="17"/>
              </w:rPr>
              <w:t>Solution design and implementation</w:t>
            </w:r>
          </w:p>
        </w:tc>
      </w:tr>
      <w:tr>
        <w:trPr>
          <w:cantSplit/>
        </w:trPr>
        <w:tc>
          <w:tcPr>
            <w:tcW w:type="dxa" w:w="3515"/>
            <w:vAlign w:val="top"/>
            <w:tcMar>
              <w:top w:w="70" w:type="dxa"/>
              <w:start w:w="80" w:type="dxa"/>
              <w:bottom w:w="70" w:type="dxa"/>
              <w:end w:w="80" w:type="dxa"/>
            </w:tcMar>
            <w:shd w:fill="F7F9FB"/>
          </w:tcPr>
          <w:p>
            <w:pPr>
              <w:spacing w:before="0" w:after="0" w:line="240" w:lineRule="auto"/>
            </w:pPr>
            <w:r>
              <w:rPr>
                <w:rFonts w:ascii="Arial" w:hAnsi="Arial"/>
                <w:b w:val="0"/>
                <w:sz w:val="17"/>
              </w:rPr>
              <w:t>Quality Assurance Team</w:t>
            </w:r>
          </w:p>
        </w:tc>
        <w:tc>
          <w:tcPr>
            <w:tcW w:type="dxa" w:w="6123"/>
            <w:vAlign w:val="top"/>
            <w:tcMar>
              <w:top w:w="70" w:type="dxa"/>
              <w:start w:w="80" w:type="dxa"/>
              <w:bottom w:w="70" w:type="dxa"/>
              <w:end w:w="80" w:type="dxa"/>
            </w:tcMar>
            <w:shd w:fill="F7F9FB"/>
          </w:tcPr>
          <w:p>
            <w:pPr>
              <w:spacing w:before="0" w:after="0" w:line="240" w:lineRule="auto"/>
            </w:pPr>
            <w:r>
              <w:rPr>
                <w:rFonts w:ascii="Arial" w:hAnsi="Arial"/>
                <w:b w:val="0"/>
                <w:sz w:val="17"/>
              </w:rPr>
              <w:t>Test planning and acceptance validation</w:t>
            </w:r>
          </w:p>
        </w:tc>
      </w:tr>
      <w:tr>
        <w:trPr>
          <w:cantSplit/>
        </w:trPr>
        <w:tc>
          <w:tcPr>
            <w:tcW w:type="dxa" w:w="3515"/>
            <w:vAlign w:val="top"/>
            <w:tcMar>
              <w:top w:w="70" w:type="dxa"/>
              <w:start w:w="80" w:type="dxa"/>
              <w:bottom w:w="70" w:type="dxa"/>
              <w:end w:w="80" w:type="dxa"/>
            </w:tcMar>
          </w:tcPr>
          <w:p>
            <w:pPr>
              <w:spacing w:before="0" w:after="0" w:line="240" w:lineRule="auto"/>
            </w:pPr>
            <w:r>
              <w:rPr>
                <w:rFonts w:ascii="Arial" w:hAnsi="Arial"/>
                <w:b w:val="0"/>
                <w:sz w:val="17"/>
              </w:rPr>
              <w:t>Information Security and Privacy</w:t>
            </w:r>
          </w:p>
        </w:tc>
        <w:tc>
          <w:tcPr>
            <w:tcW w:type="dxa" w:w="6123"/>
            <w:vAlign w:val="top"/>
            <w:tcMar>
              <w:top w:w="70" w:type="dxa"/>
              <w:start w:w="80" w:type="dxa"/>
              <w:bottom w:w="70" w:type="dxa"/>
              <w:end w:w="80" w:type="dxa"/>
            </w:tcMar>
          </w:tcPr>
          <w:p>
            <w:pPr>
              <w:spacing w:before="0" w:after="0" w:line="240" w:lineRule="auto"/>
            </w:pPr>
            <w:r>
              <w:rPr>
                <w:rFonts w:ascii="Arial" w:hAnsi="Arial"/>
                <w:b w:val="0"/>
                <w:sz w:val="17"/>
              </w:rPr>
              <w:t>Security, privacy and data governance review</w:t>
            </w:r>
          </w:p>
        </w:tc>
      </w:tr>
      <w:tr>
        <w:trPr>
          <w:cantSplit/>
        </w:trPr>
        <w:tc>
          <w:tcPr>
            <w:tcW w:type="dxa" w:w="3515"/>
            <w:vAlign w:val="top"/>
            <w:tcMar>
              <w:top w:w="70" w:type="dxa"/>
              <w:start w:w="80" w:type="dxa"/>
              <w:bottom w:w="70" w:type="dxa"/>
              <w:end w:w="80" w:type="dxa"/>
            </w:tcMar>
            <w:shd w:fill="F7F9FB"/>
          </w:tcPr>
          <w:p>
            <w:pPr>
              <w:spacing w:before="0" w:after="0" w:line="240" w:lineRule="auto"/>
            </w:pPr>
            <w:r>
              <w:rPr>
                <w:rFonts w:ascii="Arial" w:hAnsi="Arial"/>
                <w:b w:val="0"/>
                <w:sz w:val="17"/>
              </w:rPr>
              <w:t>Provider Representatives</w:t>
            </w:r>
          </w:p>
        </w:tc>
        <w:tc>
          <w:tcPr>
            <w:tcW w:type="dxa" w:w="6123"/>
            <w:vAlign w:val="top"/>
            <w:tcMar>
              <w:top w:w="70" w:type="dxa"/>
              <w:start w:w="80" w:type="dxa"/>
              <w:bottom w:w="70" w:type="dxa"/>
              <w:end w:w="80" w:type="dxa"/>
            </w:tcMar>
            <w:shd w:fill="F7F9FB"/>
          </w:tcPr>
          <w:p>
            <w:pPr>
              <w:spacing w:before="0" w:after="0" w:line="240" w:lineRule="auto"/>
            </w:pPr>
            <w:r>
              <w:rPr>
                <w:rFonts w:ascii="Arial" w:hAnsi="Arial"/>
                <w:b w:val="0"/>
                <w:sz w:val="17"/>
              </w:rPr>
              <w:t>Validation of provider analytics use cases</w:t>
            </w:r>
          </w:p>
        </w:tc>
      </w:tr>
    </w:tbl>
    <w:p>
      <w:pPr>
        <w:spacing w:after="20"/>
      </w:pPr>
    </w:p>
    <w:p>
      <w:pPr>
        <w:pStyle w:val="Heading2"/>
        <w:keepNext/>
      </w:pPr>
      <w:r>
        <w:t>Contact Details</w:t>
      </w:r>
    </w:p>
    <w:p>
      <w:pPr>
        <w:spacing w:before="0" w:after="120" w:line="259" w:lineRule="auto"/>
      </w:pPr>
      <w:r>
        <w:rPr>
          <w:rFonts w:ascii="Arial" w:hAnsi="Arial"/>
          <w:i w:val="0"/>
          <w:sz w:val="20"/>
        </w:rPr>
        <w:t>New Dawn Technologies (NDT)</w:t>
        <w:br/>
        <w:t>regc@ndt.co.za | 081 334 8834</w:t>
      </w:r>
    </w:p>
    <w:p>
      <w:pPr>
        <w:pStyle w:val="Heading2"/>
        <w:keepNext/>
      </w:pPr>
      <w:r>
        <w:t>Confidentiality</w:t>
      </w:r>
    </w:p>
    <w:p>
      <w:pPr>
        <w:spacing w:before="0" w:after="120" w:line="259" w:lineRule="auto"/>
      </w:pPr>
      <w:r>
        <w:rPr>
          <w:rFonts w:ascii="Arial" w:hAnsi="Arial"/>
          <w:i w:val="0"/>
          <w:sz w:val="20"/>
        </w:rPr>
        <w:t>The recipient of this document must treat it as confidential and must not disclose it to any party other than the recipient’s employees on a need-to-know basis, or other individuals authorised under a written confidentiality agreement. If the recipient does not agree with these provisions, this document must be returned to New Dawn Technologies.</w:t>
      </w:r>
    </w:p>
    <w:p>
      <w:r>
        <w:br w:type="page"/>
      </w:r>
    </w:p>
    <w:p>
      <w:pPr>
        <w:pStyle w:val="Heading1"/>
        <w:jc w:val="left"/>
      </w:pPr>
      <w:r>
        <w:t>Contents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8618"/>
            <w:shd w:fill="1F4E78"/>
            <w:tcMar>
              <w:top w:w="70" w:type="dxa"/>
              <w:start w:w="80" w:type="dxa"/>
              <w:bottom w:w="70" w:type="dxa"/>
              <w:end w:w="80" w:type="dxa"/>
            </w:tcMar>
          </w:tcPr>
          <w:p>
            <w:pPr>
              <w:spacing w:before="0" w:after="0" w:line="240" w:lineRule="auto"/>
              <w:jc w:val="left"/>
            </w:pPr>
            <w:r>
              <w:rPr>
                <w:rFonts w:ascii="Arial" w:hAnsi="Arial"/>
                <w:b/>
                <w:color w:val="FFFFFF"/>
                <w:sz w:val="18"/>
              </w:rPr>
              <w:t>Section</w:t>
            </w:r>
          </w:p>
        </w:tc>
        <w:tc>
          <w:tcPr>
            <w:tcW w:type="dxa" w:w="1020"/>
            <w:shd w:fill="1F4E78"/>
            <w:tcMar>
              <w:top w:w="70" w:type="dxa"/>
              <w:start w:w="80" w:type="dxa"/>
              <w:bottom w:w="70" w:type="dxa"/>
              <w:end w:w="80" w:type="dxa"/>
            </w:tcMar>
          </w:tcPr>
          <w:p>
            <w:pPr>
              <w:spacing w:before="0" w:after="0" w:line="240" w:lineRule="auto"/>
              <w:jc w:val="left"/>
            </w:pPr>
            <w:r>
              <w:rPr>
                <w:rFonts w:ascii="Arial" w:hAnsi="Arial"/>
                <w:b/>
                <w:color w:val="FFFFFF"/>
                <w:sz w:val="18"/>
              </w:rPr>
              <w:t>Page</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 Executive Summary</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6</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 Introduction</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6</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3. Product Context and Objectives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7</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4. Scope</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8</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5. Stakeholders, Roles and Access Model</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9</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6. Use Cases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11</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7. Analytics Context and Logical Data Flow</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12</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8. Analytics Data Domains and Event Taxonomy</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13</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9. Time Frames, Filters, Segmentation and Drill-Down</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17</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10. Provider Analytics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19</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11. Global lulaFi Admin Analytics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26</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12. KPI Framework and Metric Catalogue</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28</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13. Advertising and Campaign Analytics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33</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14. Dashboard, Visualisation and User Experience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35</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15. Reporting, Export, Scheduling and Alerting</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38</w:t>
            </w:r>
          </w:p>
        </w:tc>
      </w:tr>
    </w:tbl>
    <w:p>
      <w:pPr>
        <w:spacing w:after="20"/>
      </w:pPr>
    </w:p>
    <w:p>
      <w:r>
        <w:br w:type="page"/>
      </w:r>
    </w:p>
    <w:p>
      <w:pPr>
        <w:pStyle w:val="Heading1"/>
        <w:jc w:val="left"/>
      </w:pPr>
      <w:r>
        <w:t>Contents (continued)</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8618"/>
            <w:shd w:fill="1F4E78"/>
            <w:tcMar>
              <w:top w:w="70" w:type="dxa"/>
              <w:start w:w="80" w:type="dxa"/>
              <w:bottom w:w="70" w:type="dxa"/>
              <w:end w:w="80" w:type="dxa"/>
            </w:tcMar>
          </w:tcPr>
          <w:p>
            <w:pPr>
              <w:spacing w:before="0" w:after="0" w:line="240" w:lineRule="auto"/>
              <w:jc w:val="left"/>
            </w:pPr>
            <w:r>
              <w:rPr>
                <w:rFonts w:ascii="Arial" w:hAnsi="Arial"/>
                <w:b/>
                <w:color w:val="FFFFFF"/>
                <w:sz w:val="18"/>
              </w:rPr>
              <w:t>Section</w:t>
            </w:r>
          </w:p>
        </w:tc>
        <w:tc>
          <w:tcPr>
            <w:tcW w:type="dxa" w:w="1020"/>
            <w:shd w:fill="1F4E78"/>
            <w:tcMar>
              <w:top w:w="70" w:type="dxa"/>
              <w:start w:w="80" w:type="dxa"/>
              <w:bottom w:w="70" w:type="dxa"/>
              <w:end w:w="80" w:type="dxa"/>
            </w:tcMar>
          </w:tcPr>
          <w:p>
            <w:pPr>
              <w:spacing w:before="0" w:after="0" w:line="240" w:lineRule="auto"/>
              <w:jc w:val="left"/>
            </w:pPr>
            <w:r>
              <w:rPr>
                <w:rFonts w:ascii="Arial" w:hAnsi="Arial"/>
                <w:b/>
                <w:color w:val="FFFFFF"/>
                <w:sz w:val="18"/>
              </w:rPr>
              <w:t>Page</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16. Analytics API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40</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17. Data Management and Quality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41</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18. Security, Privacy and Audit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42</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19. Non-Functional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44</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20. Integration Requirements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47</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21. Error Handling and User Messages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47</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22. Acceptance Criteria</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48</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23. Requirements Traceability to the PRD</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50</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24. Assumptions, Constraints and Dependencies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51</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25. Standards and Industry Alignment</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52</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26. Glossary</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52</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27. References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53</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Appendix A – Metric Definition Record Template</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54</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Appendix B – Event Naming and Attribute Rules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54</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Appendix C – Indicative Analytics Permission Matrix</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55</w:t>
            </w:r>
          </w:p>
        </w:tc>
      </w:tr>
      <w:tr>
        <w:trPr>
          <w:cantSplit/>
        </w:trPr>
        <w:tc>
          <w:tcPr>
            <w:tcW w:type="dxa" w:w="8618"/>
            <w:vAlign w:val="top"/>
            <w:tcMar>
              <w:top w:w="70" w:type="dxa"/>
              <w:start w:w="80" w:type="dxa"/>
              <w:bottom w:w="70" w:type="dxa"/>
              <w:end w:w="80" w:type="dxa"/>
            </w:tcMar>
          </w:tcPr>
          <w:p>
            <w:pPr>
              <w:spacing w:before="0" w:after="0" w:line="240" w:lineRule="auto"/>
            </w:pPr>
            <w:r>
              <w:rPr>
                <w:rFonts w:ascii="Arial" w:hAnsi="Arial"/>
                <w:b w:val="0"/>
                <w:sz w:val="18"/>
              </w:rPr>
              <w:t>End of Document</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8"/>
              </w:rPr>
              <w:t>56</w:t>
            </w:r>
          </w:p>
        </w:tc>
      </w:tr>
    </w:tbl>
    <w:p>
      <w:pPr>
        <w:spacing w:after="20"/>
      </w:pPr>
    </w:p>
    <w:p>
      <w:r>
        <w:br w:type="page"/>
      </w:r>
    </w:p>
    <w:p>
      <w:pPr>
        <w:pStyle w:val="Heading1"/>
        <w:keepNext/>
      </w:pPr>
      <w:r>
        <w:t>1. Executive Summary</w:t>
      </w:r>
    </w:p>
    <w:p>
      <w:pPr>
        <w:spacing w:before="0" w:after="120" w:line="259" w:lineRule="auto"/>
      </w:pPr>
      <w:r>
        <w:rPr>
          <w:rFonts w:ascii="Arial" w:hAnsi="Arial"/>
          <w:i w:val="0"/>
          <w:sz w:val="20"/>
        </w:rPr>
        <w:t>This System Requirements Specification defines the analytics capability for the lulaFi digital engagement platform. The capability shall provide individually tailored analytics to authorised provider users and a global, cross-platform analytics capability to authorised lulaFi administrators. It converts operational and interaction events from forms, submissions, workflows, messaging, notifications, connectors, search, advertising and platform services into governed metrics, dashboards, drill-down views, reports and exports.</w:t>
      </w:r>
    </w:p>
    <w:p>
      <w:pPr>
        <w:spacing w:before="0" w:after="120" w:line="259" w:lineRule="auto"/>
      </w:pPr>
      <w:r>
        <w:rPr>
          <w:rFonts w:ascii="Arial" w:hAnsi="Arial"/>
          <w:i w:val="0"/>
          <w:sz w:val="20"/>
        </w:rPr>
        <w:t>Provider analytics shall be strictly constrained to the provider realm and the access rights of the logged-on provider user. lulaFi Admin analytics shall provide platform-wide summaries, comparisons, operational health and controlled provider drill-down. Global reporting shall favour aggregated and pseudonymised data, and shall not expose form payloads, chat content or sensitive personal data unless a separately authorised support or compliance use case explicitly requires it.</w:t>
      </w:r>
    </w:p>
    <w:p>
      <w:pPr>
        <w:spacing w:before="0" w:after="120" w:line="259" w:lineRule="auto"/>
      </w:pPr>
      <w:r>
        <w:rPr>
          <w:rFonts w:ascii="Arial" w:hAnsi="Arial"/>
          <w:i w:val="0"/>
          <w:sz w:val="20"/>
        </w:rPr>
        <w:t>The analytics experience shall support selectable time frames, comparison periods, filtering, segmentation, summary KPI cards, trends, tables, geographic and categorical breakdowns, and progressive drill-down from a metric to supporting detail. Metric definitions shall be consistent, version controlled and auditable. Metrics shall align, where applicable, to recognised industry practices for digital product analytics, advertising measurement, service reliability, software quality, accessibility, data quality and observability.</w:t>
      </w:r>
    </w:p>
    <w:p>
      <w:pPr/>
      <w:r>
        <w:t>The upgraded scope adds governed conversational and marketing analytics inspired by large-scale business messaging and full-funnel digital analytics practices. It links campaigns, conversations, forms, acquisition sources, commerce events, products, inventory states and revenue outcomes through explicit attribution rules. It also introduces privacy-controlled predictive indicators for purchase propensity, churn risk and operational opportunity, without weakening provider-realm isolation or permitting analytics to ingest message content.</w:t>
      </w:r>
    </w:p>
    <w:tbl>
      <w:tblPr>
        <w:tblW w:type="auto" w:w="0"/>
        <w:jc w:val="center"/>
        <w:tblLayout w:type="autofit"/>
        <w:tblLook w:firstColumn="1" w:firstRow="1" w:lastColumn="0" w:lastRow="0" w:noHBand="0" w:noVBand="1" w:val="04A0"/>
      </w:tblPr>
      <w:tblGrid>
        <w:gridCol w:w="9752"/>
      </w:tblGrid>
      <w:tr>
        <w:trPr>
          <w:tblHeader/>
          <w:cantSplit/>
        </w:trPr>
        <w:tc>
          <w:tcPr>
            <w:tcW w:type="dxa" w:w="9752"/>
            <w:shd w:fill="EAF3F8"/>
            <w:tcMar>
              <w:top w:w="100" w:type="dxa"/>
              <w:start w:w="120" w:type="dxa"/>
              <w:bottom w:w="100" w:type="dxa"/>
              <w:end w:w="120" w:type="dxa"/>
            </w:tcMar>
          </w:tcPr>
          <w:p>
            <w:r>
              <w:rPr>
                <w:rFonts w:ascii="Arial" w:hAnsi="Arial"/>
                <w:b/>
                <w:color w:val="17365D"/>
                <w:sz w:val="19"/>
              </w:rPr>
              <w:t xml:space="preserve">Primary outcome: </w:t>
            </w:r>
            <w:r>
              <w:rPr>
                <w:rFonts w:ascii="Arial" w:hAnsi="Arial"/>
                <w:sz w:val="19"/>
              </w:rPr>
              <w:t>A provider administrator sees how that provider’s services perform and where intervention is required; a lulaFi administrator sees the health, adoption and performance of the entire platform without weakening tenant isolation or privacy.</w:t>
            </w:r>
          </w:p>
        </w:tc>
      </w:tr>
    </w:tbl>
    <w:p>
      <w:pPr>
        <w:spacing w:after="20"/>
      </w:pPr>
    </w:p>
    <w:p>
      <w:pPr>
        <w:pStyle w:val="Heading1"/>
        <w:keepNext/>
      </w:pPr>
      <w:r>
        <w:t>2. Introduction</w:t>
      </w:r>
    </w:p>
    <w:p>
      <w:pPr>
        <w:pStyle w:val="Heading2"/>
        <w:keepNext/>
      </w:pPr>
      <w:r>
        <w:t>2.1 Purpose</w:t>
      </w:r>
    </w:p>
    <w:p>
      <w:pPr>
        <w:spacing w:before="0" w:after="120" w:line="259" w:lineRule="auto"/>
      </w:pPr>
      <w:r>
        <w:rPr>
          <w:rFonts w:ascii="Arial" w:hAnsi="Arial"/>
          <w:i w:val="0"/>
          <w:sz w:val="20"/>
        </w:rPr>
        <w:t>The purpose of this SRS is to provide a complete, testable and traceable set of requirements for the lulaFi Analytics capability. It is intended to guide solution design, implementation, data instrumentation, testing, deployment, security review and business acceptance.</w:t>
      </w:r>
    </w:p>
    <w:p>
      <w:pPr>
        <w:pStyle w:val="Heading2"/>
        <w:keepNext/>
      </w:pPr>
      <w:r>
        <w:t>2.2 Intended Audience</w:t>
      </w:r>
    </w:p>
    <w:p>
      <w:pPr>
        <w:pStyle w:val="ListBullet"/>
        <w:spacing w:before="0" w:after="40" w:line="252" w:lineRule="auto"/>
      </w:pPr>
      <w:r>
        <w:rPr>
          <w:rFonts w:ascii="Arial" w:hAnsi="Arial"/>
          <w:sz w:val="20"/>
        </w:rPr>
        <w:t>Project Sponsor and Product Owner</w:t>
      </w:r>
    </w:p>
    <w:p>
      <w:pPr>
        <w:pStyle w:val="ListBullet"/>
        <w:spacing w:before="0" w:after="40" w:line="252" w:lineRule="auto"/>
      </w:pPr>
      <w:r>
        <w:rPr>
          <w:rFonts w:ascii="Arial" w:hAnsi="Arial"/>
          <w:sz w:val="20"/>
        </w:rPr>
        <w:t>Business analysts and product managers</w:t>
      </w:r>
    </w:p>
    <w:p>
      <w:pPr>
        <w:pStyle w:val="ListBullet"/>
        <w:spacing w:before="0" w:after="40" w:line="252" w:lineRule="auto"/>
      </w:pPr>
      <w:r>
        <w:rPr>
          <w:rFonts w:ascii="Arial" w:hAnsi="Arial"/>
          <w:sz w:val="20"/>
        </w:rPr>
        <w:t>Solution, data, security and integration architects</w:t>
      </w:r>
    </w:p>
    <w:p>
      <w:pPr>
        <w:pStyle w:val="ListBullet"/>
        <w:spacing w:before="0" w:after="40" w:line="252" w:lineRule="auto"/>
      </w:pPr>
      <w:r>
        <w:rPr>
          <w:rFonts w:ascii="Arial" w:hAnsi="Arial"/>
          <w:sz w:val="20"/>
        </w:rPr>
        <w:t>Frontend, backend, mobile and connector developers</w:t>
      </w:r>
    </w:p>
    <w:p>
      <w:pPr>
        <w:pStyle w:val="ListBullet"/>
        <w:spacing w:before="0" w:after="40" w:line="252" w:lineRule="auto"/>
      </w:pPr>
      <w:r>
        <w:rPr>
          <w:rFonts w:ascii="Arial" w:hAnsi="Arial"/>
          <w:sz w:val="20"/>
        </w:rPr>
        <w:t>Quality assurance and test teams</w:t>
      </w:r>
    </w:p>
    <w:p>
      <w:pPr>
        <w:pStyle w:val="ListBullet"/>
        <w:spacing w:before="0" w:after="40" w:line="252" w:lineRule="auto"/>
      </w:pPr>
      <w:r>
        <w:rPr>
          <w:rFonts w:ascii="Arial" w:hAnsi="Arial"/>
          <w:sz w:val="20"/>
        </w:rPr>
        <w:t>Platform operations and support teams</w:t>
      </w:r>
    </w:p>
    <w:p>
      <w:pPr>
        <w:pStyle w:val="ListBullet"/>
        <w:spacing w:before="0" w:after="40" w:line="252" w:lineRule="auto"/>
      </w:pPr>
      <w:r>
        <w:rPr>
          <w:rFonts w:ascii="Arial" w:hAnsi="Arial"/>
          <w:sz w:val="20"/>
        </w:rPr>
        <w:t>Provider administrators and authorised provider analysts</w:t>
      </w:r>
    </w:p>
    <w:p>
      <w:pPr>
        <w:pStyle w:val="ListBullet"/>
        <w:spacing w:before="0" w:after="40" w:line="252" w:lineRule="auto"/>
      </w:pPr>
      <w:r>
        <w:rPr>
          <w:rFonts w:ascii="Arial" w:hAnsi="Arial"/>
          <w:sz w:val="20"/>
        </w:rPr>
        <w:t>lulaFi administrators and governance users</w:t>
      </w:r>
    </w:p>
    <w:p>
      <w:pPr>
        <w:pStyle w:val="Heading2"/>
        <w:keepNext/>
      </w:pPr>
      <w:r>
        <w:t>2.3 Document Conventions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268"/>
            <w:shd w:fill="1F4E78"/>
            <w:tcMar>
              <w:top w:w="70" w:type="dxa"/>
              <w:start w:w="80" w:type="dxa"/>
              <w:bottom w:w="70" w:type="dxa"/>
              <w:end w:w="80" w:type="dxa"/>
            </w:tcMar>
          </w:tcPr>
          <w:p>
            <w:pPr>
              <w:spacing w:before="0" w:after="0" w:line="240" w:lineRule="auto"/>
              <w:jc w:val="left"/>
            </w:pPr>
            <w:r>
              <w:rPr>
                <w:rFonts w:ascii="Arial" w:hAnsi="Arial"/>
                <w:b/>
                <w:color w:val="FFFFFF"/>
                <w:sz w:val="17"/>
              </w:rPr>
              <w:t>Convention</w:t>
            </w:r>
          </w:p>
        </w:tc>
        <w:tc>
          <w:tcPr>
            <w:tcW w:type="dxa" w:w="7371"/>
            <w:shd w:fill="1F4E78"/>
            <w:tcMar>
              <w:top w:w="70" w:type="dxa"/>
              <w:start w:w="80" w:type="dxa"/>
              <w:bottom w:w="70" w:type="dxa"/>
              <w:end w:w="80" w:type="dxa"/>
            </w:tcMar>
          </w:tcPr>
          <w:p>
            <w:pPr>
              <w:spacing w:before="0" w:after="0" w:line="240" w:lineRule="auto"/>
              <w:jc w:val="left"/>
            </w:pPr>
            <w:r>
              <w:rPr>
                <w:rFonts w:ascii="Arial" w:hAnsi="Arial"/>
                <w:b/>
                <w:color w:val="FFFFFF"/>
                <w:sz w:val="17"/>
              </w:rPr>
              <w:t>Meaning</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7"/>
              </w:rPr>
              <w:t>Shall</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7"/>
              </w:rPr>
              <w:t>Mandatory requirement</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7"/>
              </w:rPr>
              <w:t>Should</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7"/>
              </w:rPr>
              <w:t>Recommended requirement, subject to prioritisation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7"/>
              </w:rPr>
              <w:t>May</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7"/>
              </w:rPr>
              <w:t>Permitted or optional capability</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7"/>
              </w:rPr>
              <w:t>Provider realm</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7"/>
              </w:rPr>
              <w:t>The provider-scoped security, tenancy, configuration and data boundary established during Provider Take-On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7"/>
              </w:rPr>
              <w:t>Metric</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7"/>
              </w:rPr>
              <w:t>A defined quantitative measure with a formula, dimensions, data source, refresh rule and access classification</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7"/>
              </w:rPr>
              <w:t>Drill-down</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7"/>
              </w:rPr>
              <w:t>Progressive navigation from an aggregate or summary to lower-level contributing data</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7"/>
              </w:rPr>
              <w:t>Current period</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7"/>
              </w:rPr>
              <w:t>The time range selected by the user</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7"/>
              </w:rPr>
              <w:t>Comparison period</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7"/>
              </w:rPr>
              <w:t>A prior equivalent period or user-selected baseline used to calculate change</w:t>
            </w:r>
          </w:p>
        </w:tc>
      </w:tr>
    </w:tbl>
    <w:p>
      <w:pPr>
        <w:spacing w:after="20"/>
      </w:pPr>
    </w:p>
    <w:p>
      <w:pPr>
        <w:pStyle w:val="Heading2"/>
        <w:keepNext/>
      </w:pPr>
      <w:r>
        <w:t>2.4 Source Baseline</w:t>
      </w:r>
    </w:p>
    <w:p>
      <w:pPr>
        <w:spacing w:before="0" w:after="120" w:line="259" w:lineRule="auto"/>
      </w:pPr>
      <w:r>
        <w:t>This SRS is based on the lulaFi Requirements Product Requirements Document (PRD) v0.2 and the approved Analytics SRS v1.0. It also incorporates stakeholder-supplied comparative requirements drawn from WhatsApp-style conversational business analytics and Google-style advertising, acquisition and full-funnel analytics. These inputs add campaign engagement, conversation-to-revenue attribution, cart recovery, commerce and inventory analytics, predictive indicators and revenue growth management while preserving every previously specified analytics function.</w:t>
      </w:r>
    </w:p>
    <w:p>
      <w:pPr>
        <w:pStyle w:val="Heading1"/>
        <w:keepNext/>
      </w:pPr>
      <w:r>
        <w:t>3. Product Context and Objectives</w:t>
      </w:r>
    </w:p>
    <w:p>
      <w:pPr>
        <w:pStyle w:val="Heading2"/>
        <w:keepNext/>
      </w:pPr>
      <w:r>
        <w:t>3.1 Business Context</w:t>
      </w:r>
    </w:p>
    <w:p>
      <w:pPr>
        <w:spacing w:before="0" w:after="120" w:line="259" w:lineRule="auto"/>
      </w:pPr>
      <w:r>
        <w:rPr>
          <w:rFonts w:ascii="Arial" w:hAnsi="Arial"/>
          <w:i w:val="0"/>
          <w:sz w:val="20"/>
        </w:rPr>
        <w:t>lulaFi provides a unified digital engagement layer through which end users interact with providers using forms, workflows, chat, notifications and connector applications. Analytics is required to establish whether users can discover and complete services, whether providers respond and process work effectively, whether connectors and notifications perform reliably, whether advertising delivers measurable value, and whether the platform remains secure, available and scalable.</w:t>
      </w:r>
    </w:p>
    <w:p>
      <w:pPr>
        <w:pStyle w:val="Heading2"/>
        <w:keepNext/>
      </w:pPr>
      <w:r>
        <w:t>3.2 Analytics Objectives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1417"/>
            <w:shd w:fill="1F4E78"/>
            <w:tcMar>
              <w:top w:w="70" w:type="dxa"/>
              <w:start w:w="80" w:type="dxa"/>
              <w:bottom w:w="70" w:type="dxa"/>
              <w:end w:w="80" w:type="dxa"/>
            </w:tcMar>
          </w:tcPr>
          <w:p>
            <w:pPr>
              <w:spacing w:before="0" w:after="0" w:line="240" w:lineRule="auto"/>
              <w:jc w:val="left"/>
            </w:pPr>
            <w:r>
              <w:rPr>
                <w:rFonts w:ascii="Arial" w:hAnsi="Arial"/>
                <w:b/>
                <w:color w:val="FFFFFF"/>
                <w:sz w:val="17"/>
              </w:rPr>
              <w:t>ID</w:t>
            </w:r>
          </w:p>
        </w:tc>
        <w:tc>
          <w:tcPr>
            <w:tcW w:type="dxa" w:w="8221"/>
            <w:shd w:fill="1F4E78"/>
            <w:tcMar>
              <w:top w:w="70" w:type="dxa"/>
              <w:start w:w="80" w:type="dxa"/>
              <w:bottom w:w="70" w:type="dxa"/>
              <w:end w:w="80" w:type="dxa"/>
            </w:tcMar>
          </w:tcPr>
          <w:p>
            <w:pPr>
              <w:spacing w:before="0" w:after="0" w:line="240" w:lineRule="auto"/>
              <w:jc w:val="left"/>
            </w:pPr>
            <w:r>
              <w:rPr>
                <w:rFonts w:ascii="Arial" w:hAnsi="Arial"/>
                <w:b/>
                <w:color w:val="FFFFFF"/>
                <w:sz w:val="17"/>
              </w:rPr>
              <w:t>Objective</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OBJ-001</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Give each provider an evidence-based view of service adoption, usage, outcomes and operational bottlenecks.</w:t>
            </w:r>
          </w:p>
        </w:tc>
      </w:tr>
      <w:tr>
        <w:trPr>
          <w:cantSplit/>
        </w:trPr>
        <w:tc>
          <w:tcPr>
            <w:tcW w:type="dxa" w:w="1417"/>
            <w:vAlign w:val="top"/>
            <w:tcMar>
              <w:top w:w="70" w:type="dxa"/>
              <w:start w:w="80" w:type="dxa"/>
              <w:bottom w:w="70" w:type="dxa"/>
              <w:end w:w="80" w:type="dxa"/>
            </w:tcMar>
            <w:shd w:fill="F7F9FB"/>
          </w:tcPr>
          <w:p>
            <w:pPr>
              <w:spacing w:before="0" w:after="0" w:line="240" w:lineRule="auto"/>
            </w:pPr>
            <w:r>
              <w:rPr>
                <w:rFonts w:ascii="Arial" w:hAnsi="Arial"/>
                <w:b/>
                <w:sz w:val="17"/>
              </w:rPr>
              <w:t>OBJ-002</w:t>
            </w:r>
          </w:p>
        </w:tc>
        <w:tc>
          <w:tcPr>
            <w:tcW w:type="dxa" w:w="8221"/>
            <w:vAlign w:val="top"/>
            <w:tcMar>
              <w:top w:w="70" w:type="dxa"/>
              <w:start w:w="80" w:type="dxa"/>
              <w:bottom w:w="70" w:type="dxa"/>
              <w:end w:w="80" w:type="dxa"/>
            </w:tcMar>
            <w:shd w:fill="F7F9FB"/>
          </w:tcPr>
          <w:p>
            <w:pPr>
              <w:spacing w:before="0" w:after="0" w:line="240" w:lineRule="auto"/>
            </w:pPr>
            <w:r>
              <w:rPr>
                <w:rFonts w:ascii="Arial" w:hAnsi="Arial"/>
                <w:b w:val="0"/>
                <w:sz w:val="17"/>
              </w:rPr>
              <w:t>Give lulaFi Admin a global view of platform adoption, provider activity, user engagement, reliability, capacity, commercial usage and data quality.</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OBJ-003</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Enable users to move from summary indicators to explanatory detail without leaving the analytics context.</w:t>
            </w:r>
          </w:p>
        </w:tc>
      </w:tr>
      <w:tr>
        <w:trPr>
          <w:cantSplit/>
        </w:trPr>
        <w:tc>
          <w:tcPr>
            <w:tcW w:type="dxa" w:w="1417"/>
            <w:vAlign w:val="top"/>
            <w:tcMar>
              <w:top w:w="70" w:type="dxa"/>
              <w:start w:w="80" w:type="dxa"/>
              <w:bottom w:w="70" w:type="dxa"/>
              <w:end w:w="80" w:type="dxa"/>
            </w:tcMar>
            <w:shd w:fill="F7F9FB"/>
          </w:tcPr>
          <w:p>
            <w:pPr>
              <w:spacing w:before="0" w:after="0" w:line="240" w:lineRule="auto"/>
            </w:pPr>
            <w:r>
              <w:rPr>
                <w:rFonts w:ascii="Arial" w:hAnsi="Arial"/>
                <w:b/>
                <w:sz w:val="17"/>
              </w:rPr>
              <w:t>OBJ-004</w:t>
            </w:r>
          </w:p>
        </w:tc>
        <w:tc>
          <w:tcPr>
            <w:tcW w:type="dxa" w:w="8221"/>
            <w:vAlign w:val="top"/>
            <w:tcMar>
              <w:top w:w="70" w:type="dxa"/>
              <w:start w:w="80" w:type="dxa"/>
              <w:bottom w:w="70" w:type="dxa"/>
              <w:end w:w="80" w:type="dxa"/>
            </w:tcMar>
            <w:shd w:fill="F7F9FB"/>
          </w:tcPr>
          <w:p>
            <w:pPr>
              <w:spacing w:before="0" w:after="0" w:line="240" w:lineRule="auto"/>
            </w:pPr>
            <w:r>
              <w:rPr>
                <w:rFonts w:ascii="Arial" w:hAnsi="Arial"/>
                <w:b w:val="0"/>
                <w:sz w:val="17"/>
              </w:rPr>
              <w:t>Establish one governed KPI dictionary so that metrics are calculated consistently across dashboards, exports and APIs.</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OBJ-005</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Protect provider isolation, personal information and sensitive service content while still enabling useful measurement.</w:t>
            </w:r>
          </w:p>
        </w:tc>
      </w:tr>
      <w:tr>
        <w:trPr>
          <w:cantSplit/>
        </w:trPr>
        <w:tc>
          <w:tcPr>
            <w:tcW w:type="dxa" w:w="1417"/>
            <w:vAlign w:val="top"/>
            <w:tcMar>
              <w:top w:w="70" w:type="dxa"/>
              <w:start w:w="80" w:type="dxa"/>
              <w:bottom w:w="70" w:type="dxa"/>
              <w:end w:w="80" w:type="dxa"/>
            </w:tcMar>
            <w:shd w:fill="F7F9FB"/>
          </w:tcPr>
          <w:p>
            <w:pPr>
              <w:spacing w:before="0" w:after="0" w:line="240" w:lineRule="auto"/>
            </w:pPr>
            <w:r>
              <w:rPr>
                <w:rFonts w:ascii="Arial" w:hAnsi="Arial"/>
                <w:b/>
                <w:sz w:val="17"/>
              </w:rPr>
              <w:t>OBJ-006</w:t>
            </w:r>
          </w:p>
        </w:tc>
        <w:tc>
          <w:tcPr>
            <w:tcW w:type="dxa" w:w="8221"/>
            <w:vAlign w:val="top"/>
            <w:tcMar>
              <w:top w:w="70" w:type="dxa"/>
              <w:start w:w="80" w:type="dxa"/>
              <w:bottom w:w="70" w:type="dxa"/>
              <w:end w:w="80" w:type="dxa"/>
            </w:tcMar>
            <w:shd w:fill="F7F9FB"/>
          </w:tcPr>
          <w:p>
            <w:pPr>
              <w:spacing w:before="0" w:after="0" w:line="240" w:lineRule="auto"/>
            </w:pPr>
            <w:r>
              <w:rPr>
                <w:rFonts w:ascii="Arial" w:hAnsi="Arial"/>
                <w:b w:val="0"/>
                <w:sz w:val="17"/>
              </w:rPr>
              <w:t>Support decisions across selectable time frames, comparison periods, dimensions and provider-specific contexts.</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OBJ-007</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Provide traceable data lineage and quality indicators so users can understand the freshness and reliability of every metric.</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OBJ-008</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Measure campaign and conversational engagement across supported channels, including delivery, read, click, response and conversion outcomes.</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OBJ-009</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Attribute revenue and other governed outcomes to campaigns, conversations, forms, acquisition sources and connector-triggered interactions using transparent attribution rules.</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OBJ-010</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Measure full customer and service journeys from acquisition or discovery through engagement, form completion, order or service outcome and retention.</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OBJ-011</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Identify cart, application and journey abandonment points and support authorised recovery actions and measurement.</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OBJ-012</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Provide governed predictive indicators for purchase propensity, churn risk, expected conversion and workload or revenue opportunity.</w:t>
            </w:r>
          </w:p>
        </w:tc>
      </w:tr>
      <w:tr>
        <w:trPr>
          <w:cantSplit/>
        </w:trPr>
        <w:tc>
          <w:tcPr>
            <w:tcW w:type="dxa" w:w="1417"/>
            <w:vAlign w:val="top"/>
            <w:tcMar>
              <w:top w:w="70" w:type="dxa"/>
              <w:start w:w="80" w:type="dxa"/>
              <w:bottom w:w="70" w:type="dxa"/>
              <w:end w:w="80" w:type="dxa"/>
            </w:tcMar>
          </w:tcPr>
          <w:p>
            <w:pPr>
              <w:spacing w:before="0" w:after="0" w:line="240" w:lineRule="auto"/>
            </w:pPr>
            <w:r>
              <w:rPr>
                <w:rFonts w:ascii="Arial" w:hAnsi="Arial"/>
                <w:b/>
                <w:sz w:val="17"/>
              </w:rPr>
              <w:t>OBJ-013</w:t>
            </w:r>
          </w:p>
        </w:tc>
        <w:tc>
          <w:tcPr>
            <w:tcW w:type="dxa" w:w="8221"/>
            <w:vAlign w:val="top"/>
            <w:tcMar>
              <w:top w:w="70" w:type="dxa"/>
              <w:start w:w="80" w:type="dxa"/>
              <w:bottom w:w="70" w:type="dxa"/>
              <w:end w:w="80" w:type="dxa"/>
            </w:tcMar>
          </w:tcPr>
          <w:p>
            <w:pPr>
              <w:spacing w:before="0" w:after="0" w:line="240" w:lineRule="auto"/>
            </w:pPr>
            <w:r>
              <w:rPr>
                <w:rFonts w:ascii="Arial" w:hAnsi="Arial"/>
                <w:b w:val="0"/>
                <w:sz w:val="17"/>
              </w:rPr>
              <w:t>Support revenue growth management by combining demand, sale-out, product, inventory, campaign and user-action signals.</w:t>
            </w:r>
          </w:p>
        </w:tc>
      </w:tr>
    </w:tbl>
    <w:p>
      <w:pPr>
        <w:spacing w:after="20"/>
      </w:pPr>
    </w:p>
    <w:p>
      <w:pPr>
        <w:pStyle w:val="Heading2"/>
        <w:keepNext/>
      </w:pPr>
      <w:r>
        <w:t>3.3 Guiding Principles</w:t>
      </w:r>
    </w:p>
    <w:p>
      <w:pPr>
        <w:pStyle w:val="ListBullet"/>
        <w:spacing w:before="0" w:after="40" w:line="252" w:lineRule="auto"/>
      </w:pPr>
      <w:r>
        <w:rPr>
          <w:rFonts w:ascii="Arial" w:hAnsi="Arial"/>
          <w:sz w:val="20"/>
        </w:rPr>
        <w:t>Measure outcomes and journeys, not only page views or raw event counts.</w:t>
      </w:r>
    </w:p>
    <w:p>
      <w:pPr>
        <w:pStyle w:val="ListBullet"/>
        <w:spacing w:before="0" w:after="40" w:line="252" w:lineRule="auto"/>
      </w:pPr>
      <w:r>
        <w:rPr>
          <w:rFonts w:ascii="Arial" w:hAnsi="Arial"/>
          <w:sz w:val="20"/>
        </w:rPr>
        <w:t>Use a common event taxonomy and version-controlled KPI definitions.</w:t>
      </w:r>
    </w:p>
    <w:p>
      <w:pPr>
        <w:pStyle w:val="ListBullet"/>
        <w:spacing w:before="0" w:after="40" w:line="252" w:lineRule="auto"/>
      </w:pPr>
      <w:r>
        <w:rPr>
          <w:rFonts w:ascii="Arial" w:hAnsi="Arial"/>
          <w:sz w:val="20"/>
        </w:rPr>
        <w:t>Apply least privilege, provider isolation and privacy-by-design to every query and export.</w:t>
      </w:r>
    </w:p>
    <w:p>
      <w:pPr>
        <w:pStyle w:val="ListBullet"/>
        <w:spacing w:before="0" w:after="40" w:line="252" w:lineRule="auto"/>
      </w:pPr>
      <w:r>
        <w:rPr>
          <w:rFonts w:ascii="Arial" w:hAnsi="Arial"/>
          <w:sz w:val="20"/>
        </w:rPr>
        <w:t>Show metric definitions, units, periods, denominators and data freshness in context.</w:t>
      </w:r>
    </w:p>
    <w:p>
      <w:pPr>
        <w:pStyle w:val="ListBullet"/>
        <w:spacing w:before="0" w:after="40" w:line="252" w:lineRule="auto"/>
      </w:pPr>
      <w:r>
        <w:rPr>
          <w:rFonts w:ascii="Arial" w:hAnsi="Arial"/>
          <w:sz w:val="20"/>
        </w:rPr>
        <w:t>Preserve the ability to reconcile dashboard values to source events and operational records.</w:t>
      </w:r>
    </w:p>
    <w:p>
      <w:pPr>
        <w:pStyle w:val="ListBullet"/>
        <w:spacing w:before="0" w:after="40" w:line="252" w:lineRule="auto"/>
      </w:pPr>
      <w:r>
        <w:rPr>
          <w:rFonts w:ascii="Arial" w:hAnsi="Arial"/>
          <w:sz w:val="20"/>
        </w:rPr>
        <w:t>Use progressive disclosure: global summary, trend, breakdown and then authorised detail.</w:t>
      </w:r>
    </w:p>
    <w:p>
      <w:pPr>
        <w:pStyle w:val="ListBullet"/>
        <w:spacing w:before="0" w:after="40" w:line="252" w:lineRule="auto"/>
      </w:pPr>
      <w:r>
        <w:rPr>
          <w:rFonts w:ascii="Arial" w:hAnsi="Arial"/>
          <w:sz w:val="20"/>
        </w:rPr>
        <w:t>Do not collect form field values, attachment contents, chat messages or notification bodies for analytics unless explicitly approved as a separate requirement.</w:t>
      </w:r>
    </w:p>
    <w:p>
      <w:pPr>
        <w:pStyle w:val="ListBullet"/>
        <w:spacing w:before="0" w:after="40" w:line="252" w:lineRule="auto"/>
      </w:pPr>
      <w:r>
        <w:rPr>
          <w:rFonts w:ascii="Arial" w:hAnsi="Arial"/>
          <w:sz w:val="20"/>
        </w:rPr>
        <w:t>Prefer near-real-time reporting for operational metrics and clearly label metrics that are batch processed or delayed.</w:t>
      </w:r>
    </w:p>
    <w:p>
      <w:pPr>
        <w:pStyle w:val="ListBullet"/>
      </w:pPr>
      <w:r>
        <w:t>Separate observed facts, attributed outcomes, predicted outcomes and recommendations so that users can distinguish measurement from inference.</w:t>
      </w:r>
    </w:p>
    <w:p>
      <w:pPr>
        <w:pStyle w:val="ListBullet"/>
      </w:pPr>
      <w:r>
        <w:t>Make attribution model, lookback window, conversion event and confidence explicit wherever revenue or conversion credit is assigned.</w:t>
      </w:r>
    </w:p>
    <w:p>
      <w:pPr>
        <w:pStyle w:val="ListBullet"/>
      </w:pPr>
      <w:r>
        <w:t>Do not use predictive scores as the sole basis for legal, eligibility, financial or other high-impact decisions.</w:t>
      </w:r>
    </w:p>
    <w:p>
      <w:pPr>
        <w:pStyle w:val="Heading1"/>
        <w:keepNext/>
      </w:pPr>
      <w:r>
        <w:t>4. Scope</w:t>
      </w:r>
    </w:p>
    <w:p>
      <w:pPr>
        <w:pStyle w:val="Heading2"/>
        <w:keepNext/>
      </w:pPr>
      <w:r>
        <w:t>4.1 In Scope</w:t>
      </w:r>
    </w:p>
    <w:p>
      <w:pPr>
        <w:pStyle w:val="ListBullet"/>
        <w:spacing w:before="0" w:after="40" w:line="252" w:lineRule="auto"/>
      </w:pPr>
      <w:r>
        <w:rPr>
          <w:rFonts w:ascii="Arial" w:hAnsi="Arial"/>
          <w:sz w:val="20"/>
        </w:rPr>
        <w:t>Provider-specific analytics dashboards and reports.</w:t>
      </w:r>
    </w:p>
    <w:p>
      <w:pPr>
        <w:pStyle w:val="ListBullet"/>
        <w:spacing w:before="0" w:after="40" w:line="252" w:lineRule="auto"/>
      </w:pPr>
      <w:r>
        <w:rPr>
          <w:rFonts w:ascii="Arial" w:hAnsi="Arial"/>
          <w:sz w:val="20"/>
        </w:rPr>
        <w:t>Global lulaFi Admin analytics dashboards and reports.</w:t>
      </w:r>
    </w:p>
    <w:p>
      <w:pPr>
        <w:pStyle w:val="ListBullet"/>
        <w:spacing w:before="0" w:after="40" w:line="252" w:lineRule="auto"/>
      </w:pPr>
      <w:r>
        <w:rPr>
          <w:rFonts w:ascii="Arial" w:hAnsi="Arial"/>
          <w:sz w:val="20"/>
        </w:rPr>
        <w:t>Analytics for user adoption, forms, submissions, workflows, chat, notifications, search, connector applications, advertising, subscription/usage and platform reliability.</w:t>
      </w:r>
    </w:p>
    <w:p>
      <w:pPr>
        <w:pStyle w:val="ListBullet"/>
        <w:spacing w:before="0" w:after="40" w:line="252" w:lineRule="auto"/>
      </w:pPr>
      <w:r>
        <w:rPr>
          <w:rFonts w:ascii="Arial" w:hAnsi="Arial"/>
          <w:sz w:val="20"/>
        </w:rPr>
        <w:t>Selectable time frames, comparison periods, filters, dimensions and segments.</w:t>
      </w:r>
    </w:p>
    <w:p>
      <w:pPr>
        <w:pStyle w:val="ListBullet"/>
        <w:spacing w:before="0" w:after="40" w:line="252" w:lineRule="auto"/>
      </w:pPr>
      <w:r>
        <w:rPr>
          <w:rFonts w:ascii="Arial" w:hAnsi="Arial"/>
          <w:sz w:val="20"/>
        </w:rPr>
        <w:t>Summary KPI cards, trends, distributions, funnels, cohorts, ranked lists and detail tables.</w:t>
      </w:r>
    </w:p>
    <w:p>
      <w:pPr>
        <w:pStyle w:val="ListBullet"/>
        <w:spacing w:before="0" w:after="40" w:line="252" w:lineRule="auto"/>
      </w:pPr>
      <w:r>
        <w:rPr>
          <w:rFonts w:ascii="Arial" w:hAnsi="Arial"/>
          <w:sz w:val="20"/>
        </w:rPr>
        <w:t>Drill-down from platform or provider summary to authorised lower-level data.</w:t>
      </w:r>
    </w:p>
    <w:p>
      <w:pPr>
        <w:pStyle w:val="ListBullet"/>
        <w:spacing w:before="0" w:after="40" w:line="252" w:lineRule="auto"/>
      </w:pPr>
      <w:r>
        <w:rPr>
          <w:rFonts w:ascii="Arial" w:hAnsi="Arial"/>
          <w:sz w:val="20"/>
        </w:rPr>
        <w:t>Exports in CSV, XLSX and PDF formats, with export auditing and access controls.</w:t>
      </w:r>
    </w:p>
    <w:p>
      <w:pPr>
        <w:pStyle w:val="ListBullet"/>
        <w:spacing w:before="0" w:after="40" w:line="252" w:lineRule="auto"/>
      </w:pPr>
      <w:r>
        <w:rPr>
          <w:rFonts w:ascii="Arial" w:hAnsi="Arial"/>
          <w:sz w:val="20"/>
        </w:rPr>
        <w:t>Scheduled reports and threshold-based alerts where enabled by configuration.</w:t>
      </w:r>
    </w:p>
    <w:p>
      <w:pPr>
        <w:pStyle w:val="ListBullet"/>
        <w:spacing w:before="0" w:after="40" w:line="252" w:lineRule="auto"/>
      </w:pPr>
      <w:r>
        <w:rPr>
          <w:rFonts w:ascii="Arial" w:hAnsi="Arial"/>
          <w:sz w:val="20"/>
        </w:rPr>
        <w:t>A governed KPI catalogue, data dictionary, event taxonomy and metric lineage.</w:t>
      </w:r>
    </w:p>
    <w:p>
      <w:pPr>
        <w:pStyle w:val="ListBullet"/>
        <w:spacing w:before="0" w:after="40" w:line="252" w:lineRule="auto"/>
      </w:pPr>
      <w:r>
        <w:rPr>
          <w:rFonts w:ascii="Arial" w:hAnsi="Arial"/>
          <w:sz w:val="20"/>
        </w:rPr>
        <w:t>Analytics APIs for approved portal, administration and connector use cases.</w:t>
      </w:r>
    </w:p>
    <w:p>
      <w:pPr>
        <w:pStyle w:val="ListBullet"/>
        <w:spacing w:before="0" w:after="40" w:line="252" w:lineRule="auto"/>
      </w:pPr>
      <w:r>
        <w:rPr>
          <w:rFonts w:ascii="Arial" w:hAnsi="Arial"/>
          <w:sz w:val="20"/>
        </w:rPr>
        <w:t>Data freshness, completeness, quality and processing-status indicators.</w:t>
      </w:r>
    </w:p>
    <w:p>
      <w:pPr>
        <w:pStyle w:val="ListBullet"/>
        <w:spacing w:before="0" w:after="40" w:line="252" w:lineRule="auto"/>
      </w:pPr>
      <w:r>
        <w:rPr>
          <w:rFonts w:ascii="Arial" w:hAnsi="Arial"/>
          <w:sz w:val="20"/>
        </w:rPr>
        <w:t>Role-based access control, provider-realm isolation, privacy controls and audit logging.</w:t>
      </w:r>
    </w:p>
    <w:p>
      <w:pPr>
        <w:pStyle w:val="ListBullet"/>
        <w:spacing w:before="0" w:after="40" w:line="252" w:lineRule="auto"/>
      </w:pPr>
      <w:r>
        <w:rPr>
          <w:rFonts w:ascii="Arial" w:hAnsi="Arial"/>
          <w:sz w:val="20"/>
        </w:rPr>
        <w:t>Accessibility, responsive layout and performance requirements for analytics screens.</w:t>
      </w:r>
    </w:p>
    <w:p>
      <w:pPr>
        <w:pStyle w:val="ListBullet"/>
      </w:pPr>
      <w:r>
        <w:t>Conversational and marketing campaign analytics across supported messaging and notification channels, including WhatsApp connectors where enabled.</w:t>
      </w:r>
    </w:p>
    <w:p>
      <w:pPr>
        <w:pStyle w:val="ListBullet"/>
      </w:pPr>
      <w:r>
        <w:t>Message delivery, read, click, response, conversion, opt-out and cost analytics using channel-supported events.</w:t>
      </w:r>
    </w:p>
    <w:p>
      <w:pPr>
        <w:pStyle w:val="ListBullet"/>
      </w:pPr>
      <w:r>
        <w:t>Conversation, campaign, form, acquisition and connector revenue attribution using governed attribution models and windows.</w:t>
      </w:r>
    </w:p>
    <w:p>
      <w:pPr>
        <w:pStyle w:val="ListBullet"/>
      </w:pPr>
      <w:r>
        <w:t>Traffic acquisition analytics by source, medium, campaign, referral, QR code, direct link, search and connector entry point.</w:t>
      </w:r>
    </w:p>
    <w:p>
      <w:pPr>
        <w:pStyle w:val="ListBullet"/>
      </w:pPr>
      <w:r>
        <w:t>Full-funnel journey analysis from discovery or acquisition through engagement, form or cart progression, submission, order, payment and retention.</w:t>
      </w:r>
    </w:p>
    <w:p>
      <w:pPr>
        <w:pStyle w:val="ListBullet"/>
      </w:pPr>
      <w:r>
        <w:t>Commerce, order, product, basket, cart abandonment, recovery and revenue analytics where provider commerce data is integrated.</w:t>
      </w:r>
    </w:p>
    <w:p>
      <w:pPr>
        <w:pStyle w:val="ListBullet"/>
      </w:pPr>
      <w:r>
        <w:t>Product, sale-out and inventory-state analytics supporting replenishment, back-in-stock and availability-triggered campaigns.</w:t>
      </w:r>
    </w:p>
    <w:p>
      <w:pPr>
        <w:pStyle w:val="ListBullet"/>
      </w:pPr>
      <w:r>
        <w:t>Predictive indicators and AI-assisted insights for purchase propensity, conversion probability, churn risk, anomaly detection and opportunity prioritisation.</w:t>
      </w:r>
    </w:p>
    <w:p>
      <w:pPr>
        <w:pStyle w:val="ListBullet"/>
      </w:pPr>
      <w:r>
        <w:t>Revenue growth management dashboards combining campaign, product, inventory, user-action and revenue outcomes.</w:t>
      </w:r>
    </w:p>
    <w:p>
      <w:pPr>
        <w:pStyle w:val="Heading2"/>
        <w:keepNext/>
      </w:pPr>
      <w:r>
        <w:t>4.2 Out of Scope</w:t>
      </w:r>
    </w:p>
    <w:p>
      <w:pPr>
        <w:pStyle w:val="ListBullet"/>
        <w:spacing w:before="0" w:after="40" w:line="252" w:lineRule="auto"/>
      </w:pPr>
      <w:r>
        <w:t>Autonomous execution of pricing, eligibility, credit, legal, employment or other high-impact decisions based solely on analytics or predictive scores.</w:t>
      </w:r>
    </w:p>
    <w:p>
      <w:pPr>
        <w:pStyle w:val="ListBullet"/>
        <w:spacing w:before="0" w:after="40" w:line="252" w:lineRule="auto"/>
      </w:pPr>
      <w:r>
        <w:rPr>
          <w:rFonts w:ascii="Arial" w:hAnsi="Arial"/>
          <w:sz w:val="20"/>
        </w:rPr>
        <w:t>Unrestricted cross-provider benchmarking visible to providers.</w:t>
      </w:r>
    </w:p>
    <w:p>
      <w:pPr>
        <w:pStyle w:val="ListBullet"/>
        <w:spacing w:before="0" w:after="40" w:line="252" w:lineRule="auto"/>
      </w:pPr>
      <w:r>
        <w:rPr>
          <w:rFonts w:ascii="Arial" w:hAnsi="Arial"/>
          <w:sz w:val="20"/>
        </w:rPr>
        <w:t>Collection or analysis of chat message content, attachment content or sensitive form-field values.</w:t>
      </w:r>
    </w:p>
    <w:p>
      <w:pPr>
        <w:pStyle w:val="ListBullet"/>
        <w:spacing w:before="0" w:after="40" w:line="252" w:lineRule="auto"/>
      </w:pPr>
      <w:r>
        <w:rPr>
          <w:rFonts w:ascii="Arial" w:hAnsi="Arial"/>
          <w:sz w:val="20"/>
        </w:rPr>
        <w:t>A general-purpose business intelligence authoring platform for arbitrary database queries.</w:t>
      </w:r>
    </w:p>
    <w:p>
      <w:pPr>
        <w:pStyle w:val="ListBullet"/>
        <w:spacing w:before="0" w:after="40" w:line="252" w:lineRule="auto"/>
      </w:pPr>
      <w:r>
        <w:rPr>
          <w:rFonts w:ascii="Arial" w:hAnsi="Arial"/>
          <w:sz w:val="20"/>
        </w:rPr>
        <w:t>Financial accounting, statutory revenue recognition or tax reporting.</w:t>
      </w:r>
    </w:p>
    <w:p>
      <w:pPr>
        <w:pStyle w:val="ListBullet"/>
        <w:spacing w:before="0" w:after="40" w:line="252" w:lineRule="auto"/>
      </w:pPr>
      <w:r>
        <w:rPr>
          <w:rFonts w:ascii="Arial" w:hAnsi="Arial"/>
          <w:sz w:val="20"/>
        </w:rPr>
        <w:t>Replacement of the operational monitoring stack; Analytics may consume operational metrics but does not replace logging, tracing and alerting services.</w:t>
      </w:r>
    </w:p>
    <w:p>
      <w:pPr>
        <w:pStyle w:val="ListBullet"/>
        <w:spacing w:before="0" w:after="40" w:line="252" w:lineRule="auto"/>
      </w:pPr>
      <w:r>
        <w:rPr>
          <w:rFonts w:ascii="Arial" w:hAnsi="Arial"/>
          <w:sz w:val="20"/>
        </w:rPr>
        <w:t>External data brokerage, user profiling for unrelated purposes or sale of personal information.</w:t>
      </w:r>
    </w:p>
    <w:p>
      <w:pPr>
        <w:pStyle w:val="Heading2"/>
        <w:keepNext/>
      </w:pPr>
      <w:r>
        <w:t>4.3 Future Scope</w:t>
      </w:r>
    </w:p>
    <w:p>
      <w:pPr>
        <w:pStyle w:val="ListBullet"/>
        <w:spacing w:before="0" w:after="40" w:line="252" w:lineRule="auto"/>
      </w:pPr>
      <w:r>
        <w:t>Privacy-preserving cross-provider benchmarks by industry cohort</w:t>
      </w:r>
    </w:p>
    <w:p>
      <w:pPr>
        <w:pStyle w:val="ListBullet"/>
        <w:spacing w:before="0" w:after="40" w:line="252" w:lineRule="auto"/>
      </w:pPr>
      <w:r>
        <w:t>Natural-language analytics queries and narrative summaries</w:t>
      </w:r>
    </w:p>
    <w:p>
      <w:pPr>
        <w:pStyle w:val="ListBullet"/>
        <w:spacing w:before="0" w:after="40" w:line="252" w:lineRule="auto"/>
      </w:pPr>
      <w:r>
        <w:t>Causal inference, controlled experiments and incrementality measurement</w:t>
      </w:r>
    </w:p>
    <w:p>
      <w:pPr>
        <w:pStyle w:val="ListBullet"/>
        <w:spacing w:before="0" w:after="40" w:line="252" w:lineRule="auto"/>
      </w:pPr>
      <w:r>
        <w:t>Federated analytics where provider data cannot leave provider-controlled infrastructure</w:t>
      </w:r>
    </w:p>
    <w:p>
      <w:pPr>
        <w:pStyle w:val="ListBullet"/>
        <w:spacing w:before="0" w:after="40" w:line="252" w:lineRule="auto"/>
      </w:pPr>
      <w:r>
        <w:t>Cross-channel identity resolution using consented and privacy-preserving identifiers</w:t>
      </w:r>
    </w:p>
    <w:p>
      <w:pPr>
        <w:pStyle w:val="ListBullet"/>
        <w:spacing w:before="0" w:after="40" w:line="252" w:lineRule="auto"/>
      </w:pPr>
      <w:r>
        <w:t>Prescriptive optimisation and autonomous campaign execution subject to explicit governance and approval controls</w:t>
      </w:r>
    </w:p>
    <w:p>
      <w:pPr>
        <w:pStyle w:val="Heading1"/>
        <w:keepNext/>
      </w:pPr>
      <w:r>
        <w:t>5. Stakeholders, Roles and Access Model</w:t>
      </w:r>
    </w:p>
    <w:p>
      <w:pPr>
        <w:pStyle w:val="Heading2"/>
        <w:keepNext/>
      </w:pPr>
      <w:r>
        <w:t>5.1 Analytics User Types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927"/>
            <w:shd w:fill="1F4E78"/>
            <w:tcMar>
              <w:top w:w="70" w:type="dxa"/>
              <w:start w:w="80" w:type="dxa"/>
              <w:bottom w:w="70" w:type="dxa"/>
              <w:end w:w="80" w:type="dxa"/>
            </w:tcMar>
          </w:tcPr>
          <w:p>
            <w:pPr>
              <w:spacing w:before="0" w:after="0" w:line="240" w:lineRule="auto"/>
              <w:jc w:val="left"/>
            </w:pPr>
            <w:r>
              <w:rPr>
                <w:rFonts w:ascii="Arial" w:hAnsi="Arial"/>
                <w:b/>
                <w:color w:val="FFFFFF"/>
                <w:sz w:val="16"/>
              </w:rPr>
              <w:t>Role</w:t>
            </w:r>
          </w:p>
        </w:tc>
        <w:tc>
          <w:tcPr>
            <w:tcW w:type="dxa" w:w="2835"/>
            <w:shd w:fill="1F4E78"/>
            <w:tcMar>
              <w:top w:w="70" w:type="dxa"/>
              <w:start w:w="80" w:type="dxa"/>
              <w:bottom w:w="70" w:type="dxa"/>
              <w:end w:w="80" w:type="dxa"/>
            </w:tcMar>
          </w:tcPr>
          <w:p>
            <w:pPr>
              <w:spacing w:before="0" w:after="0" w:line="240" w:lineRule="auto"/>
              <w:jc w:val="left"/>
            </w:pPr>
            <w:r>
              <w:rPr>
                <w:rFonts w:ascii="Arial" w:hAnsi="Arial"/>
                <w:b/>
                <w:color w:val="FFFFFF"/>
                <w:sz w:val="16"/>
              </w:rPr>
              <w:t>Analytics Scope</w:t>
            </w:r>
          </w:p>
        </w:tc>
        <w:tc>
          <w:tcPr>
            <w:tcW w:type="dxa" w:w="4876"/>
            <w:shd w:fill="1F4E78"/>
            <w:tcMar>
              <w:top w:w="70" w:type="dxa"/>
              <w:start w:w="80" w:type="dxa"/>
              <w:bottom w:w="70" w:type="dxa"/>
              <w:end w:w="80" w:type="dxa"/>
            </w:tcMar>
          </w:tcPr>
          <w:p>
            <w:pPr>
              <w:spacing w:before="0" w:after="0" w:line="240" w:lineRule="auto"/>
              <w:jc w:val="left"/>
            </w:pPr>
            <w:r>
              <w:rPr>
                <w:rFonts w:ascii="Arial" w:hAnsi="Arial"/>
                <w:b/>
                <w:color w:val="FFFFFF"/>
                <w:sz w:val="16"/>
              </w:rPr>
              <w:t>Typical Capabilities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Provider Viewer</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One provider realm; assigned organisational scope</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View approved dashboards and reports; apply filters; no configuration or export unless granted.</w:t>
            </w:r>
          </w:p>
        </w:tc>
      </w:tr>
      <w:tr>
        <w:trPr>
          <w:cantSplit/>
        </w:trPr>
        <w:tc>
          <w:tcPr>
            <w:tcW w:type="dxa" w:w="1927"/>
            <w:vAlign w:val="top"/>
            <w:tcMar>
              <w:top w:w="70" w:type="dxa"/>
              <w:start w:w="80" w:type="dxa"/>
              <w:bottom w:w="70" w:type="dxa"/>
              <w:end w:w="80" w:type="dxa"/>
            </w:tcMar>
            <w:shd w:fill="F7F9FB"/>
          </w:tcPr>
          <w:p>
            <w:pPr>
              <w:spacing w:before="0" w:after="0" w:line="240" w:lineRule="auto"/>
            </w:pPr>
            <w:r>
              <w:rPr>
                <w:rFonts w:ascii="Arial" w:hAnsi="Arial"/>
                <w:b/>
                <w:sz w:val="16"/>
              </w:rPr>
              <w:t>Provider Analyst</w:t>
            </w:r>
          </w:p>
        </w:tc>
        <w:tc>
          <w:tcPr>
            <w:tcW w:type="dxa" w:w="2835"/>
            <w:vAlign w:val="top"/>
            <w:tcMar>
              <w:top w:w="70" w:type="dxa"/>
              <w:start w:w="80" w:type="dxa"/>
              <w:bottom w:w="70" w:type="dxa"/>
              <w:end w:w="80" w:type="dxa"/>
            </w:tcMar>
            <w:shd w:fill="F7F9FB"/>
          </w:tcPr>
          <w:p>
            <w:pPr>
              <w:spacing w:before="0" w:after="0" w:line="240" w:lineRule="auto"/>
            </w:pPr>
            <w:r>
              <w:rPr>
                <w:rFonts w:ascii="Arial" w:hAnsi="Arial"/>
                <w:b w:val="0"/>
                <w:sz w:val="16"/>
              </w:rPr>
              <w:t>One provider realm; assigned organisational scope</w:t>
            </w:r>
          </w:p>
        </w:tc>
        <w:tc>
          <w:tcPr>
            <w:tcW w:type="dxa" w:w="4876"/>
            <w:vAlign w:val="top"/>
            <w:tcMar>
              <w:top w:w="70" w:type="dxa"/>
              <w:start w:w="80" w:type="dxa"/>
              <w:bottom w:w="70" w:type="dxa"/>
              <w:end w:w="80" w:type="dxa"/>
            </w:tcMar>
            <w:shd w:fill="F7F9FB"/>
          </w:tcPr>
          <w:p>
            <w:pPr>
              <w:spacing w:before="0" w:after="0" w:line="240" w:lineRule="auto"/>
            </w:pPr>
            <w:r>
              <w:rPr>
                <w:rFonts w:ascii="Arial" w:hAnsi="Arial"/>
                <w:b w:val="0"/>
                <w:sz w:val="16"/>
              </w:rPr>
              <w:t>View, drill down, segment and export authorised provider analytics.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Provider Administrator</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One provider realm</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Full provider analytics, provider dashboard configuration, report scheduling and role assignment.</w:t>
            </w:r>
          </w:p>
        </w:tc>
      </w:tr>
      <w:tr>
        <w:trPr>
          <w:cantSplit/>
        </w:trPr>
        <w:tc>
          <w:tcPr>
            <w:tcW w:type="dxa" w:w="1927"/>
            <w:vAlign w:val="top"/>
            <w:tcMar>
              <w:top w:w="70" w:type="dxa"/>
              <w:start w:w="80" w:type="dxa"/>
              <w:bottom w:w="70" w:type="dxa"/>
              <w:end w:w="80" w:type="dxa"/>
            </w:tcMar>
            <w:shd w:fill="F7F9FB"/>
          </w:tcPr>
          <w:p>
            <w:pPr>
              <w:spacing w:before="0" w:after="0" w:line="240" w:lineRule="auto"/>
            </w:pPr>
            <w:r>
              <w:rPr>
                <w:rFonts w:ascii="Arial" w:hAnsi="Arial"/>
                <w:b/>
                <w:sz w:val="16"/>
              </w:rPr>
              <w:t>Provider Executive</w:t>
            </w:r>
          </w:p>
        </w:tc>
        <w:tc>
          <w:tcPr>
            <w:tcW w:type="dxa" w:w="2835"/>
            <w:vAlign w:val="top"/>
            <w:tcMar>
              <w:top w:w="70" w:type="dxa"/>
              <w:start w:w="80" w:type="dxa"/>
              <w:bottom w:w="70" w:type="dxa"/>
              <w:end w:w="80" w:type="dxa"/>
            </w:tcMar>
            <w:shd w:fill="F7F9FB"/>
          </w:tcPr>
          <w:p>
            <w:pPr>
              <w:spacing w:before="0" w:after="0" w:line="240" w:lineRule="auto"/>
            </w:pPr>
            <w:r>
              <w:rPr>
                <w:rFonts w:ascii="Arial" w:hAnsi="Arial"/>
                <w:b w:val="0"/>
                <w:sz w:val="16"/>
              </w:rPr>
              <w:t>One provider realm; executive summary</w:t>
            </w:r>
          </w:p>
        </w:tc>
        <w:tc>
          <w:tcPr>
            <w:tcW w:type="dxa" w:w="4876"/>
            <w:vAlign w:val="top"/>
            <w:tcMar>
              <w:top w:w="70" w:type="dxa"/>
              <w:start w:w="80" w:type="dxa"/>
              <w:bottom w:w="70" w:type="dxa"/>
              <w:end w:w="80" w:type="dxa"/>
            </w:tcMar>
            <w:shd w:fill="F7F9FB"/>
          </w:tcPr>
          <w:p>
            <w:pPr>
              <w:spacing w:before="0" w:after="0" w:line="240" w:lineRule="auto"/>
            </w:pPr>
            <w:r>
              <w:rPr>
                <w:rFonts w:ascii="Arial" w:hAnsi="Arial"/>
                <w:b w:val="0"/>
                <w:sz w:val="16"/>
              </w:rPr>
              <w:t>High-level adoption, service performance, SLA and commercial indicators.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lulaFi Support User</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Operationally assigned providers and platform components</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Diagnostics and support analytics without routine access to personal content.</w:t>
            </w:r>
          </w:p>
        </w:tc>
      </w:tr>
      <w:tr>
        <w:trPr>
          <w:cantSplit/>
        </w:trPr>
        <w:tc>
          <w:tcPr>
            <w:tcW w:type="dxa" w:w="1927"/>
            <w:vAlign w:val="top"/>
            <w:tcMar>
              <w:top w:w="70" w:type="dxa"/>
              <w:start w:w="80" w:type="dxa"/>
              <w:bottom w:w="70" w:type="dxa"/>
              <w:end w:w="80" w:type="dxa"/>
            </w:tcMar>
            <w:shd w:fill="F7F9FB"/>
          </w:tcPr>
          <w:p>
            <w:pPr>
              <w:spacing w:before="0" w:after="0" w:line="240" w:lineRule="auto"/>
            </w:pPr>
            <w:r>
              <w:rPr>
                <w:rFonts w:ascii="Arial" w:hAnsi="Arial"/>
                <w:b/>
                <w:sz w:val="16"/>
              </w:rPr>
              <w:t>lulaFi Admin Analyst</w:t>
            </w:r>
          </w:p>
        </w:tc>
        <w:tc>
          <w:tcPr>
            <w:tcW w:type="dxa" w:w="2835"/>
            <w:vAlign w:val="top"/>
            <w:tcMar>
              <w:top w:w="70" w:type="dxa"/>
              <w:start w:w="80" w:type="dxa"/>
              <w:bottom w:w="70" w:type="dxa"/>
              <w:end w:w="80" w:type="dxa"/>
            </w:tcMar>
            <w:shd w:fill="F7F9FB"/>
          </w:tcPr>
          <w:p>
            <w:pPr>
              <w:spacing w:before="0" w:after="0" w:line="240" w:lineRule="auto"/>
            </w:pPr>
            <w:r>
              <w:rPr>
                <w:rFonts w:ascii="Arial" w:hAnsi="Arial"/>
                <w:b w:val="0"/>
                <w:sz w:val="16"/>
              </w:rPr>
              <w:t>Global platform scope</w:t>
            </w:r>
          </w:p>
        </w:tc>
        <w:tc>
          <w:tcPr>
            <w:tcW w:type="dxa" w:w="4876"/>
            <w:vAlign w:val="top"/>
            <w:tcMar>
              <w:top w:w="70" w:type="dxa"/>
              <w:start w:w="80" w:type="dxa"/>
              <w:bottom w:w="70" w:type="dxa"/>
              <w:end w:w="80" w:type="dxa"/>
            </w:tcMar>
            <w:shd w:fill="F7F9FB"/>
          </w:tcPr>
          <w:p>
            <w:pPr>
              <w:spacing w:before="0" w:after="0" w:line="240" w:lineRule="auto"/>
            </w:pPr>
            <w:r>
              <w:rPr>
                <w:rFonts w:ascii="Arial" w:hAnsi="Arial"/>
                <w:b w:val="0"/>
                <w:sz w:val="16"/>
              </w:rPr>
              <w:t>Global summaries, provider cohort analysis, provider drill-down and exports subject to policy.</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lulaFi Platform Administrator</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Global operational scope</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Platform health, instrumentation, KPI catalogue configuration and data pipeline administration.</w:t>
            </w:r>
          </w:p>
        </w:tc>
      </w:tr>
      <w:tr>
        <w:trPr>
          <w:cantSplit/>
        </w:trPr>
        <w:tc>
          <w:tcPr>
            <w:tcW w:type="dxa" w:w="1927"/>
            <w:vAlign w:val="top"/>
            <w:tcMar>
              <w:top w:w="70" w:type="dxa"/>
              <w:start w:w="80" w:type="dxa"/>
              <w:bottom w:w="70" w:type="dxa"/>
              <w:end w:w="80" w:type="dxa"/>
            </w:tcMar>
            <w:shd w:fill="F7F9FB"/>
          </w:tcPr>
          <w:p>
            <w:pPr>
              <w:spacing w:before="0" w:after="0" w:line="240" w:lineRule="auto"/>
            </w:pPr>
            <w:r>
              <w:rPr>
                <w:rFonts w:ascii="Arial" w:hAnsi="Arial"/>
                <w:b/>
                <w:sz w:val="16"/>
              </w:rPr>
              <w:t>Audit / Compliance User</w:t>
            </w:r>
          </w:p>
        </w:tc>
        <w:tc>
          <w:tcPr>
            <w:tcW w:type="dxa" w:w="2835"/>
            <w:vAlign w:val="top"/>
            <w:tcMar>
              <w:top w:w="70" w:type="dxa"/>
              <w:start w:w="80" w:type="dxa"/>
              <w:bottom w:w="70" w:type="dxa"/>
              <w:end w:w="80" w:type="dxa"/>
            </w:tcMar>
            <w:shd w:fill="F7F9FB"/>
          </w:tcPr>
          <w:p>
            <w:pPr>
              <w:spacing w:before="0" w:after="0" w:line="240" w:lineRule="auto"/>
            </w:pPr>
            <w:r>
              <w:rPr>
                <w:rFonts w:ascii="Arial" w:hAnsi="Arial"/>
                <w:b w:val="0"/>
                <w:sz w:val="16"/>
              </w:rPr>
              <w:t>Approved read-only scope</w:t>
            </w:r>
          </w:p>
        </w:tc>
        <w:tc>
          <w:tcPr>
            <w:tcW w:type="dxa" w:w="4876"/>
            <w:vAlign w:val="top"/>
            <w:tcMar>
              <w:top w:w="70" w:type="dxa"/>
              <w:start w:w="80" w:type="dxa"/>
              <w:bottom w:w="70" w:type="dxa"/>
              <w:end w:w="80" w:type="dxa"/>
            </w:tcMar>
            <w:shd w:fill="F7F9FB"/>
          </w:tcPr>
          <w:p>
            <w:pPr>
              <w:spacing w:before="0" w:after="0" w:line="240" w:lineRule="auto"/>
            </w:pPr>
            <w:r>
              <w:rPr>
                <w:rFonts w:ascii="Arial" w:hAnsi="Arial"/>
                <w:b w:val="0"/>
                <w:sz w:val="16"/>
              </w:rPr>
              <w:t>Read-only access to audit evidence, data lineage and controlled historical reports.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Provider Marketing Analyst</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One provider realm; approved campaigns and channels</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View campaign, engagement, acquisition, conversation, attribution and recovery analytics; create authorised reports and exports.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Provider Commerce / Revenue Analyst</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One provider realm; approved commerce and financial scope</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View orders, products, carts, revenue attribution, inventory and revenue growth indicators subject to commercial permissions.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Campaign Manager</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Assigned provider or global campaign scope</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Monitor campaign delivery, engagement, conversion, pacing, cost, revenue and ROI; configure approved targets and alerts.</w:t>
            </w:r>
          </w:p>
        </w:tc>
      </w:tr>
      <w:tr>
        <w:trPr>
          <w:cantSplit/>
        </w:trPr>
        <w:tc>
          <w:tcPr>
            <w:tcW w:type="dxa" w:w="1927"/>
            <w:vAlign w:val="top"/>
            <w:tcMar>
              <w:top w:w="70" w:type="dxa"/>
              <w:start w:w="80" w:type="dxa"/>
              <w:bottom w:w="70" w:type="dxa"/>
              <w:end w:w="80" w:type="dxa"/>
            </w:tcMar>
          </w:tcPr>
          <w:p>
            <w:pPr>
              <w:spacing w:before="0" w:after="0" w:line="240" w:lineRule="auto"/>
            </w:pPr>
            <w:r>
              <w:rPr>
                <w:rFonts w:ascii="Arial" w:hAnsi="Arial"/>
                <w:b/>
                <w:sz w:val="16"/>
              </w:rPr>
              <w:t>Data Science / Model Governance User</w:t>
            </w:r>
          </w:p>
        </w:tc>
        <w:tc>
          <w:tcPr>
            <w:tcW w:type="dxa" w:w="2835"/>
            <w:vAlign w:val="top"/>
            <w:tcMar>
              <w:top w:w="70" w:type="dxa"/>
              <w:start w:w="80" w:type="dxa"/>
              <w:bottom w:w="70" w:type="dxa"/>
              <w:end w:w="80" w:type="dxa"/>
            </w:tcMar>
          </w:tcPr>
          <w:p>
            <w:pPr>
              <w:spacing w:before="0" w:after="0" w:line="240" w:lineRule="auto"/>
            </w:pPr>
            <w:r>
              <w:rPr>
                <w:rFonts w:ascii="Arial" w:hAnsi="Arial"/>
                <w:b w:val="0"/>
                <w:sz w:val="16"/>
              </w:rPr>
              <w:t>Approved provider or global model scope</w:t>
            </w:r>
          </w:p>
        </w:tc>
        <w:tc>
          <w:tcPr>
            <w:tcW w:type="dxa" w:w="4876"/>
            <w:vAlign w:val="top"/>
            <w:tcMar>
              <w:top w:w="70" w:type="dxa"/>
              <w:start w:w="80" w:type="dxa"/>
              <w:bottom w:w="70" w:type="dxa"/>
              <w:end w:w="80" w:type="dxa"/>
            </w:tcMar>
          </w:tcPr>
          <w:p>
            <w:pPr>
              <w:spacing w:before="0" w:after="0" w:line="240" w:lineRule="auto"/>
            </w:pPr>
            <w:r>
              <w:rPr>
                <w:rFonts w:ascii="Arial" w:hAnsi="Arial"/>
                <w:b w:val="0"/>
                <w:sz w:val="16"/>
              </w:rPr>
              <w:t>Review model versions, features, quality, drift, predictions and approvals without routine access to raw personal content.</w:t>
            </w:r>
          </w:p>
        </w:tc>
      </w:tr>
    </w:tbl>
    <w:p>
      <w:pPr>
        <w:spacing w:after="20"/>
      </w:pPr>
    </w:p>
    <w:p>
      <w:pPr>
        <w:pStyle w:val="Heading2"/>
        <w:keepNext/>
      </w:pPr>
      <w:r>
        <w:t>5.2 Access Rules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enforce provider-realm isolation on every analytics query, dashboard, API call, drill-down and export.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ANL-SEC-002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users shall not view another provider’s identifiable or attributable analytics data.</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apply role, organisation unit, geography, service, form and data-sensitivity restrictions inherited from the user’s access profile.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and 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ANL-SEC-004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Global access shall be restricted to approved lulaFi Admin roles.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 lulaFi Admin drill-down to a named provider shall require an explicit global-provider-detail permission.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ANL-SEC-006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User-level detail shall be pseudonymised by default and revealed only where the role and purpose authorise it.</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Exports shall apply the same row-level and field-level controls as the interactive view.</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ANL-SEC-008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log access to sensitive drill-downs and all exports.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Audit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order, product and inventory analytics shall require explicit commercial-data permissions in addition to provider-realm access.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ANL-SEC-010</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Predictive scores and model explanations shall be visible only to roles authorised for the applicable model purpose and subject population.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and channel analytics shall honour provider, campaign, audience, consent and communication-purpose restrictions.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ANL-SEC-012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prevent cross-provider attribution, audience construction or model training unless explicitly approved and privacy protected.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bl>
    <w:p>
      <w:pPr>
        <w:spacing w:after="20"/>
      </w:pPr>
    </w:p>
    <w:p>
      <w:pPr>
        <w:pStyle w:val="Heading1"/>
        <w:keepNext/>
      </w:pPr>
      <w:r>
        <w:t>6. Use Cases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304"/>
            <w:shd w:fill="1F4E78"/>
            <w:tcMar>
              <w:top w:w="70" w:type="dxa"/>
              <w:start w:w="80" w:type="dxa"/>
              <w:bottom w:w="70" w:type="dxa"/>
              <w:end w:w="80" w:type="dxa"/>
            </w:tcMar>
          </w:tcPr>
          <w:p>
            <w:pPr>
              <w:spacing w:before="0" w:after="0" w:line="240" w:lineRule="auto"/>
              <w:jc w:val="left"/>
            </w:pPr>
            <w:r>
              <w:rPr>
                <w:rFonts w:ascii="Arial" w:hAnsi="Arial"/>
                <w:b/>
                <w:color w:val="FFFFFF"/>
                <w:sz w:val="15"/>
              </w:rPr>
              <w:t>ID</w:t>
            </w:r>
          </w:p>
        </w:tc>
        <w:tc>
          <w:tcPr>
            <w:tcW w:type="dxa" w:w="2381"/>
            <w:shd w:fill="1F4E78"/>
            <w:tcMar>
              <w:top w:w="70" w:type="dxa"/>
              <w:start w:w="80" w:type="dxa"/>
              <w:bottom w:w="70" w:type="dxa"/>
              <w:end w:w="80" w:type="dxa"/>
            </w:tcMar>
          </w:tcPr>
          <w:p>
            <w:pPr>
              <w:spacing w:before="0" w:after="0" w:line="240" w:lineRule="auto"/>
              <w:jc w:val="left"/>
            </w:pPr>
            <w:r>
              <w:rPr>
                <w:rFonts w:ascii="Arial" w:hAnsi="Arial"/>
                <w:b/>
                <w:color w:val="FFFFFF"/>
                <w:sz w:val="15"/>
              </w:rPr>
              <w:t>Use Case</w:t>
            </w:r>
          </w:p>
        </w:tc>
        <w:tc>
          <w:tcPr>
            <w:tcW w:type="dxa" w:w="2097"/>
            <w:shd w:fill="1F4E78"/>
            <w:tcMar>
              <w:top w:w="70" w:type="dxa"/>
              <w:start w:w="80" w:type="dxa"/>
              <w:bottom w:w="70" w:type="dxa"/>
              <w:end w:w="80" w:type="dxa"/>
            </w:tcMar>
          </w:tcPr>
          <w:p>
            <w:pPr>
              <w:spacing w:before="0" w:after="0" w:line="240" w:lineRule="auto"/>
              <w:jc w:val="left"/>
            </w:pPr>
            <w:r>
              <w:rPr>
                <w:rFonts w:ascii="Arial" w:hAnsi="Arial"/>
                <w:b/>
                <w:color w:val="FFFFFF"/>
                <w:sz w:val="15"/>
              </w:rPr>
              <w:t>Primary Actor</w:t>
            </w:r>
          </w:p>
        </w:tc>
        <w:tc>
          <w:tcPr>
            <w:tcW w:type="dxa" w:w="3969"/>
            <w:shd w:fill="1F4E78"/>
            <w:tcMar>
              <w:top w:w="70" w:type="dxa"/>
              <w:start w:w="80" w:type="dxa"/>
              <w:bottom w:w="70" w:type="dxa"/>
              <w:end w:w="80" w:type="dxa"/>
            </w:tcMar>
          </w:tcPr>
          <w:p>
            <w:pPr>
              <w:spacing w:before="0" w:after="0" w:line="240" w:lineRule="auto"/>
              <w:jc w:val="left"/>
            </w:pPr>
            <w:r>
              <w:rPr>
                <w:rFonts w:ascii="Arial" w:hAnsi="Arial"/>
                <w:b/>
                <w:color w:val="FFFFFF"/>
                <w:sz w:val="15"/>
              </w:rPr>
              <w:t>Summary</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UC-ANL-01</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Provider Executive Reviews Performance</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Executive</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Select a reporting period; view adoption, completion, turnaround, SLA and engagement indicators; compare to the prior period; drill to underperforming services.</w:t>
            </w:r>
          </w:p>
        </w:tc>
      </w:tr>
      <w:tr>
        <w:trPr>
          <w:cantSplit/>
        </w:trPr>
        <w:tc>
          <w:tcPr>
            <w:tcW w:type="dxa" w:w="1304"/>
            <w:vAlign w:val="top"/>
            <w:tcMar>
              <w:top w:w="70" w:type="dxa"/>
              <w:start w:w="80" w:type="dxa"/>
              <w:bottom w:w="70" w:type="dxa"/>
              <w:end w:w="80" w:type="dxa"/>
            </w:tcMar>
            <w:shd w:fill="F7F9FB"/>
          </w:tcPr>
          <w:p>
            <w:pPr>
              <w:spacing w:before="0" w:after="0" w:line="240" w:lineRule="auto"/>
            </w:pPr>
            <w:r>
              <w:rPr>
                <w:rFonts w:ascii="Arial" w:hAnsi="Arial"/>
                <w:b/>
                <w:sz w:val="15"/>
              </w:rPr>
              <w:t>UC-ANL-02</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5"/>
              </w:rPr>
              <w:t>Provider Analyst Investigates Form Abandonment</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5"/>
              </w:rPr>
              <w:t>Provider Analyst</w:t>
            </w:r>
          </w:p>
        </w:tc>
        <w:tc>
          <w:tcPr>
            <w:tcW w:type="dxa" w:w="3969"/>
            <w:vAlign w:val="top"/>
            <w:tcMar>
              <w:top w:w="70" w:type="dxa"/>
              <w:start w:w="80" w:type="dxa"/>
              <w:bottom w:w="70" w:type="dxa"/>
              <w:end w:w="80" w:type="dxa"/>
            </w:tcMar>
            <w:shd w:fill="F7F9FB"/>
          </w:tcPr>
          <w:p>
            <w:pPr>
              <w:spacing w:before="0" w:after="0" w:line="240" w:lineRule="auto"/>
            </w:pPr>
            <w:r>
              <w:rPr>
                <w:rFonts w:ascii="Arial" w:hAnsi="Arial"/>
                <w:b w:val="0"/>
                <w:sz w:val="15"/>
              </w:rPr>
              <w:t>Open a form funnel; compare versions, devices and steps; identify the stage with highest abandonment; export supporting aggregates.</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UC-ANL-03</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Provider Administrator Reviews Operational Backlog</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Administrator</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View submissions by workflow status and age; filter by form, category, organisation unit and assignee; drill to authorised submission metadata.</w:t>
            </w:r>
          </w:p>
        </w:tc>
      </w:tr>
      <w:tr>
        <w:trPr>
          <w:cantSplit/>
        </w:trPr>
        <w:tc>
          <w:tcPr>
            <w:tcW w:type="dxa" w:w="1304"/>
            <w:vAlign w:val="top"/>
            <w:tcMar>
              <w:top w:w="70" w:type="dxa"/>
              <w:start w:w="80" w:type="dxa"/>
              <w:bottom w:w="70" w:type="dxa"/>
              <w:end w:w="80" w:type="dxa"/>
            </w:tcMar>
            <w:shd w:fill="F7F9FB"/>
          </w:tcPr>
          <w:p>
            <w:pPr>
              <w:spacing w:before="0" w:after="0" w:line="240" w:lineRule="auto"/>
            </w:pPr>
            <w:r>
              <w:rPr>
                <w:rFonts w:ascii="Arial" w:hAnsi="Arial"/>
                <w:b/>
                <w:sz w:val="15"/>
              </w:rPr>
              <w:t>UC-ANL-04</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5"/>
              </w:rPr>
              <w:t>Provider Analyst Evaluates Notifications</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5"/>
              </w:rPr>
              <w:t>Provider Analyst</w:t>
            </w:r>
          </w:p>
        </w:tc>
        <w:tc>
          <w:tcPr>
            <w:tcW w:type="dxa" w:w="3969"/>
            <w:vAlign w:val="top"/>
            <w:tcMar>
              <w:top w:w="70" w:type="dxa"/>
              <w:start w:w="80" w:type="dxa"/>
              <w:bottom w:w="70" w:type="dxa"/>
              <w:end w:w="80" w:type="dxa"/>
            </w:tcMar>
            <w:shd w:fill="F7F9FB"/>
          </w:tcPr>
          <w:p>
            <w:pPr>
              <w:spacing w:before="0" w:after="0" w:line="240" w:lineRule="auto"/>
            </w:pPr>
            <w:r>
              <w:rPr>
                <w:rFonts w:ascii="Arial" w:hAnsi="Arial"/>
                <w:b w:val="0"/>
                <w:sz w:val="15"/>
              </w:rPr>
              <w:t>Review sent, delivered, failed and opened notifications; segment by type, channel and campaign; inspect failure reasons.</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UC-ANL-05</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Provider Analyst Evaluates Connector Performance</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Analyst</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Review connector calls, success rate, latency, errors and usage; drill to connector, endpoint and correlation ID.</w:t>
            </w:r>
          </w:p>
        </w:tc>
      </w:tr>
      <w:tr>
        <w:trPr>
          <w:cantSplit/>
        </w:trPr>
        <w:tc>
          <w:tcPr>
            <w:tcW w:type="dxa" w:w="1304"/>
            <w:vAlign w:val="top"/>
            <w:tcMar>
              <w:top w:w="70" w:type="dxa"/>
              <w:start w:w="80" w:type="dxa"/>
              <w:bottom w:w="70" w:type="dxa"/>
              <w:end w:w="80" w:type="dxa"/>
            </w:tcMar>
            <w:shd w:fill="F7F9FB"/>
          </w:tcPr>
          <w:p>
            <w:pPr>
              <w:spacing w:before="0" w:after="0" w:line="240" w:lineRule="auto"/>
            </w:pPr>
            <w:r>
              <w:rPr>
                <w:rFonts w:ascii="Arial" w:hAnsi="Arial"/>
                <w:b/>
                <w:sz w:val="15"/>
              </w:rPr>
              <w:t>UC-ANL-06</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5"/>
              </w:rPr>
              <w:t>lulaFi Admin Reviews Global Adoption</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5"/>
              </w:rPr>
              <w:t>lulaFi Admin Analyst</w:t>
            </w:r>
          </w:p>
        </w:tc>
        <w:tc>
          <w:tcPr>
            <w:tcW w:type="dxa" w:w="3969"/>
            <w:vAlign w:val="top"/>
            <w:tcMar>
              <w:top w:w="70" w:type="dxa"/>
              <w:start w:w="80" w:type="dxa"/>
              <w:bottom w:w="70" w:type="dxa"/>
              <w:end w:w="80" w:type="dxa"/>
            </w:tcMar>
            <w:shd w:fill="F7F9FB"/>
          </w:tcPr>
          <w:p>
            <w:pPr>
              <w:spacing w:before="0" w:after="0" w:line="240" w:lineRule="auto"/>
            </w:pPr>
            <w:r>
              <w:rPr>
                <w:rFonts w:ascii="Arial" w:hAnsi="Arial"/>
                <w:b w:val="0"/>
                <w:sz w:val="15"/>
              </w:rPr>
              <w:t>View active providers, active users, forms, submissions, retention and provider cohorts; drill from global to cohort and authorised provider detail.</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UC-ANL-07</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lulaFi Admin Monitors Platform Reliability</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Platform Administrator</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Review availability, latency, traffic, errors, saturation and data-pipeline health; drill to service, environment and trace/correlation reference.</w:t>
            </w:r>
          </w:p>
        </w:tc>
      </w:tr>
      <w:tr>
        <w:trPr>
          <w:cantSplit/>
        </w:trPr>
        <w:tc>
          <w:tcPr>
            <w:tcW w:type="dxa" w:w="1304"/>
            <w:vAlign w:val="top"/>
            <w:tcMar>
              <w:top w:w="70" w:type="dxa"/>
              <w:start w:w="80" w:type="dxa"/>
              <w:bottom w:w="70" w:type="dxa"/>
              <w:end w:w="80" w:type="dxa"/>
            </w:tcMar>
            <w:shd w:fill="F7F9FB"/>
          </w:tcPr>
          <w:p>
            <w:pPr>
              <w:spacing w:before="0" w:after="0" w:line="240" w:lineRule="auto"/>
            </w:pPr>
            <w:r>
              <w:rPr>
                <w:rFonts w:ascii="Arial" w:hAnsi="Arial"/>
                <w:b/>
                <w:sz w:val="15"/>
              </w:rPr>
              <w:t>UC-ANL-08</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5"/>
              </w:rPr>
              <w:t>Campaign Manager Reviews Advertising</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5"/>
              </w:rPr>
              <w:t>Authorised Admin / Provider</w:t>
            </w:r>
          </w:p>
        </w:tc>
        <w:tc>
          <w:tcPr>
            <w:tcW w:type="dxa" w:w="3969"/>
            <w:vAlign w:val="top"/>
            <w:tcMar>
              <w:top w:w="70" w:type="dxa"/>
              <w:start w:w="80" w:type="dxa"/>
              <w:bottom w:w="70" w:type="dxa"/>
              <w:end w:w="80" w:type="dxa"/>
            </w:tcMar>
            <w:shd w:fill="F7F9FB"/>
          </w:tcPr>
          <w:p>
            <w:pPr>
              <w:spacing w:before="0" w:after="0" w:line="240" w:lineRule="auto"/>
            </w:pPr>
            <w:r>
              <w:rPr>
                <w:rFonts w:ascii="Arial" w:hAnsi="Arial"/>
                <w:b w:val="0"/>
                <w:sz w:val="15"/>
              </w:rPr>
              <w:t>Review valid impressions, viewable impressions, clicks, CTR, conversions, spend/charge and invalid-traffic indicators by campaign and placement.</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UC-ANL-09</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Auditor Verifies a Metric</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Audit User</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Open a metric definition; inspect formula, source events, version, refresh time and transformation lineage; reconcile to an exported report.</w:t>
            </w:r>
          </w:p>
        </w:tc>
      </w:tr>
      <w:tr>
        <w:trPr>
          <w:cantSplit/>
        </w:trPr>
        <w:tc>
          <w:tcPr>
            <w:tcW w:type="dxa" w:w="1304"/>
            <w:vAlign w:val="top"/>
            <w:tcMar>
              <w:top w:w="70" w:type="dxa"/>
              <w:start w:w="80" w:type="dxa"/>
              <w:bottom w:w="70" w:type="dxa"/>
              <w:end w:w="80" w:type="dxa"/>
            </w:tcMar>
            <w:shd w:fill="F7F9FB"/>
          </w:tcPr>
          <w:p>
            <w:pPr>
              <w:spacing w:before="0" w:after="0" w:line="240" w:lineRule="auto"/>
            </w:pPr>
            <w:r>
              <w:rPr>
                <w:rFonts w:ascii="Arial" w:hAnsi="Arial"/>
                <w:b/>
                <w:sz w:val="15"/>
              </w:rPr>
              <w:t>UC-ANL-10</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5"/>
              </w:rPr>
              <w:t>Authorised User Schedules a Report</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5"/>
              </w:rPr>
              <w:t>Provider Administrator / Admin Analyst</w:t>
            </w:r>
          </w:p>
        </w:tc>
        <w:tc>
          <w:tcPr>
            <w:tcW w:type="dxa" w:w="3969"/>
            <w:vAlign w:val="top"/>
            <w:tcMar>
              <w:top w:w="70" w:type="dxa"/>
              <w:start w:w="80" w:type="dxa"/>
              <w:bottom w:w="70" w:type="dxa"/>
              <w:end w:w="80" w:type="dxa"/>
            </w:tcMar>
            <w:shd w:fill="F7F9FB"/>
          </w:tcPr>
          <w:p>
            <w:pPr>
              <w:spacing w:before="0" w:after="0" w:line="240" w:lineRule="auto"/>
            </w:pPr>
            <w:r>
              <w:rPr>
                <w:rFonts w:ascii="Arial" w:hAnsi="Arial"/>
                <w:b w:val="0"/>
                <w:sz w:val="15"/>
              </w:rPr>
              <w:t>Save a filtered view; choose frequency and recipients within scope; receive a secure report or notification when generated.</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UC-ANL-11</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Marketing Analyst Reviews Conversational Campaign</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Marketing Analyst</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Review sent, delivered, read, clicked, replied and converted interactions; compare segments and creatives; drill to privacy-controlled conversation and outcome metadata.</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UC-ANL-12</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Revenue Analyst Attributes Revenue</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Commerce / Revenue Analyst</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Select an attribution model and window; compare revenue credited to campaigns, acquisition sources, conversations, forms, connectors and products; inspect model coverage and unattributed revenue.</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UC-ANL-13</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Provider Recovers Abandoned Carts or Journeys</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Campaign Manager</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Identify abandonment stage and eligible audience; trigger or evaluate an approved recovery campaign; measure recovered conversions, revenue, cost and opt-outs.</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UC-ANL-14</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Provider Optimises Acquisition Funnel</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Marketing Analyst</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Compare source, medium, campaign and entry path through discovery, engagement, form or cart stages and conversion; identify high-value and high-drop-off paths.</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UC-ANL-15</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Revenue Manager Reviews Product and Inventory Opportunity</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Commerce / Revenue Analyst</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Combine product demand, sale-out, stock state, replenishment and user-action data to identify availability constraints and campaign opportunities.</w:t>
            </w:r>
          </w:p>
        </w:tc>
      </w:tr>
      <w:tr>
        <w:trPr>
          <w:cantSplit/>
        </w:trPr>
        <w:tc>
          <w:tcPr>
            <w:tcW w:type="dxa" w:w="1304"/>
            <w:vAlign w:val="top"/>
            <w:tcMar>
              <w:top w:w="70" w:type="dxa"/>
              <w:start w:w="80" w:type="dxa"/>
              <w:bottom w:w="70" w:type="dxa"/>
              <w:end w:w="80" w:type="dxa"/>
            </w:tcMar>
          </w:tcPr>
          <w:p>
            <w:pPr>
              <w:spacing w:before="0" w:after="0" w:line="240" w:lineRule="auto"/>
            </w:pPr>
            <w:r>
              <w:rPr>
                <w:rFonts w:ascii="Arial" w:hAnsi="Arial"/>
                <w:b/>
                <w:sz w:val="15"/>
              </w:rPr>
              <w:t>UC-ANL-16</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5"/>
              </w:rPr>
              <w:t>Authorised User Reviews Predictive Insights</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5"/>
              </w:rPr>
              <w:t>Provider Analyst / Admin Analyst</w:t>
            </w:r>
          </w:p>
        </w:tc>
        <w:tc>
          <w:tcPr>
            <w:tcW w:type="dxa" w:w="3969"/>
            <w:vAlign w:val="top"/>
            <w:tcMar>
              <w:top w:w="70" w:type="dxa"/>
              <w:start w:w="80" w:type="dxa"/>
              <w:bottom w:w="70" w:type="dxa"/>
              <w:end w:w="80" w:type="dxa"/>
            </w:tcMar>
          </w:tcPr>
          <w:p>
            <w:pPr>
              <w:spacing w:before="0" w:after="0" w:line="240" w:lineRule="auto"/>
            </w:pPr>
            <w:r>
              <w:rPr>
                <w:rFonts w:ascii="Arial" w:hAnsi="Arial"/>
                <w:b w:val="0"/>
                <w:sz w:val="15"/>
              </w:rPr>
              <w:t>View purchase or conversion probability, churn risk, forecast and anomaly indicators with model version, confidence, explanation, freshness and limitations.</w:t>
            </w:r>
          </w:p>
        </w:tc>
      </w:tr>
    </w:tbl>
    <w:p>
      <w:pPr>
        <w:spacing w:after="20"/>
      </w:pPr>
    </w:p>
    <w:p>
      <w:pPr>
        <w:pStyle w:val="Heading1"/>
        <w:keepNext/>
      </w:pPr>
      <w:r>
        <w:t>7. Analytics Context and Logical Data Flow</w:t>
      </w:r>
    </w:p>
    <w:p>
      <w:pPr>
        <w:pStyle w:val="Heading2"/>
        <w:keepNext/>
      </w:pPr>
      <w:r>
        <w:t>7.1 Logical Components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494"/>
            <w:shd w:fill="1F4E78"/>
            <w:tcMar>
              <w:top w:w="70" w:type="dxa"/>
              <w:start w:w="80" w:type="dxa"/>
              <w:bottom w:w="70" w:type="dxa"/>
              <w:end w:w="80" w:type="dxa"/>
            </w:tcMar>
          </w:tcPr>
          <w:p>
            <w:pPr>
              <w:spacing w:before="0" w:after="0" w:line="240" w:lineRule="auto"/>
              <w:jc w:val="left"/>
            </w:pPr>
            <w:r>
              <w:rPr>
                <w:rFonts w:ascii="Arial" w:hAnsi="Arial"/>
                <w:b/>
                <w:color w:val="FFFFFF"/>
                <w:sz w:val="16"/>
              </w:rPr>
              <w:t>Component</w:t>
            </w:r>
          </w:p>
        </w:tc>
        <w:tc>
          <w:tcPr>
            <w:tcW w:type="dxa" w:w="7144"/>
            <w:shd w:fill="1F4E78"/>
            <w:tcMar>
              <w:top w:w="70" w:type="dxa"/>
              <w:start w:w="80" w:type="dxa"/>
              <w:bottom w:w="70" w:type="dxa"/>
              <w:end w:w="80" w:type="dxa"/>
            </w:tcMar>
          </w:tcPr>
          <w:p>
            <w:pPr>
              <w:spacing w:before="0" w:after="0" w:line="240" w:lineRule="auto"/>
              <w:jc w:val="left"/>
            </w:pPr>
            <w:r>
              <w:rPr>
                <w:rFonts w:ascii="Arial" w:hAnsi="Arial"/>
                <w:b/>
                <w:color w:val="FFFFFF"/>
                <w:sz w:val="16"/>
              </w:rPr>
              <w:t>Responsibility</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Event Producers</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Mobile App, Provider Portal, API services, form and workflow services, messaging, notification services, connectors, search, advertising, billing/usage and infrastructure services.</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Analytics Event Gateway</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Receives, authenticates, validates, timestamps, deduplicates and versions analytics events.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Streaming / Queue Layer</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Buffers events and protects operational services from analytics processing failures.</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Analytics Processing Layer</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Cleans, enriches, classifies, aggregates and calculates governed metrics.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Analytics Data Store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Stores approved event metadata, aggregates, dimensions, metric snapshots and lineage information.</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Metric Catalogue</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Maintains metric definitions, formulas, owners, versions, dimensions, thresholds and access classifications.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Analytics API</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Supplies authorised metrics, trends, breakdowns, drill-down data and export jobs.</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Provider Analytics UI</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Displays provider-realm dashboards and reports within the lulaFi Portal.</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lulaFi Admin Analytics UI</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Displays global platform, provider cohort and operational analytics within the Administration interface.</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Observability Integration</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Links aggregated analytics to approved logs, metrics and traces using correlation identifiers without copying sensitive content.</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Export and Scheduling Service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Generates controlled files and scheduled report deliveries.</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Audit Service</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Records metric definition changes, access, drill-downs, exports and administrative actions.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Attribution Service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Links eligible campaign, acquisition, conversation, form, connector, order and revenue events according to a versioned attribution model and lookback window.</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Journey and Funnel Processor</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Builds governed user or session journeys, stage transitions, abandonment points and recovery outcomes without retaining prohibited content.</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Commerce and Inventory Adapter</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Receives approved catalogue, cart, order, payment, sale-out, stock and replenishment events from provider or connector systems.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Predictive Insights Service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Produces governed predictions, forecasts, anomaly scores, explanations and model-quality metadata for authorised analytics use cases.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Model Registry and Governance Store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Maintains model owner, purpose, version, features, training window, validation results, approvals, effective dates, drift status and retirement state.</w:t>
            </w:r>
          </w:p>
        </w:tc>
      </w:tr>
    </w:tbl>
    <w:p>
      <w:pPr>
        <w:spacing w:after="20"/>
      </w:pPr>
    </w:p>
    <w:p>
      <w:pPr>
        <w:pStyle w:val="Heading2"/>
        <w:keepNext/>
      </w:pPr>
      <w:r>
        <w:t>7.2 Event Processing Flow</w:t>
      </w:r>
    </w:p>
    <w:p>
      <w:pPr>
        <w:pStyle w:val="ListNumber"/>
        <w:spacing w:before="0" w:after="40" w:line="252" w:lineRule="auto"/>
      </w:pPr>
      <w:r>
        <w:rPr>
          <w:rFonts w:ascii="Arial" w:hAnsi="Arial"/>
          <w:sz w:val="20"/>
        </w:rPr>
        <w:t>An approved application or service emits a versioned event after the relevant business or technical action.</w:t>
      </w:r>
    </w:p>
    <w:p>
      <w:pPr>
        <w:pStyle w:val="ListNumber"/>
        <w:spacing w:before="0" w:after="40" w:line="252" w:lineRule="auto"/>
      </w:pPr>
      <w:r>
        <w:rPr>
          <w:rFonts w:ascii="Arial" w:hAnsi="Arial"/>
          <w:sz w:val="20"/>
        </w:rPr>
        <w:t>The event gateway validates the schema, provider context, timestamp, event identifier and required attributes.</w:t>
      </w:r>
    </w:p>
    <w:p>
      <w:pPr>
        <w:pStyle w:val="ListNumber"/>
        <w:spacing w:before="0" w:after="40" w:line="252" w:lineRule="auto"/>
      </w:pPr>
      <w:r>
        <w:rPr>
          <w:rFonts w:ascii="Arial" w:hAnsi="Arial"/>
          <w:sz w:val="20"/>
        </w:rPr>
        <w:t>Invalid events are quarantined and counted; valid events are accepted to the processing pipeline.</w:t>
      </w:r>
    </w:p>
    <w:p>
      <w:pPr>
        <w:pStyle w:val="ListNumber"/>
        <w:spacing w:before="0" w:after="40" w:line="252" w:lineRule="auto"/>
      </w:pPr>
      <w:r>
        <w:rPr>
          <w:rFonts w:ascii="Arial" w:hAnsi="Arial"/>
          <w:sz w:val="20"/>
        </w:rPr>
        <w:t>The processing layer enriches events with governed dimensions such as provider, form, channel, application version and geography classification.</w:t>
      </w:r>
    </w:p>
    <w:p>
      <w:pPr>
        <w:pStyle w:val="ListNumber"/>
        <w:spacing w:before="0" w:after="40" w:line="252" w:lineRule="auto"/>
      </w:pPr>
      <w:r>
        <w:rPr>
          <w:rFonts w:ascii="Arial" w:hAnsi="Arial"/>
          <w:sz w:val="20"/>
        </w:rPr>
        <w:t>PII and prohibited content are removed or tokenised before analytical persistence.</w:t>
      </w:r>
    </w:p>
    <w:p>
      <w:pPr>
        <w:pStyle w:val="ListNumber"/>
        <w:spacing w:before="0" w:after="40" w:line="252" w:lineRule="auto"/>
      </w:pPr>
      <w:r>
        <w:rPr>
          <w:rFonts w:ascii="Arial" w:hAnsi="Arial"/>
          <w:sz w:val="20"/>
        </w:rPr>
        <w:t>Aggregations and metric snapshots are calculated according to the metric catalogue.</w:t>
      </w:r>
    </w:p>
    <w:p>
      <w:pPr>
        <w:pStyle w:val="ListNumber"/>
        <w:spacing w:before="0" w:after="40" w:line="252" w:lineRule="auto"/>
      </w:pPr>
      <w:r>
        <w:rPr>
          <w:rFonts w:ascii="Arial" w:hAnsi="Arial"/>
          <w:sz w:val="20"/>
        </w:rPr>
        <w:t>Analytics APIs enforce realm and role filters before returning results.</w:t>
      </w:r>
    </w:p>
    <w:p>
      <w:pPr>
        <w:pStyle w:val="ListNumber"/>
        <w:spacing w:before="0" w:after="40" w:line="252" w:lineRule="auto"/>
      </w:pPr>
      <w:r>
        <w:rPr>
          <w:rFonts w:ascii="Arial" w:hAnsi="Arial"/>
          <w:sz w:val="20"/>
        </w:rPr>
        <w:t>Dashboards display the metric value, period, comparison, freshness and quality status.</w:t>
      </w:r>
    </w:p>
    <w:p>
      <w:pPr>
        <w:pStyle w:val="ListNumber"/>
        <w:spacing w:before="0" w:after="40" w:line="252" w:lineRule="auto"/>
      </w:pPr>
      <w:r>
        <w:rPr>
          <w:rFonts w:ascii="Arial" w:hAnsi="Arial"/>
          <w:sz w:val="20"/>
        </w:rPr>
        <w:t>Drill-down requests retrieve only the lower-level aggregates or metadata permitted for the user.</w:t>
      </w:r>
    </w:p>
    <w:p>
      <w:pPr>
        <w:pStyle w:val="ListNumber"/>
        <w:spacing w:before="0" w:after="40" w:line="252" w:lineRule="auto"/>
      </w:pPr>
      <w:r>
        <w:rPr>
          <w:rFonts w:ascii="Arial" w:hAnsi="Arial"/>
          <w:sz w:val="20"/>
        </w:rPr>
        <w:t>All sensitive access and exports are auditable.</w:t>
      </w:r>
    </w:p>
    <w:p>
      <w:pPr>
        <w:pStyle w:val="ListNumber"/>
      </w:pPr>
      <w:r>
        <w:t>The attribution service links eligible interactions to governed conversion and revenue events using the selected attribution model and lookback window.</w:t>
      </w:r>
    </w:p>
    <w:p>
      <w:pPr>
        <w:pStyle w:val="ListNumber"/>
      </w:pPr>
      <w:r>
        <w:t>The journey processor derives funnel stages, abandonment and recovery outcomes from ordered event sequences.</w:t>
      </w:r>
    </w:p>
    <w:p>
      <w:pPr>
        <w:pStyle w:val="ListNumber"/>
      </w:pPr>
      <w:r>
        <w:t>Where enabled, the predictive service reads approved features and writes versioned scores, confidence and explanation metadata without copying prohibited content.</w:t>
      </w:r>
    </w:p>
    <w:tbl>
      <w:tblPr>
        <w:tblW w:type="auto" w:w="0"/>
        <w:jc w:val="center"/>
        <w:tblLayout w:type="autofit"/>
        <w:tblLook w:firstColumn="1" w:firstRow="1" w:lastColumn="0" w:lastRow="0" w:noHBand="0" w:noVBand="1" w:val="04A0"/>
      </w:tblPr>
      <w:tblGrid>
        <w:gridCol w:w="9752"/>
      </w:tblGrid>
      <w:tr>
        <w:trPr>
          <w:tblHeader/>
          <w:cantSplit/>
        </w:trPr>
        <w:tc>
          <w:tcPr>
            <w:tcW w:type="dxa" w:w="9752"/>
            <w:shd w:fill="EAF3F8"/>
            <w:tcMar>
              <w:top w:w="100" w:type="dxa"/>
              <w:start w:w="120" w:type="dxa"/>
              <w:bottom w:w="100" w:type="dxa"/>
              <w:end w:w="120" w:type="dxa"/>
            </w:tcMar>
          </w:tcPr>
          <w:p>
            <w:r>
              <w:rPr>
                <w:rFonts w:ascii="Arial" w:hAnsi="Arial"/>
                <w:b/>
                <w:color w:val="17365D"/>
                <w:sz w:val="19"/>
              </w:rPr>
              <w:t xml:space="preserve">Architecture constraint: </w:t>
            </w:r>
            <w:r>
              <w:rPr>
                <w:rFonts w:ascii="Arial" w:hAnsi="Arial"/>
                <w:sz w:val="19"/>
              </w:rPr>
              <w:t>Analytics processing shall be decoupled from transactional processing. A failure of the analytics pipeline shall not prevent form submission, messaging, notification or connector operations.</w:t>
            </w:r>
          </w:p>
        </w:tc>
      </w:tr>
    </w:tbl>
    <w:p>
      <w:pPr>
        <w:spacing w:after="20"/>
      </w:pPr>
    </w:p>
    <w:p>
      <w:pPr>
        <w:pStyle w:val="Heading1"/>
        <w:keepNext/>
      </w:pPr>
      <w:r>
        <w:t>8. Analytics Data Domains and Event Taxonomy</w:t>
      </w:r>
    </w:p>
    <w:p>
      <w:pPr>
        <w:pStyle w:val="Heading2"/>
        <w:keepNext/>
      </w:pPr>
      <w:r>
        <w:t>8.1 Event Envelope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1F4E78"/>
            <w:tcMar>
              <w:top w:w="70" w:type="dxa"/>
              <w:start w:w="80" w:type="dxa"/>
              <w:bottom w:w="70" w:type="dxa"/>
              <w:end w:w="80" w:type="dxa"/>
            </w:tcMar>
          </w:tcPr>
          <w:p>
            <w:pPr>
              <w:spacing w:before="0" w:after="0" w:line="240" w:lineRule="auto"/>
              <w:jc w:val="left"/>
            </w:pPr>
            <w:r>
              <w:rPr>
                <w:rFonts w:ascii="Arial" w:hAnsi="Arial"/>
                <w:b/>
                <w:color w:val="FFFFFF"/>
                <w:sz w:val="16"/>
              </w:rPr>
              <w:t>Attribute</w:t>
            </w:r>
          </w:p>
        </w:tc>
        <w:tc>
          <w:tcPr>
            <w:tcW w:type="dxa" w:w="6066"/>
            <w:shd w:fill="1F4E78"/>
            <w:tcMar>
              <w:top w:w="70" w:type="dxa"/>
              <w:start w:w="80" w:type="dxa"/>
              <w:bottom w:w="70" w:type="dxa"/>
              <w:end w:w="80" w:type="dxa"/>
            </w:tcMar>
          </w:tcPr>
          <w:p>
            <w:pPr>
              <w:spacing w:before="0" w:after="0" w:line="240" w:lineRule="auto"/>
              <w:jc w:val="left"/>
            </w:pPr>
            <w:r>
              <w:rPr>
                <w:rFonts w:ascii="Arial" w:hAnsi="Arial"/>
                <w:b/>
                <w:color w:val="FFFFFF"/>
                <w:sz w:val="16"/>
              </w:rPr>
              <w:t>Description</w:t>
            </w:r>
          </w:p>
        </w:tc>
        <w:tc>
          <w:tcPr>
            <w:tcW w:type="dxa" w:w="1304"/>
            <w:shd w:fill="1F4E78"/>
            <w:tcMar>
              <w:top w:w="70" w:type="dxa"/>
              <w:start w:w="80" w:type="dxa"/>
              <w:bottom w:w="70" w:type="dxa"/>
              <w:end w:w="80" w:type="dxa"/>
            </w:tcMar>
          </w:tcPr>
          <w:p>
            <w:pPr>
              <w:spacing w:before="0" w:after="0" w:line="240" w:lineRule="auto"/>
              <w:jc w:val="left"/>
            </w:pPr>
            <w:r>
              <w:rPr>
                <w:rFonts w:ascii="Arial" w:hAnsi="Arial"/>
                <w:b/>
                <w:color w:val="FFFFFF"/>
                <w:sz w:val="16"/>
              </w:rPr>
              <w:t>Cardinality</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event_id</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Globally unique immutable identifier</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event_name</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Governed event name using domain.action naming</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event_version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Schema version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occurred_at_utc</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Time the event occurred, in UTC</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received_at_utc</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Time accepted by the analytics gateway</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provider_id</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Provider realm identifier; null only for platform-level events</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actor_id_token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Pseudonymous user, provider-user or service token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actor_type</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end_user, provider_user, admin_user, service, connector</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session_id_token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Pseudonymous session identifier</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source_component</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mobile, portal, api, chat, notification, connector, advertising, platform</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environment</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test, staging, production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correlation_id</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Reference linking related events, logs and traces</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entity_type / entity_id</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Form, submission, workflow, connector, campaign or other governed entity</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dimensions</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Approved low-risk analytical attributes</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Optional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result</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success, failure, cancelled, timeout, rejected or other governed value</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duration_ms</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Measured duration where applicable</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error_code</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Governed error classification; no sensitive text</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schema_quality_status</w:t>
            </w:r>
          </w:p>
        </w:tc>
        <w:tc>
          <w:tcPr>
            <w:tcW w:type="dxa" w:w="6066"/>
            <w:vAlign w:val="top"/>
            <w:tcMar>
              <w:top w:w="70" w:type="dxa"/>
              <w:start w:w="80" w:type="dxa"/>
              <w:bottom w:w="70" w:type="dxa"/>
              <w:end w:w="80" w:type="dxa"/>
            </w:tcMar>
            <w:shd w:fill="F7F9FB"/>
          </w:tcPr>
          <w:p>
            <w:pPr>
              <w:spacing w:before="0" w:after="0" w:line="240" w:lineRule="auto"/>
            </w:pPr>
            <w:r>
              <w:rPr>
                <w:rFonts w:ascii="Arial" w:hAnsi="Arial"/>
                <w:b w:val="0"/>
                <w:sz w:val="16"/>
              </w:rPr>
              <w:t>Validation result and processing quality state</w:t>
            </w:r>
          </w:p>
        </w:tc>
        <w:tc>
          <w:tcPr>
            <w:tcW w:type="dxa" w:w="1304"/>
            <w:vAlign w:val="top"/>
            <w:tcMar>
              <w:top w:w="70" w:type="dxa"/>
              <w:start w:w="80" w:type="dxa"/>
              <w:bottom w:w="70" w:type="dxa"/>
              <w:end w:w="80" w:type="dxa"/>
            </w:tcMar>
            <w:shd w:fill="F7F9FB"/>
          </w:tcPr>
          <w:p>
            <w:pPr>
              <w:spacing w:before="0" w:after="0" w:line="240" w:lineRule="auto"/>
            </w:pPr>
            <w:r>
              <w:rPr>
                <w:rFonts w:ascii="Arial" w:hAnsi="Arial"/>
                <w:b w:val="0"/>
                <w:sz w:val="16"/>
              </w:rPr>
              <w:t>Required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channel_message_id_token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Pseudonymous channel message identifier used for delivery/read/click reconciliation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campaign_id / creative_id</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Campaign and creative identifiers for marketing attribution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acquisition_source / medium</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Governed source and medium classification for traffic acquisition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journey_id_token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Pseudonymous identifier linking approved events in a funnel or commerce journey</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cart_id_token / order_id_token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Pseudonymous cart and order identifiers</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product_id / product_category</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Approved catalogue identifiers and classifications</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currency_code / monetary_value_minor</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ISO currency code and monetary value in minor units</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inventory_state</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Governed state such as in_stock, low_stock, out_of_stock or back_in_stock</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attribution_model_id / window</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Versioned attribution model and lookback window applied</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model_id / model_version</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Predictive model identity and version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prediction_score / confidence</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Governed prediction output and confidence or uncertainty measure</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consent_state / purpose</w:t>
            </w:r>
          </w:p>
        </w:tc>
        <w:tc>
          <w:tcPr>
            <w:tcW w:type="dxa" w:w="6066"/>
            <w:vAlign w:val="top"/>
            <w:tcMar>
              <w:top w:w="70" w:type="dxa"/>
              <w:start w:w="80" w:type="dxa"/>
              <w:bottom w:w="70" w:type="dxa"/>
              <w:end w:w="80" w:type="dxa"/>
            </w:tcMar>
          </w:tcPr>
          <w:p>
            <w:pPr>
              <w:spacing w:before="0" w:after="0" w:line="240" w:lineRule="auto"/>
            </w:pPr>
            <w:r>
              <w:rPr>
                <w:rFonts w:ascii="Arial" w:hAnsi="Arial"/>
                <w:b w:val="0"/>
                <w:sz w:val="16"/>
              </w:rPr>
              <w:t>Communication and analytics consent or lawful-purpose classification</w:t>
            </w:r>
          </w:p>
        </w:tc>
        <w:tc>
          <w:tcPr>
            <w:tcW w:type="dxa" w:w="1304"/>
            <w:vAlign w:val="top"/>
            <w:tcMar>
              <w:top w:w="70" w:type="dxa"/>
              <w:start w:w="80" w:type="dxa"/>
              <w:bottom w:w="70" w:type="dxa"/>
              <w:end w:w="80" w:type="dxa"/>
            </w:tcMar>
          </w:tcPr>
          <w:p>
            <w:pPr>
              <w:spacing w:before="0" w:after="0" w:line="240" w:lineRule="auto"/>
            </w:pPr>
            <w:r>
              <w:rPr>
                <w:rFonts w:ascii="Arial" w:hAnsi="Arial"/>
                <w:b w:val="0"/>
                <w:sz w:val="16"/>
              </w:rPr>
              <w:t>Conditional</w:t>
            </w:r>
          </w:p>
        </w:tc>
      </w:tr>
    </w:tbl>
    <w:p>
      <w:pPr>
        <w:spacing w:after="20"/>
      </w:pPr>
    </w:p>
    <w:p>
      <w:pPr>
        <w:pStyle w:val="Heading2"/>
        <w:keepNext/>
      </w:pPr>
      <w:r>
        <w:t>8.2 Event Domains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381"/>
            <w:shd w:fill="1F4E78"/>
            <w:tcMar>
              <w:top w:w="70" w:type="dxa"/>
              <w:start w:w="80" w:type="dxa"/>
              <w:bottom w:w="70" w:type="dxa"/>
              <w:end w:w="80" w:type="dxa"/>
            </w:tcMar>
          </w:tcPr>
          <w:p>
            <w:pPr>
              <w:spacing w:before="0" w:after="0" w:line="240" w:lineRule="auto"/>
              <w:jc w:val="left"/>
            </w:pPr>
            <w:r>
              <w:rPr>
                <w:rFonts w:ascii="Arial" w:hAnsi="Arial"/>
                <w:b/>
                <w:color w:val="FFFFFF"/>
                <w:sz w:val="16"/>
              </w:rPr>
              <w:t>Domain</w:t>
            </w:r>
          </w:p>
        </w:tc>
        <w:tc>
          <w:tcPr>
            <w:tcW w:type="dxa" w:w="7257"/>
            <w:shd w:fill="1F4E78"/>
            <w:tcMar>
              <w:top w:w="70" w:type="dxa"/>
              <w:start w:w="80" w:type="dxa"/>
              <w:bottom w:w="70" w:type="dxa"/>
              <w:end w:w="80" w:type="dxa"/>
            </w:tcMar>
          </w:tcPr>
          <w:p>
            <w:pPr>
              <w:spacing w:before="0" w:after="0" w:line="240" w:lineRule="auto"/>
              <w:jc w:val="left"/>
            </w:pPr>
            <w:r>
              <w:rPr>
                <w:rFonts w:ascii="Arial" w:hAnsi="Arial"/>
                <w:b/>
                <w:color w:val="FFFFFF"/>
                <w:sz w:val="16"/>
              </w:rPr>
              <w:t>Illustrative Governed Events</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Identity and Sessions</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registration.started</w:t>
            </w:r>
          </w:p>
          <w:p>
            <w:pPr>
              <w:spacing w:before="0" w:after="0" w:line="240" w:lineRule="auto"/>
              <w:ind w:left="113" w:hanging="113"/>
            </w:pPr>
            <w:r>
              <w:rPr>
                <w:rFonts w:ascii="Arial" w:hAnsi="Arial"/>
                <w:sz w:val="16"/>
              </w:rPr>
              <w:t>• registration.completed</w:t>
            </w:r>
          </w:p>
          <w:p>
            <w:pPr>
              <w:spacing w:before="0" w:after="0" w:line="240" w:lineRule="auto"/>
              <w:ind w:left="113" w:hanging="113"/>
            </w:pPr>
            <w:r>
              <w:rPr>
                <w:rFonts w:ascii="Arial" w:hAnsi="Arial"/>
                <w:sz w:val="16"/>
              </w:rPr>
              <w:t>• otp.sent</w:t>
            </w:r>
          </w:p>
          <w:p>
            <w:pPr>
              <w:spacing w:before="0" w:after="0" w:line="240" w:lineRule="auto"/>
              <w:ind w:left="113" w:hanging="113"/>
            </w:pPr>
            <w:r>
              <w:rPr>
                <w:rFonts w:ascii="Arial" w:hAnsi="Arial"/>
                <w:sz w:val="16"/>
              </w:rPr>
              <w:t>• otp.verified</w:t>
            </w:r>
          </w:p>
          <w:p>
            <w:pPr>
              <w:spacing w:before="0" w:after="0" w:line="240" w:lineRule="auto"/>
              <w:ind w:left="113" w:hanging="113"/>
            </w:pPr>
            <w:r>
              <w:rPr>
                <w:rFonts w:ascii="Arial" w:hAnsi="Arial"/>
                <w:sz w:val="16"/>
              </w:rPr>
              <w:t>• login.succeeded</w:t>
            </w:r>
          </w:p>
          <w:p>
            <w:pPr>
              <w:spacing w:before="0" w:after="0" w:line="240" w:lineRule="auto"/>
              <w:ind w:left="113" w:hanging="113"/>
            </w:pPr>
            <w:r>
              <w:rPr>
                <w:rFonts w:ascii="Arial" w:hAnsi="Arial"/>
                <w:sz w:val="16"/>
              </w:rPr>
              <w:t>• login.failed</w:t>
            </w:r>
          </w:p>
          <w:p>
            <w:pPr>
              <w:spacing w:before="0" w:after="0" w:line="240" w:lineRule="auto"/>
              <w:ind w:left="113" w:hanging="113"/>
            </w:pPr>
            <w:r>
              <w:rPr>
                <w:rFonts w:ascii="Arial" w:hAnsi="Arial"/>
                <w:sz w:val="16"/>
              </w:rPr>
              <w:t>• session.started</w:t>
            </w:r>
          </w:p>
          <w:p>
            <w:pPr>
              <w:spacing w:before="0" w:after="0" w:line="240" w:lineRule="auto"/>
              <w:ind w:left="113" w:hanging="113"/>
            </w:pPr>
            <w:r>
              <w:rPr>
                <w:rFonts w:ascii="Arial" w:hAnsi="Arial"/>
                <w:sz w:val="16"/>
              </w:rPr>
              <w:t>• session.ended</w:t>
            </w:r>
          </w:p>
          <w:p>
            <w:pPr>
              <w:spacing w:before="0" w:after="0" w:line="240" w:lineRule="auto"/>
              <w:ind w:left="113" w:hanging="113"/>
            </w:pPr>
            <w:r>
              <w:rPr>
                <w:rFonts w:ascii="Arial" w:hAnsi="Arial"/>
                <w:sz w:val="16"/>
              </w:rPr>
              <w:t>• device.linked</w:t>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sz w:val="16"/>
              </w:rPr>
              <w:t>Provider Lifecycle</w:t>
            </w:r>
          </w:p>
        </w:tc>
        <w:tc>
          <w:tcPr>
            <w:tcW w:type="dxa" w:w="7257"/>
            <w:vAlign w:val="top"/>
            <w:tcMar>
              <w:top w:w="70" w:type="dxa"/>
              <w:start w:w="80" w:type="dxa"/>
              <w:bottom w:w="70" w:type="dxa"/>
              <w:end w:w="80" w:type="dxa"/>
            </w:tcMar>
            <w:shd w:fill="F7F9FB"/>
          </w:tcPr>
          <w:p>
            <w:pPr>
              <w:spacing w:before="0" w:after="0" w:line="240" w:lineRule="auto"/>
              <w:ind w:left="113" w:hanging="113"/>
            </w:pPr>
            <w:r>
              <w:rPr>
                <w:rFonts w:ascii="Arial" w:hAnsi="Arial"/>
                <w:sz w:val="16"/>
              </w:rPr>
              <w:t>• provider.onboarding.started</w:t>
            </w:r>
          </w:p>
          <w:p>
            <w:pPr>
              <w:spacing w:before="0" w:after="0" w:line="240" w:lineRule="auto"/>
              <w:ind w:left="113" w:hanging="113"/>
            </w:pPr>
            <w:r>
              <w:rPr>
                <w:rFonts w:ascii="Arial" w:hAnsi="Arial"/>
                <w:sz w:val="16"/>
              </w:rPr>
              <w:t>• provider.onboarding.completed</w:t>
            </w:r>
          </w:p>
          <w:p>
            <w:pPr>
              <w:spacing w:before="0" w:after="0" w:line="240" w:lineRule="auto"/>
              <w:ind w:left="113" w:hanging="113"/>
            </w:pPr>
            <w:r>
              <w:rPr>
                <w:rFonts w:ascii="Arial" w:hAnsi="Arial"/>
                <w:sz w:val="16"/>
              </w:rPr>
              <w:t>• provider.activated</w:t>
            </w:r>
          </w:p>
          <w:p>
            <w:pPr>
              <w:spacing w:before="0" w:after="0" w:line="240" w:lineRule="auto"/>
              <w:ind w:left="113" w:hanging="113"/>
            </w:pPr>
            <w:r>
              <w:rPr>
                <w:rFonts w:ascii="Arial" w:hAnsi="Arial"/>
                <w:sz w:val="16"/>
              </w:rPr>
              <w:t>• provider.suspended</w:t>
            </w:r>
          </w:p>
          <w:p>
            <w:pPr>
              <w:spacing w:before="0" w:after="0" w:line="240" w:lineRule="auto"/>
              <w:ind w:left="113" w:hanging="113"/>
            </w:pPr>
            <w:r>
              <w:rPr>
                <w:rFonts w:ascii="Arial" w:hAnsi="Arial"/>
                <w:sz w:val="16"/>
              </w:rPr>
              <w:t>• provider.user.added</w:t>
            </w:r>
          </w:p>
          <w:p>
            <w:pPr>
              <w:spacing w:before="0" w:after="0" w:line="240" w:lineRule="auto"/>
              <w:ind w:left="113" w:hanging="113"/>
            </w:pPr>
            <w:r>
              <w:rPr>
                <w:rFonts w:ascii="Arial" w:hAnsi="Arial"/>
                <w:sz w:val="16"/>
              </w:rPr>
              <w:t>• provider.user.active</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Forms and Discovery</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provider.viewed</w:t>
            </w:r>
          </w:p>
          <w:p>
            <w:pPr>
              <w:spacing w:before="0" w:after="0" w:line="240" w:lineRule="auto"/>
              <w:ind w:left="113" w:hanging="113"/>
            </w:pPr>
            <w:r>
              <w:rPr>
                <w:rFonts w:ascii="Arial" w:hAnsi="Arial"/>
                <w:sz w:val="16"/>
              </w:rPr>
              <w:t>• form.viewed</w:t>
            </w:r>
          </w:p>
          <w:p>
            <w:pPr>
              <w:spacing w:before="0" w:after="0" w:line="240" w:lineRule="auto"/>
              <w:ind w:left="113" w:hanging="113"/>
            </w:pPr>
            <w:r>
              <w:rPr>
                <w:rFonts w:ascii="Arial" w:hAnsi="Arial"/>
                <w:sz w:val="16"/>
              </w:rPr>
              <w:t>• form.started</w:t>
            </w:r>
          </w:p>
          <w:p>
            <w:pPr>
              <w:spacing w:before="0" w:after="0" w:line="240" w:lineRule="auto"/>
              <w:ind w:left="113" w:hanging="113"/>
            </w:pPr>
            <w:r>
              <w:rPr>
                <w:rFonts w:ascii="Arial" w:hAnsi="Arial"/>
                <w:sz w:val="16"/>
              </w:rPr>
              <w:t>• form.step.completed</w:t>
            </w:r>
          </w:p>
          <w:p>
            <w:pPr>
              <w:spacing w:before="0" w:after="0" w:line="240" w:lineRule="auto"/>
              <w:ind w:left="113" w:hanging="113"/>
            </w:pPr>
            <w:r>
              <w:rPr>
                <w:rFonts w:ascii="Arial" w:hAnsi="Arial"/>
                <w:sz w:val="16"/>
              </w:rPr>
              <w:t>• form.validation.failed</w:t>
            </w:r>
          </w:p>
          <w:p>
            <w:pPr>
              <w:spacing w:before="0" w:after="0" w:line="240" w:lineRule="auto"/>
              <w:ind w:left="113" w:hanging="113"/>
            </w:pPr>
            <w:r>
              <w:rPr>
                <w:rFonts w:ascii="Arial" w:hAnsi="Arial"/>
                <w:sz w:val="16"/>
              </w:rPr>
              <w:t>• form.submitted</w:t>
            </w:r>
          </w:p>
          <w:p>
            <w:pPr>
              <w:spacing w:before="0" w:after="0" w:line="240" w:lineRule="auto"/>
              <w:ind w:left="113" w:hanging="113"/>
            </w:pPr>
            <w:r>
              <w:rPr>
                <w:rFonts w:ascii="Arial" w:hAnsi="Arial"/>
                <w:sz w:val="16"/>
              </w:rPr>
              <w:t>• form.abandoned</w:t>
            </w:r>
          </w:p>
          <w:p>
            <w:pPr>
              <w:spacing w:before="0" w:after="0" w:line="240" w:lineRule="auto"/>
              <w:ind w:left="113" w:hanging="113"/>
            </w:pPr>
            <w:r>
              <w:rPr>
                <w:rFonts w:ascii="Arial" w:hAnsi="Arial"/>
                <w:sz w:val="16"/>
              </w:rPr>
              <w:t>• search.executed</w:t>
            </w:r>
          </w:p>
          <w:p>
            <w:pPr>
              <w:spacing w:before="0" w:after="0" w:line="240" w:lineRule="auto"/>
              <w:ind w:left="113" w:hanging="113"/>
            </w:pPr>
            <w:r>
              <w:rPr>
                <w:rFonts w:ascii="Arial" w:hAnsi="Arial"/>
                <w:sz w:val="16"/>
              </w:rPr>
              <w:t>• search.result.selected</w:t>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sz w:val="16"/>
              </w:rPr>
              <w:t>Submissions and Workflow</w:t>
            </w:r>
          </w:p>
        </w:tc>
        <w:tc>
          <w:tcPr>
            <w:tcW w:type="dxa" w:w="7257"/>
            <w:vAlign w:val="top"/>
            <w:tcMar>
              <w:top w:w="70" w:type="dxa"/>
              <w:start w:w="80" w:type="dxa"/>
              <w:bottom w:w="70" w:type="dxa"/>
              <w:end w:w="80" w:type="dxa"/>
            </w:tcMar>
            <w:shd w:fill="F7F9FB"/>
          </w:tcPr>
          <w:p>
            <w:pPr>
              <w:spacing w:before="0" w:after="0" w:line="240" w:lineRule="auto"/>
              <w:ind w:left="113" w:hanging="113"/>
            </w:pPr>
            <w:r>
              <w:rPr>
                <w:rFonts w:ascii="Arial" w:hAnsi="Arial"/>
                <w:sz w:val="16"/>
              </w:rPr>
              <w:t>• submission.received</w:t>
            </w:r>
          </w:p>
          <w:p>
            <w:pPr>
              <w:spacing w:before="0" w:after="0" w:line="240" w:lineRule="auto"/>
              <w:ind w:left="113" w:hanging="113"/>
            </w:pPr>
            <w:r>
              <w:rPr>
                <w:rFonts w:ascii="Arial" w:hAnsi="Arial"/>
                <w:sz w:val="16"/>
              </w:rPr>
              <w:t>• workflow.entered</w:t>
            </w:r>
          </w:p>
          <w:p>
            <w:pPr>
              <w:spacing w:before="0" w:after="0" w:line="240" w:lineRule="auto"/>
              <w:ind w:left="113" w:hanging="113"/>
            </w:pPr>
            <w:r>
              <w:rPr>
                <w:rFonts w:ascii="Arial" w:hAnsi="Arial"/>
                <w:sz w:val="16"/>
              </w:rPr>
              <w:t>• workflow.status.changed</w:t>
            </w:r>
          </w:p>
          <w:p>
            <w:pPr>
              <w:spacing w:before="0" w:after="0" w:line="240" w:lineRule="auto"/>
              <w:ind w:left="113" w:hanging="113"/>
            </w:pPr>
            <w:r>
              <w:rPr>
                <w:rFonts w:ascii="Arial" w:hAnsi="Arial"/>
                <w:sz w:val="16"/>
              </w:rPr>
              <w:t>• submission.assigned</w:t>
            </w:r>
          </w:p>
          <w:p>
            <w:pPr>
              <w:spacing w:before="0" w:after="0" w:line="240" w:lineRule="auto"/>
              <w:ind w:left="113" w:hanging="113"/>
            </w:pPr>
            <w:r>
              <w:rPr>
                <w:rFonts w:ascii="Arial" w:hAnsi="Arial"/>
                <w:sz w:val="16"/>
              </w:rPr>
              <w:t>• submission.resolved</w:t>
            </w:r>
          </w:p>
          <w:p>
            <w:pPr>
              <w:spacing w:before="0" w:after="0" w:line="240" w:lineRule="auto"/>
              <w:ind w:left="113" w:hanging="113"/>
            </w:pPr>
            <w:r>
              <w:rPr>
                <w:rFonts w:ascii="Arial" w:hAnsi="Arial"/>
                <w:sz w:val="16"/>
              </w:rPr>
              <w:t>• submission.closed</w:t>
            </w:r>
          </w:p>
          <w:p>
            <w:pPr>
              <w:spacing w:before="0" w:after="0" w:line="240" w:lineRule="auto"/>
              <w:ind w:left="113" w:hanging="113"/>
            </w:pPr>
            <w:r>
              <w:rPr>
                <w:rFonts w:ascii="Arial" w:hAnsi="Arial"/>
                <w:sz w:val="16"/>
              </w:rPr>
              <w:t>• sla.breached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Messaging</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conversation.created</w:t>
            </w:r>
          </w:p>
          <w:p>
            <w:pPr>
              <w:spacing w:before="0" w:after="0" w:line="240" w:lineRule="auto"/>
              <w:ind w:left="113" w:hanging="113"/>
            </w:pPr>
            <w:r>
              <w:rPr>
                <w:rFonts w:ascii="Arial" w:hAnsi="Arial"/>
                <w:sz w:val="16"/>
              </w:rPr>
              <w:t>• message.sent</w:t>
            </w:r>
          </w:p>
          <w:p>
            <w:pPr>
              <w:spacing w:before="0" w:after="0" w:line="240" w:lineRule="auto"/>
              <w:ind w:left="113" w:hanging="113"/>
            </w:pPr>
            <w:r>
              <w:rPr>
                <w:rFonts w:ascii="Arial" w:hAnsi="Arial"/>
                <w:sz w:val="16"/>
              </w:rPr>
              <w:t>• message.delivered</w:t>
            </w:r>
          </w:p>
          <w:p>
            <w:pPr>
              <w:spacing w:before="0" w:after="0" w:line="240" w:lineRule="auto"/>
              <w:ind w:left="113" w:hanging="113"/>
            </w:pPr>
            <w:r>
              <w:rPr>
                <w:rFonts w:ascii="Arial" w:hAnsi="Arial"/>
                <w:sz w:val="16"/>
              </w:rPr>
              <w:t>• message.failed</w:t>
            </w:r>
          </w:p>
          <w:p>
            <w:pPr>
              <w:spacing w:before="0" w:after="0" w:line="240" w:lineRule="auto"/>
              <w:ind w:left="113" w:hanging="113"/>
            </w:pPr>
            <w:r>
              <w:rPr>
                <w:rFonts w:ascii="Arial" w:hAnsi="Arial"/>
                <w:sz w:val="16"/>
              </w:rPr>
              <w:t>• conversation.first_response</w:t>
            </w:r>
          </w:p>
          <w:p>
            <w:pPr>
              <w:spacing w:before="0" w:after="0" w:line="240" w:lineRule="auto"/>
              <w:ind w:left="113" w:hanging="113"/>
            </w:pPr>
            <w:r>
              <w:rPr>
                <w:rFonts w:ascii="Arial" w:hAnsi="Arial"/>
                <w:sz w:val="16"/>
              </w:rPr>
              <w:t>• conversation.closed</w:t>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sz w:val="16"/>
              </w:rPr>
              <w:t>Notifications</w:t>
            </w:r>
          </w:p>
        </w:tc>
        <w:tc>
          <w:tcPr>
            <w:tcW w:type="dxa" w:w="7257"/>
            <w:vAlign w:val="top"/>
            <w:tcMar>
              <w:top w:w="70" w:type="dxa"/>
              <w:start w:w="80" w:type="dxa"/>
              <w:bottom w:w="70" w:type="dxa"/>
              <w:end w:w="80" w:type="dxa"/>
            </w:tcMar>
            <w:shd w:fill="F7F9FB"/>
          </w:tcPr>
          <w:p>
            <w:pPr>
              <w:spacing w:before="0" w:after="0" w:line="240" w:lineRule="auto"/>
              <w:ind w:left="113" w:hanging="113"/>
            </w:pPr>
            <w:r>
              <w:rPr>
                <w:rFonts w:ascii="Arial" w:hAnsi="Arial"/>
                <w:sz w:val="16"/>
              </w:rPr>
              <w:t>• notification.queued</w:t>
            </w:r>
          </w:p>
          <w:p>
            <w:pPr>
              <w:spacing w:before="0" w:after="0" w:line="240" w:lineRule="auto"/>
              <w:ind w:left="113" w:hanging="113"/>
            </w:pPr>
            <w:r>
              <w:rPr>
                <w:rFonts w:ascii="Arial" w:hAnsi="Arial"/>
                <w:sz w:val="16"/>
              </w:rPr>
              <w:t>• notification.sent</w:t>
            </w:r>
          </w:p>
          <w:p>
            <w:pPr>
              <w:spacing w:before="0" w:after="0" w:line="240" w:lineRule="auto"/>
              <w:ind w:left="113" w:hanging="113"/>
            </w:pPr>
            <w:r>
              <w:rPr>
                <w:rFonts w:ascii="Arial" w:hAnsi="Arial"/>
                <w:sz w:val="16"/>
              </w:rPr>
              <w:t>• notification.delivered</w:t>
            </w:r>
          </w:p>
          <w:p>
            <w:pPr>
              <w:spacing w:before="0" w:after="0" w:line="240" w:lineRule="auto"/>
              <w:ind w:left="113" w:hanging="113"/>
            </w:pPr>
            <w:r>
              <w:rPr>
                <w:rFonts w:ascii="Arial" w:hAnsi="Arial"/>
                <w:sz w:val="16"/>
              </w:rPr>
              <w:t>• notification.failed</w:t>
            </w:r>
          </w:p>
          <w:p>
            <w:pPr>
              <w:spacing w:before="0" w:after="0" w:line="240" w:lineRule="auto"/>
              <w:ind w:left="113" w:hanging="113"/>
            </w:pPr>
            <w:r>
              <w:rPr>
                <w:rFonts w:ascii="Arial" w:hAnsi="Arial"/>
                <w:sz w:val="16"/>
              </w:rPr>
              <w:t>• notification.opened</w:t>
            </w:r>
          </w:p>
          <w:p>
            <w:pPr>
              <w:spacing w:before="0" w:after="0" w:line="240" w:lineRule="auto"/>
              <w:ind w:left="113" w:hanging="113"/>
            </w:pPr>
            <w:r>
              <w:rPr>
                <w:rFonts w:ascii="Arial" w:hAnsi="Arial"/>
                <w:sz w:val="16"/>
              </w:rPr>
              <w:t>• notification.actioned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Connector Applications</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connector.provisioned</w:t>
            </w:r>
          </w:p>
          <w:p>
            <w:pPr>
              <w:spacing w:before="0" w:after="0" w:line="240" w:lineRule="auto"/>
              <w:ind w:left="113" w:hanging="113"/>
            </w:pPr>
            <w:r>
              <w:rPr>
                <w:rFonts w:ascii="Arial" w:hAnsi="Arial"/>
                <w:sz w:val="16"/>
              </w:rPr>
              <w:t>• connector.request.started</w:t>
            </w:r>
          </w:p>
          <w:p>
            <w:pPr>
              <w:spacing w:before="0" w:after="0" w:line="240" w:lineRule="auto"/>
              <w:ind w:left="113" w:hanging="113"/>
            </w:pPr>
            <w:r>
              <w:rPr>
                <w:rFonts w:ascii="Arial" w:hAnsi="Arial"/>
                <w:sz w:val="16"/>
              </w:rPr>
              <w:t>• connector.request.succeeded</w:t>
            </w:r>
          </w:p>
          <w:p>
            <w:pPr>
              <w:spacing w:before="0" w:after="0" w:line="240" w:lineRule="auto"/>
              <w:ind w:left="113" w:hanging="113"/>
            </w:pPr>
            <w:r>
              <w:rPr>
                <w:rFonts w:ascii="Arial" w:hAnsi="Arial"/>
                <w:sz w:val="16"/>
              </w:rPr>
              <w:t>• connector.request.failed</w:t>
            </w:r>
          </w:p>
          <w:p>
            <w:pPr>
              <w:spacing w:before="0" w:after="0" w:line="240" w:lineRule="auto"/>
              <w:ind w:left="113" w:hanging="113"/>
            </w:pPr>
            <w:r>
              <w:rPr>
                <w:rFonts w:ascii="Arial" w:hAnsi="Arial"/>
                <w:sz w:val="16"/>
              </w:rPr>
              <w:t>• connector.usage.recorded</w:t>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sz w:val="16"/>
              </w:rPr>
              <w:t>Advertising</w:t>
            </w:r>
          </w:p>
        </w:tc>
        <w:tc>
          <w:tcPr>
            <w:tcW w:type="dxa" w:w="7257"/>
            <w:vAlign w:val="top"/>
            <w:tcMar>
              <w:top w:w="70" w:type="dxa"/>
              <w:start w:w="80" w:type="dxa"/>
              <w:bottom w:w="70" w:type="dxa"/>
              <w:end w:w="80" w:type="dxa"/>
            </w:tcMar>
            <w:shd w:fill="F7F9FB"/>
          </w:tcPr>
          <w:p>
            <w:pPr>
              <w:spacing w:before="0" w:after="0" w:line="240" w:lineRule="auto"/>
              <w:ind w:left="113" w:hanging="113"/>
            </w:pPr>
            <w:r>
              <w:rPr>
                <w:rFonts w:ascii="Arial" w:hAnsi="Arial"/>
                <w:sz w:val="16"/>
              </w:rPr>
              <w:t>• ad.requested</w:t>
            </w:r>
          </w:p>
          <w:p>
            <w:pPr>
              <w:spacing w:before="0" w:after="0" w:line="240" w:lineRule="auto"/>
              <w:ind w:left="113" w:hanging="113"/>
            </w:pPr>
            <w:r>
              <w:rPr>
                <w:rFonts w:ascii="Arial" w:hAnsi="Arial"/>
                <w:sz w:val="16"/>
              </w:rPr>
              <w:t>• ad.rendered</w:t>
            </w:r>
          </w:p>
          <w:p>
            <w:pPr>
              <w:spacing w:before="0" w:after="0" w:line="240" w:lineRule="auto"/>
              <w:ind w:left="113" w:hanging="113"/>
            </w:pPr>
            <w:r>
              <w:rPr>
                <w:rFonts w:ascii="Arial" w:hAnsi="Arial"/>
                <w:sz w:val="16"/>
              </w:rPr>
              <w:t>• ad.viewable</w:t>
            </w:r>
          </w:p>
          <w:p>
            <w:pPr>
              <w:spacing w:before="0" w:after="0" w:line="240" w:lineRule="auto"/>
              <w:ind w:left="113" w:hanging="113"/>
            </w:pPr>
            <w:r>
              <w:rPr>
                <w:rFonts w:ascii="Arial" w:hAnsi="Arial"/>
                <w:sz w:val="16"/>
              </w:rPr>
              <w:t>• ad.clicked</w:t>
            </w:r>
          </w:p>
          <w:p>
            <w:pPr>
              <w:spacing w:before="0" w:after="0" w:line="240" w:lineRule="auto"/>
              <w:ind w:left="113" w:hanging="113"/>
            </w:pPr>
            <w:r>
              <w:rPr>
                <w:rFonts w:ascii="Arial" w:hAnsi="Arial"/>
                <w:sz w:val="16"/>
              </w:rPr>
              <w:t>• ad.conversion.recorded</w:t>
            </w:r>
          </w:p>
          <w:p>
            <w:pPr>
              <w:spacing w:before="0" w:after="0" w:line="240" w:lineRule="auto"/>
              <w:ind w:left="113" w:hanging="113"/>
            </w:pPr>
            <w:r>
              <w:rPr>
                <w:rFonts w:ascii="Arial" w:hAnsi="Arial"/>
                <w:sz w:val="16"/>
              </w:rPr>
              <w:t>• ad.invalid_traffic.detected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Commercial Usage</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subscription.activated</w:t>
            </w:r>
          </w:p>
          <w:p>
            <w:pPr>
              <w:spacing w:before="0" w:after="0" w:line="240" w:lineRule="auto"/>
              <w:ind w:left="113" w:hanging="113"/>
            </w:pPr>
            <w:r>
              <w:rPr>
                <w:rFonts w:ascii="Arial" w:hAnsi="Arial"/>
                <w:sz w:val="16"/>
              </w:rPr>
              <w:t>• entitlement.changed</w:t>
            </w:r>
          </w:p>
          <w:p>
            <w:pPr>
              <w:spacing w:before="0" w:after="0" w:line="240" w:lineRule="auto"/>
              <w:ind w:left="113" w:hanging="113"/>
            </w:pPr>
            <w:r>
              <w:rPr>
                <w:rFonts w:ascii="Arial" w:hAnsi="Arial"/>
                <w:sz w:val="16"/>
              </w:rPr>
              <w:t>• usage.unit.recorded</w:t>
            </w:r>
          </w:p>
          <w:p>
            <w:pPr>
              <w:spacing w:before="0" w:after="0" w:line="240" w:lineRule="auto"/>
              <w:ind w:left="113" w:hanging="113"/>
            </w:pPr>
            <w:r>
              <w:rPr>
                <w:rFonts w:ascii="Arial" w:hAnsi="Arial"/>
                <w:sz w:val="16"/>
              </w:rPr>
              <w:t>• invoice.generated</w:t>
            </w:r>
          </w:p>
          <w:p>
            <w:pPr>
              <w:spacing w:before="0" w:after="0" w:line="240" w:lineRule="auto"/>
              <w:ind w:left="113" w:hanging="113"/>
            </w:pPr>
            <w:r>
              <w:rPr>
                <w:rFonts w:ascii="Arial" w:hAnsi="Arial"/>
                <w:sz w:val="16"/>
              </w:rPr>
              <w:t>• payment.status.changed</w:t>
            </w:r>
          </w:p>
        </w:tc>
      </w:tr>
      <w:tr>
        <w:trPr>
          <w:cantSplit/>
        </w:trPr>
        <w:tc>
          <w:tcPr>
            <w:tcW w:type="dxa" w:w="2381"/>
            <w:vAlign w:val="top"/>
            <w:tcMar>
              <w:top w:w="70" w:type="dxa"/>
              <w:start w:w="80" w:type="dxa"/>
              <w:bottom w:w="70" w:type="dxa"/>
              <w:end w:w="80" w:type="dxa"/>
            </w:tcMar>
            <w:shd w:fill="F7F9FB"/>
          </w:tcPr>
          <w:p>
            <w:pPr>
              <w:spacing w:before="0" w:after="0" w:line="240" w:lineRule="auto"/>
            </w:pPr>
            <w:r>
              <w:rPr>
                <w:rFonts w:ascii="Arial" w:hAnsi="Arial"/>
                <w:b/>
                <w:sz w:val="16"/>
              </w:rPr>
              <w:t>Platform and Reliability</w:t>
            </w:r>
          </w:p>
        </w:tc>
        <w:tc>
          <w:tcPr>
            <w:tcW w:type="dxa" w:w="7257"/>
            <w:vAlign w:val="top"/>
            <w:tcMar>
              <w:top w:w="70" w:type="dxa"/>
              <w:start w:w="80" w:type="dxa"/>
              <w:bottom w:w="70" w:type="dxa"/>
              <w:end w:w="80" w:type="dxa"/>
            </w:tcMar>
            <w:shd w:fill="F7F9FB"/>
          </w:tcPr>
          <w:p>
            <w:pPr>
              <w:spacing w:before="0" w:after="0" w:line="240" w:lineRule="auto"/>
              <w:ind w:left="113" w:hanging="113"/>
            </w:pPr>
            <w:r>
              <w:rPr>
                <w:rFonts w:ascii="Arial" w:hAnsi="Arial"/>
                <w:sz w:val="16"/>
              </w:rPr>
              <w:t>• api.request.completed</w:t>
            </w:r>
          </w:p>
          <w:p>
            <w:pPr>
              <w:spacing w:before="0" w:after="0" w:line="240" w:lineRule="auto"/>
              <w:ind w:left="113" w:hanging="113"/>
            </w:pPr>
            <w:r>
              <w:rPr>
                <w:rFonts w:ascii="Arial" w:hAnsi="Arial"/>
                <w:sz w:val="16"/>
              </w:rPr>
              <w:t>• service.health.changed</w:t>
            </w:r>
          </w:p>
          <w:p>
            <w:pPr>
              <w:spacing w:before="0" w:after="0" w:line="240" w:lineRule="auto"/>
              <w:ind w:left="113" w:hanging="113"/>
            </w:pPr>
            <w:r>
              <w:rPr>
                <w:rFonts w:ascii="Arial" w:hAnsi="Arial"/>
                <w:sz w:val="16"/>
              </w:rPr>
              <w:t>• queue.lag.sampled</w:t>
            </w:r>
          </w:p>
          <w:p>
            <w:pPr>
              <w:spacing w:before="0" w:after="0" w:line="240" w:lineRule="auto"/>
              <w:ind w:left="113" w:hanging="113"/>
            </w:pPr>
            <w:r>
              <w:rPr>
                <w:rFonts w:ascii="Arial" w:hAnsi="Arial"/>
                <w:sz w:val="16"/>
              </w:rPr>
              <w:t>• deployment.completed</w:t>
            </w:r>
          </w:p>
          <w:p>
            <w:pPr>
              <w:spacing w:before="0" w:after="0" w:line="240" w:lineRule="auto"/>
              <w:ind w:left="113" w:hanging="113"/>
            </w:pPr>
            <w:r>
              <w:rPr>
                <w:rFonts w:ascii="Arial" w:hAnsi="Arial"/>
                <w:sz w:val="16"/>
              </w:rPr>
              <w:t>• incident.started</w:t>
            </w:r>
          </w:p>
          <w:p>
            <w:pPr>
              <w:spacing w:before="0" w:after="0" w:line="240" w:lineRule="auto"/>
              <w:ind w:left="113" w:hanging="113"/>
            </w:pPr>
            <w:r>
              <w:rPr>
                <w:rFonts w:ascii="Arial" w:hAnsi="Arial"/>
                <w:sz w:val="16"/>
              </w:rPr>
              <w:t>• incident.resolved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Analytics Pipeline</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analytics.event.accepted</w:t>
            </w:r>
          </w:p>
          <w:p>
            <w:pPr>
              <w:spacing w:before="0" w:after="0" w:line="240" w:lineRule="auto"/>
              <w:ind w:left="113" w:hanging="113"/>
            </w:pPr>
            <w:r>
              <w:rPr>
                <w:rFonts w:ascii="Arial" w:hAnsi="Arial"/>
                <w:sz w:val="16"/>
              </w:rPr>
              <w:t>• analytics.event.rejected</w:t>
            </w:r>
          </w:p>
          <w:p>
            <w:pPr>
              <w:spacing w:before="0" w:after="0" w:line="240" w:lineRule="auto"/>
              <w:ind w:left="113" w:hanging="113"/>
            </w:pPr>
            <w:r>
              <w:rPr>
                <w:rFonts w:ascii="Arial" w:hAnsi="Arial"/>
                <w:sz w:val="16"/>
              </w:rPr>
              <w:t>• analytics.batch.completed</w:t>
            </w:r>
          </w:p>
          <w:p>
            <w:pPr>
              <w:spacing w:before="0" w:after="0" w:line="240" w:lineRule="auto"/>
              <w:ind w:left="113" w:hanging="113"/>
            </w:pPr>
            <w:r>
              <w:rPr>
                <w:rFonts w:ascii="Arial" w:hAnsi="Arial"/>
                <w:sz w:val="16"/>
              </w:rPr>
              <w:t>• analytics.metric.refreshed</w:t>
            </w:r>
          </w:p>
          <w:p>
            <w:pPr>
              <w:spacing w:before="0" w:after="0" w:line="240" w:lineRule="auto"/>
              <w:ind w:left="113" w:hanging="113"/>
            </w:pPr>
            <w:r>
              <w:rPr>
                <w:rFonts w:ascii="Arial" w:hAnsi="Arial"/>
                <w:sz w:val="16"/>
              </w:rPr>
              <w:t>• analytics.export.generated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Conversational Marketing</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campaign.message.queued</w:t>
              <w:br/>
              <w:t>• campaign.message.sent</w:t>
              <w:br/>
              <w:t>• campaign.message.delivered</w:t>
              <w:br/>
              <w:t>• campaign.message.read</w:t>
              <w:br/>
              <w:t>• campaign.link.clicked</w:t>
              <w:br/>
              <w:t>• campaign.reply.received</w:t>
              <w:br/>
              <w:t>• campaign.opted_out</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Traffic Acquisition</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acquisition.session.started</w:t>
              <w:br/>
              <w:t>• acquisition.entry.recorded</w:t>
              <w:br/>
              <w:t>• referral.received</w:t>
              <w:br/>
              <w:t>• qr.scanned</w:t>
              <w:br/>
              <w:t>• landing.viewed</w:t>
              <w:br/>
              <w:t>• campaign.attribution.recorded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Commerce and Carts</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product.viewed</w:t>
              <w:br/>
              <w:t>• product.selected</w:t>
              <w:br/>
              <w:t>• cart.created</w:t>
              <w:br/>
              <w:t>• cart.item.added</w:t>
              <w:br/>
              <w:t>• cart.checkout.started</w:t>
              <w:br/>
              <w:t>• cart.abandoned</w:t>
              <w:br/>
              <w:t>• cart.recovered</w:t>
              <w:br/>
              <w:t>• order.placed</w:t>
              <w:br/>
              <w:t>• order.paid</w:t>
              <w:br/>
              <w:t>• order.cancelled</w:t>
              <w:br/>
              <w:t>• order.refunded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Revenue and Attribution</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conversion.recorded</w:t>
              <w:br/>
              <w:t>• revenue.recorded</w:t>
              <w:br/>
              <w:t>• attribution.calculated</w:t>
              <w:br/>
              <w:t>• attribution.adjusted</w:t>
              <w:br/>
              <w:t>• attribution.expired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Product and Inventory</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inventory.state.changed</w:t>
              <w:br/>
              <w:t>• inventory.replenished</w:t>
              <w:br/>
              <w:t>• product.back_in_stock</w:t>
              <w:br/>
              <w:t>• sale_out.recorded</w:t>
              <w:br/>
              <w:t>• promotion.started</w:t>
              <w:br/>
              <w:t>• promotion.ended</w:t>
            </w:r>
          </w:p>
        </w:tc>
      </w:tr>
      <w:tr>
        <w:trPr>
          <w:cantSplit/>
        </w:trPr>
        <w:tc>
          <w:tcPr>
            <w:tcW w:type="dxa" w:w="2381"/>
            <w:vAlign w:val="top"/>
            <w:tcMar>
              <w:top w:w="70" w:type="dxa"/>
              <w:start w:w="80" w:type="dxa"/>
              <w:bottom w:w="70" w:type="dxa"/>
              <w:end w:w="80" w:type="dxa"/>
            </w:tcMar>
          </w:tcPr>
          <w:p>
            <w:pPr>
              <w:spacing w:before="0" w:after="0" w:line="240" w:lineRule="auto"/>
            </w:pPr>
            <w:r>
              <w:rPr>
                <w:rFonts w:ascii="Arial" w:hAnsi="Arial"/>
                <w:b/>
                <w:sz w:val="16"/>
              </w:rPr>
              <w:t>Predictive Insights</w:t>
            </w:r>
          </w:p>
        </w:tc>
        <w:tc>
          <w:tcPr>
            <w:tcW w:type="dxa" w:w="7257"/>
            <w:vAlign w:val="top"/>
            <w:tcMar>
              <w:top w:w="70" w:type="dxa"/>
              <w:start w:w="80" w:type="dxa"/>
              <w:bottom w:w="70" w:type="dxa"/>
              <w:end w:w="80" w:type="dxa"/>
            </w:tcMar>
          </w:tcPr>
          <w:p>
            <w:pPr>
              <w:spacing w:before="0" w:after="0" w:line="240" w:lineRule="auto"/>
              <w:ind w:left="113" w:hanging="113"/>
            </w:pPr>
            <w:r>
              <w:rPr>
                <w:rFonts w:ascii="Arial" w:hAnsi="Arial"/>
                <w:sz w:val="16"/>
              </w:rPr>
              <w:t>• prediction.generated</w:t>
              <w:br/>
              <w:t>• prediction.explained</w:t>
              <w:br/>
              <w:t>• prediction.actioned</w:t>
              <w:br/>
              <w:t>• prediction.outcome.observed</w:t>
              <w:br/>
              <w:t>• model.deployed</w:t>
              <w:br/>
              <w:t>• model.drift.detected</w:t>
              <w:br/>
              <w:t>• model.retired</w:t>
            </w:r>
          </w:p>
        </w:tc>
      </w:tr>
    </w:tbl>
    <w:p>
      <w:pPr>
        <w:spacing w:after="20"/>
      </w:pPr>
    </w:p>
    <w:p>
      <w:pPr>
        <w:pStyle w:val="Heading2"/>
        <w:keepNext/>
      </w:pPr>
      <w:r>
        <w:t>8.3 Common Dimensions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268"/>
            <w:shd w:fill="1F4E78"/>
            <w:tcMar>
              <w:top w:w="70" w:type="dxa"/>
              <w:start w:w="80" w:type="dxa"/>
              <w:bottom w:w="70" w:type="dxa"/>
              <w:end w:w="80" w:type="dxa"/>
            </w:tcMar>
          </w:tcPr>
          <w:p>
            <w:pPr>
              <w:spacing w:before="0" w:after="0" w:line="240" w:lineRule="auto"/>
              <w:jc w:val="left"/>
            </w:pPr>
            <w:r>
              <w:rPr>
                <w:rFonts w:ascii="Arial" w:hAnsi="Arial"/>
                <w:b/>
                <w:color w:val="FFFFFF"/>
                <w:sz w:val="16"/>
              </w:rPr>
              <w:t>Dimension Group</w:t>
            </w:r>
          </w:p>
        </w:tc>
        <w:tc>
          <w:tcPr>
            <w:tcW w:type="dxa" w:w="7371"/>
            <w:shd w:fill="1F4E78"/>
            <w:tcMar>
              <w:top w:w="70" w:type="dxa"/>
              <w:start w:w="80" w:type="dxa"/>
              <w:bottom w:w="70" w:type="dxa"/>
              <w:end w:w="80" w:type="dxa"/>
            </w:tcMar>
          </w:tcPr>
          <w:p>
            <w:pPr>
              <w:spacing w:before="0" w:after="0" w:line="240" w:lineRule="auto"/>
              <w:jc w:val="left"/>
            </w:pPr>
            <w:r>
              <w:rPr>
                <w:rFonts w:ascii="Arial" w:hAnsi="Arial"/>
                <w:b/>
                <w:color w:val="FFFFFF"/>
                <w:sz w:val="16"/>
              </w:rPr>
              <w:t>Permitted Dimensions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Time</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Hour, day, week, month, quarter, year, day of week, time of day</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Provider</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Provider, industry, subscription tier, lifecycle status, cohort and organisational unit</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Service / Form</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Form, form category, form version, visibility type, connector link and workflow</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User / Audience</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Anonymous/new/returning classification, authorised organisation role, cohort; no sensitive profile attributes unless explicitly approved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Channel</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Mobile app, portal, API, connector, notification channel</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Technology</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Operating system, device class, app version, browser family, API version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Geography</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Country, province/region, municipality or approved geofence; minimum cohort thresholds apply</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Workflow</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Status, queue, assignment group, priority, age band, SLA state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Messaging</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Conversation type, linked form, provider group, response-time band</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Notification</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Notification type, template, channel, delivery provider, campaign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Connector</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Connector app, version, endpoint class, provider instance, result and error class</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Advertising</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Campaign, advertiser, placement, creative, audience segment, geography and device class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Reliability</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Service, endpoint, environment, status code class, dependency and deployment version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Acquisition</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Source, medium, campaign, referrer class, QR/direct-link identifier, landing page, entry form and first/last touch classification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Conversation Campaign</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Channel, message template, campaign, creative, trigger type, audience segment, delivery/read/click/reply state and opt-out state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Commerce</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Cart, order status, payment state, product, category, basket size, value band, currency, discount and refund state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Inventory and Sale-Out</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Product, location, inventory state, stock band, replenishment event, promotion, units sold and availability window</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Attribution</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Model, lookback window, touch position, conversion event, attributed channel, assisted/direct classification and confidence</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Predictive</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Model, version, prediction type, score band, confidence band, explanation class, drift state and observed outcome</w:t>
            </w:r>
          </w:p>
        </w:tc>
      </w:tr>
    </w:tbl>
    <w:p>
      <w:pPr>
        <w:spacing w:after="20"/>
      </w:pPr>
    </w:p>
    <w:p>
      <w:pPr>
        <w:pStyle w:val="Heading1"/>
        <w:keepNext/>
      </w:pPr>
      <w:r>
        <w:t>9. Time Frames, Filters, Segmentation and Drill-Down</w:t>
      </w:r>
    </w:p>
    <w:p>
      <w:pPr>
        <w:pStyle w:val="Heading2"/>
        <w:keepNext/>
      </w:pPr>
      <w:r>
        <w:t>9.1 Time-Frame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ANL-TIME-001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Every analytics view shall provide a visible time-frame selector.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ANL-TIME-002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selector shall support Today, Yesterday, Last 7 Days, Last 30 Days, Last 90 Days, Month to Date, Previous Month, Quarter to Date, Year to Date and Custom Range.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ANL-TIME-003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Custom ranges shall support inclusive start and end dates and, for operational views, optional start and end times.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ANL-TIME-004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store event timestamps in UTC and display them using the selected provider or user time zone.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ANL-TIME-005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selected time zone shall be displayed in the filter bar and exports.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ANL-TIME-006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automatically select a suitable trend granularity and allow the user to choose hour, day, week or month when supported by the range.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ANL-TIME-007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Users shall be able to compare the selected period to the immediately preceding equivalent period or to the same period in the prior year.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ANL-TIME-008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calculate and display absolute change and percentage change, and shall handle zero or missing baselines without misleading values.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ANL-TIME-009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Interactive data-retention limits and archived-data limits shall be configurable and visible to the user.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bl>
    <w:p>
      <w:pPr>
        <w:spacing w:after="20"/>
      </w:pPr>
    </w:p>
    <w:p>
      <w:pPr>
        <w:pStyle w:val="Heading2"/>
        <w:keepNext/>
      </w:pPr>
      <w:r>
        <w:t>9.2 Filter and Segment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ANL-FLT-001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views shall provide only filters that are valid for the current role, provider realm and metric.</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ANL-FLT-002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Filters shall include, where applicable, provider, organisational unit, form, form category, form version, service, workflow status, assignment group, channel, connector, campaign, placement, geography, device class and application version.</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ANL-FLT-003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Multiple values shall be selectable within a filter, with clear AND/OR semantics.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ANL-FLT-004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Applied filters shall be visible as removable chips or equivalent controls.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UI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ANL-FLT-005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 Reset Filters action shall return the view to its approved default state.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ANL-FLT-006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users shall be able to save named personal views; provider administrators may publish provider-wide views.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ANL-FLT-007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lulaFi Admin users shall be able to define provider cohorts using approved attributes such as onboarding period, industry, tier, geography and activity state.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ANL-FLT-008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Segments that could reveal fewer than the configured minimum number of users or events shall be suppressed or grouped.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bl>
    <w:p>
      <w:pPr>
        <w:spacing w:after="20"/>
      </w:pPr>
    </w:p>
    <w:p>
      <w:pPr>
        <w:pStyle w:val="Heading2"/>
        <w:keepNext/>
      </w:pPr>
      <w:r>
        <w:t>9.3 Drill-Down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ANL-DRL-001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KPI cards, trend points, chart categories and table rows shall be drillable where supporting detail exists.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ANL-DRL-002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Drill-down shall preserve the selected time frame, comparison and filters.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ANL-DRL-003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 breadcrumb shall show the drill path and allow return to any preceding level.</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ANL-DRL-004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drill-down shall follow the hierarchy Provider → Service/Form → Form Version or Workflow → Status/Step/Dimension → authorised record metadata.</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ANL-DRL-005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Global drill-down shall follow the hierarchy Platform → Cohort/Industry/Tier/Geography → Provider → Service/Component → approved event or record metadata.</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ANL-DRL-006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not expose form payloads, chat content, attachment content, OTP values, notification bodies or secrets through analytics drill-down.</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ANL-DRL-007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Record-level links shall open the operational record only when the user is authorised in the operational module.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ANL-DRL-008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Every drill-down table shall support sorting, paging, column selection and export subject to permission.</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ANL-DRL-009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a plain-language explanation of why a drill-down is unavailable, suppressed or incomplete.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bl>
    <w:p>
      <w:pPr>
        <w:spacing w:after="20"/>
      </w:pPr>
    </w:p>
    <w:p>
      <w:pPr>
        <w:pStyle w:val="Heading1"/>
        <w:keepNext/>
      </w:pPr>
      <w:r>
        <w:t>10. Provider Analytics Requirements</w:t>
      </w:r>
    </w:p>
    <w:p>
      <w:pPr>
        <w:pStyle w:val="Heading2"/>
        <w:keepNext/>
      </w:pPr>
      <w:r>
        <w:t>10.1 Provider Dashboard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ANL-PROV-001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Portal shall provide a provider analytics landing page available only to authorised provider users.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ANL-PROV-002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landing page shall default to the logged-on provider realm and shall not permit the provider filter to be changed to another provider.</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ANL-PROV-003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provider dashboard shall show configurable KPI cards for active users, form views, form starts, submissions, completion rate, turnaround time, open workload, SLA compliance, conversations and notification delivery.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ANL-PROV-004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administrators shall be able to configure which approved KPI cards and panels appear for provider roles.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ANL-PROV-005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dashboard shall show trend and comparison indicators for each applicable KPI.</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ANL-PROV-006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dashboard shall identify the most-used forms, highest-abandonment forms, oldest workflow items, highest-volume categories and connector issues.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ANL-PROV-007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dashboard shall show the data refresh time and any data-quality warnings.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ANL-PROV-008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analytics shall support organisational-unit and role-based filtering where the provider has configured an organisational structure.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Functional/security test</w:t>
            </w:r>
          </w:p>
        </w:tc>
      </w:tr>
    </w:tbl>
    <w:p>
      <w:pPr>
        <w:spacing w:after="20"/>
      </w:pPr>
    </w:p>
    <w:p>
      <w:pPr>
        <w:pStyle w:val="Heading2"/>
        <w:keepNext/>
      </w:pPr>
      <w:r>
        <w:t>10.2 Form and Submission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ANL-FRM-001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form discovery, views, starts, completions, successful submissions and abandonment as a funnel.</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ANL-FRM-002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funnel shall calculate conversion between each consecutive stage and overall completion rate.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ANL-FRM-003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completion and abandonment by form, category, version, device class, app version, channel, geography and time period, subject to privacy thresholds.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ANL-FRM-004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calculate median and percentile form completion times in addition to averages.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ANL-FRM-005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identify form steps and field identifiers associated with validation failures without storing submitted field values.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ANL-FRM-006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show submission success rate, duplicate rate, rejected rate and processing latency.</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ANL-FRM-007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compare form versions and annotate version release dates on trend charts.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ANL-FRM-008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distinguish user cancellation, timeout, application failure and inferred abandonment.</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ANL-FRM-009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inferred-abandonment time threshold shall be configurable and included in the metric definition.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bl>
    <w:p>
      <w:pPr>
        <w:spacing w:after="20"/>
      </w:pPr>
    </w:p>
    <w:p>
      <w:pPr>
        <w:pStyle w:val="Heading2"/>
        <w:keepNext/>
      </w:pPr>
      <w:r>
        <w:t>10.3 Workflow and Service Performance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ANL-WKF-001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submissions by workflow status, queue, assignment group, priority, age band and SLA state.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ANL-WKF-002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calculate average, median, p75, p90 and p95 turnaround time where volume is sufficient.</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ANL-WKF-003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calculate first-action time, first-response time, resolution time and closure time using governed start and stop events.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ANL-WKF-004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show backlog inflow, outflow and net change over time.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ANL-WKF-005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items approaching SLA breach and items already breached.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ANL-WKF-006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SLA compliance shall be calculated against the SLA policy applicable to each item, excluding approved pause periods where configured.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ANL-WKF-007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Users shall be able to drill from an age band or status to authorised submission metadata and then to the operational item.</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ANL-WKF-008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support comparison by service, form, organisational unit, team, connector and workflow version.</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bl>
    <w:p>
      <w:pPr>
        <w:spacing w:after="20"/>
      </w:pPr>
    </w:p>
    <w:p>
      <w:pPr>
        <w:pStyle w:val="Heading2"/>
        <w:keepNext/>
      </w:pPr>
      <w:r>
        <w:t>10.4 Messaging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ANL-CHT-001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active conversations, new conversations, messages sent, delivery success, failed messages and closed conversations.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ANL-CHT-002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calculate conversation first-response time and response-time percentiles.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ANL-CHT-003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conversations with no provider response within a configured threshold.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ANL-CHT-004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distinguish point-to-point, group, provider-level, form-level and connector-originated conversations.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ANL-CHT-005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Messaging analytics shall not ingest or expose message content.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ANL-CHT-006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Users shall be able to compare messaging engagement and response performance by linked form, service, organisation unit and period.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bl>
    <w:p>
      <w:pPr>
        <w:spacing w:after="20"/>
      </w:pPr>
    </w:p>
    <w:p>
      <w:pPr>
        <w:pStyle w:val="Heading2"/>
        <w:keepNext/>
      </w:pPr>
      <w:r>
        <w:t>10.5 Notification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ANL-NTF-001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notifications queued, sent, delivered, failed, opened and actioned.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ANL-NTF-002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Delivery rate, failure rate, open rate and action rate shall use explicitly displayed denominators.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ANL-NTF-003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notification performance by type, channel, template, campaign, provider, delivery service and failure reason class.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ANL-NTF-004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distinguish OTP, message, workflow, provider broadcast and system notifications.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ANL-NTF-005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not store OTP values or notification message bodies in analytics.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bl>
    <w:p>
      <w:pPr>
        <w:spacing w:after="20"/>
      </w:pPr>
    </w:p>
    <w:p>
      <w:pPr>
        <w:pStyle w:val="Heading2"/>
        <w:keepNext/>
      </w:pPr>
      <w:r>
        <w:t>10.6 Search and Discovery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ANL-SRC-001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search volume, unique search users, result selection rate, no-result rate and time to selection.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ANL-SRC-002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Search terms shall be normalised and protected against capture of personal or sensitive data.</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ANL-SRC-003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Provider analytics shall show provider and form discovery paths, including browse, search, QR code, direct link and notification entry where 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ANL-SRC-004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show popular categories and forms and identify search queries with no relevant result, subject to minimum-volume thresholds.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bl>
    <w:p>
      <w:pPr>
        <w:spacing w:after="20"/>
      </w:pPr>
    </w:p>
    <w:p>
      <w:pPr>
        <w:pStyle w:val="Heading2"/>
        <w:keepNext/>
      </w:pPr>
      <w:r>
        <w:t>10.7 Connector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ANL-CON-001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connector installations, active instances, request volume, success rate, failure rate, timeout rate and latency percentiles.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ANL-CON-002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users shall see only connector instances provisioned to their provider realm.</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ANL-CON-003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break down connector performance by connector app, version, endpoint class, form linkage and error class.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ANL-CON-004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display connector usage units used for billing where the provider has the relevant commercial permission.</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ANL-CON-005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Connector errors shall expose governed codes and correlation IDs, not credentials, payloads or secrets.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ANL-CON-006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identify connector degradation relative to a configured baseline or SLO.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bl>
    <w:p>
      <w:pPr>
        <w:pStyle w:val="Heading2"/>
      </w:pPr>
      <w:r>
        <w:t>10.8 Conversational and Marketing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campaign messages queued, sent, delivered, read, clicked, replied to, failed and opted out where the channel supports the event.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calculate delivery, read, click-through, reply, conversion and opt-out rates using explicit denominators.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analytics shall be segmentable by channel, campaign, template, creative, trigger, audience, form, product, geography, device and period subject to privacy thresholds.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monitor conversation volume, first response, handling time, unresolved conversations and agent or team response latency.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calculate chat-to-form, chat-to-order, chat-to-sale and chat-to-resolution conversion rates where qualifying outcome events are 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Conversational analytics shall not ingest message bodies; campaign links and replies shall be represented by governed event metadata and pseudonymous identifiers.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approved trigger types including replenishment, back-in-stock, service reminder, VIP promotion, status update and abandonment recovery.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ANL-MKT-008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channel cost and conversation charge units where supplied by the channel or billing service.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Integration test</w:t>
            </w:r>
          </w:p>
        </w:tc>
      </w:tr>
    </w:tbl>
    <w:p>
      <w:pPr>
        <w:pStyle w:val="Heading2"/>
      </w:pPr>
      <w:r>
        <w:t>10.9 Commerce, Cart and Revenue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product views, selections, carts created, checkout starts, orders placed, paid orders, cancellations, refunds and revenue.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provide cart and checkout funnels with stage conversion, abandonment and time-to-next-stage metrics.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identify eligible abandoned carts or journeys and measure recovery messages, recovered orders, recovered revenue, cost and opt-outs.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shall be reportable by product, category, form, campaign, channel, acquisition source, conversation, provider unit, geography and period.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distinguish gross revenue, discounts, refunds, taxes where supplied, net revenue and unattributed revenue.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Order and revenue analytics shall reconcile to provider commerce or billing control totals and disclose coverage and variance.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Reconciliation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average order value, repeat purchase, revenue per user, revenue per conversation and product contribution metrics.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ANL-COM-008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not expose payment card data, bank account details or unrestricted order-level personal information.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Security/privacy test</w:t>
            </w:r>
          </w:p>
        </w:tc>
      </w:tr>
    </w:tbl>
    <w:p>
      <w:pPr>
        <w:pStyle w:val="Heading2"/>
      </w:pPr>
      <w:r>
        <w:t>10.10 Traffic Acquisition and Full-Funnel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classify acquisition by source, medium, campaign, referral, QR code, direct link, search, notification, connector and organic/direct entry.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provide first-touch, last-touch and approved multi-touch attribution views with model and lookback window displayed.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full-funnel progression from acquisition or discovery through engagement, form or cart stages, submission or purchase and return engagement.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calculate conversion, cost per acquisition, attributed revenue and return on campaign spend when cost data is 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report assisted conversions and unattributed conversions separately from directly attributed conversions.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Users shall be able to compare funnel and revenue outcomes by browser family, device class, application version, product, form, channel and acquisition source.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ANL-ACQ-007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Attribution recalculation shall be versioned and auditable when late events, refunds or model changes alter credited outcomes.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Audit test</w:t>
            </w:r>
          </w:p>
        </w:tc>
      </w:tr>
    </w:tbl>
    <w:p>
      <w:pPr>
        <w:pStyle w:val="Heading2"/>
      </w:pPr>
      <w:r>
        <w:t>10.11 Predictive Insights and Revenue Growth Management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governed predictions for purchase or conversion probability, churn risk, expected value, demand, workload and anomaly detection where an approved model exists.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Functional/model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Every predictive result shall display model purpose, version, score or band, confidence or uncertainty, generated time, valid-to time and limitations.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provide a human-readable explanation or contributing-factor class appropriate to the model and user role.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Model governance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Predictions shall be compared with observed outcomes to measure calibration, precision, recall, lift or other approved model-quality measures.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Model validation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monitor model drift, feature availability, data freshness and prediction coverage and shall suppress unreliable results.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Monitoring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growth views shall combine sale-out, inventory status, product interest, acquisition, campaign, conversation and revenue indicators.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identify opportunities such as high demand with low stock, back-in-stock audiences, high-value abandonment and churn-risk segments subject to permission and consent.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ANL-AI-008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Predictive outputs shall not automatically determine eligibility, pricing, credit, legal rights or other high-impact outcomes without a separately approved decision system and human oversight.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Governance test</w:t>
            </w:r>
          </w:p>
        </w:tc>
      </w:tr>
    </w:tbl>
    <w:p>
      <w:pPr>
        <w:spacing w:after="20"/>
      </w:pPr>
    </w:p>
    <w:p>
      <w:pPr>
        <w:pStyle w:val="Heading1"/>
        <w:keepNext/>
      </w:pPr>
      <w:r>
        <w:t>11. Global lulaFi Admin Analytics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Administration interface shall provide a global analytics landing page for authorised lulaFi Admin users.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ANL-ADM-002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global dashboard shall show active providers, new providers, provider activation rate, active users, new users, form activity, submissions, conversations, notification delivery, connector usage, advertising activity and platform reliability.</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comparison of provider cohorts by industry, tier, onboarding period, geography, activity status and approved feature adoption.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ANL-ADM-004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Cross-provider views shall use aggregate values and shall suppress small cohorts according to configurable privacy thresholds.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Authorised global users shall be able to drill from a cohort to provider list and then to provider detail.</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ANL-ADM-006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identify inactive, declining, rapidly growing and high-error providers using transparent configurable rules.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global dashboard shall provide platform-wide form funnel, workflow, messaging, notification, connector and advertising summaries.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ANL-ADM-008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show platform capacity and reliability indicators including traffic, latency, errors, availability, saturation, queue lag and incident state.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show analytics-pipeline health, data freshness, rejected-event rate and reconciliation status.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ANL-ADM-010</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allow global users to switch between production, staging and test only when authorised, and the environment shall always be prominently labelled.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Security/UI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provider-level targets and global target ranges for selected KPIs.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ANL-ADM-012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Provider rankings shall not be exposed outside authorised Admin roles and shall include metric context and volume to avoid misleading comparisons.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global dashboard shall provide aggregated conversational campaign, acquisition funnel, commerce, attributed revenue, cart recovery and product or inventory summaries where data is 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Global revenue and commerce views shall separate provider-reported values, estimated values, attributed values and unavailable data.</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ANL-ADM-015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Authorised Admin users shall be able to compare channel, campaign, connector, industry and provider-cohort conversion and revenue performance subject to commercial confidentiality and privacy thresholds.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ANL-ADM-016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provide global model inventory, deployment, quality, drift, prediction coverage and retirement status to authorised model-governance users.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Model governance test</w:t>
            </w:r>
          </w:p>
        </w:tc>
      </w:tr>
    </w:tbl>
    <w:p>
      <w:pPr>
        <w:spacing w:after="20"/>
      </w:pPr>
    </w:p>
    <w:p>
      <w:pPr>
        <w:pStyle w:val="Heading2"/>
        <w:keepNext/>
      </w:pPr>
      <w:r>
        <w:t>11.1 Platform Reliability and Operational Analytics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ANL-OPS-001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report the service-level indicators of availability, latency, traffic, errors and saturation for approved platform services.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ANL-OPS-002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Latency shall be available as median, p75, p90, p95 and p99 where sample size permits.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ANL-OPS-003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Error rates shall distinguish client errors, server errors, dependency failures, timeouts and rejected requests.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ANL-OPS-004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Availability shall be calculated from governed successful-service criteria and displayed against the relevant service-level objective.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ANL-OPS-005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SLO attainment and error-budget consumption for configured services.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ANL-OPS-006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Operational trends shall be annotatable with deployments, incidents and configuration changes.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ANL-OPS-007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analytics UI shall link to approved traces or log searches using correlation IDs where the user has operational access.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Integration/security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ANL-OPS-008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Operational analytics shall not expose secrets, access tokens, OTPs, personal data or message/form content.</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bl>
    <w:p>
      <w:pPr>
        <w:spacing w:after="20"/>
      </w:pPr>
    </w:p>
    <w:p>
      <w:pPr>
        <w:pStyle w:val="Heading1"/>
        <w:keepNext/>
      </w:pPr>
      <w:r>
        <w:t>12. KPI Framework and Metric Catalogue</w:t>
      </w:r>
    </w:p>
    <w:p>
      <w:pPr>
        <w:pStyle w:val="Heading2"/>
        <w:keepNext/>
      </w:pPr>
      <w:r>
        <w:t>12.1 Metric Governance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ANL-KPI-001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Every metric shall have a unique identifier, name, business definition, formula, unit, owner, source events, dimensions, exclusions, refresh frequency, access classification and version.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Catalogue 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ANL-KPI-002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Metric definitions shall be accessible from the dashboard through an information control or metric glossary.</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UI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ANL-KPI-003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 metric definition change shall create a new version and effective date rather than silently rewriting historical meaning.</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Audit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ANL-KPI-004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Where a definition change affects comparability, the dashboard shall show a visible annotation.</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ANL-KPI-005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Rates and percentages shall display or disclose their numerator and denominator.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ANL-KPI-006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Averages shall be supplemented by percentiles for skewed duration measures where practical.</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ANL-KPI-007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null, unavailable, suppressed and zero as distinct states.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ANL-KPI-008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Metrics shall include data freshness and quality status.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ANL-KPI-009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Metric calculations shall be reproducible from retained source events or governed aggregates for the configured audit period.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Reconciliation test</w:t>
            </w:r>
          </w:p>
        </w:tc>
      </w:tr>
    </w:tbl>
    <w:p>
      <w:pPr>
        <w:spacing w:after="20"/>
      </w:pPr>
    </w:p>
    <w:p>
      <w:pPr>
        <w:pStyle w:val="Heading2"/>
        <w:keepNext/>
      </w:pPr>
      <w:r>
        <w:t>12.2 Core KPI Catalogue</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963"/>
            <w:shd w:fill="1F4E78"/>
            <w:tcMar>
              <w:top w:w="70" w:type="dxa"/>
              <w:start w:w="80" w:type="dxa"/>
              <w:bottom w:w="70" w:type="dxa"/>
              <w:end w:w="80" w:type="dxa"/>
            </w:tcMar>
          </w:tcPr>
          <w:p>
            <w:pPr>
              <w:spacing w:before="0" w:after="0" w:line="240" w:lineRule="auto"/>
              <w:jc w:val="left"/>
            </w:pPr>
            <w:r>
              <w:rPr>
                <w:rFonts w:ascii="Arial" w:hAnsi="Arial"/>
                <w:b/>
                <w:color w:val="FFFFFF"/>
                <w:sz w:val="14"/>
              </w:rPr>
              <w:t>ID</w:t>
            </w:r>
          </w:p>
        </w:tc>
        <w:tc>
          <w:tcPr>
            <w:tcW w:type="dxa" w:w="2097"/>
            <w:shd w:fill="1F4E78"/>
            <w:tcMar>
              <w:top w:w="70" w:type="dxa"/>
              <w:start w:w="80" w:type="dxa"/>
              <w:bottom w:w="70" w:type="dxa"/>
              <w:end w:w="80" w:type="dxa"/>
            </w:tcMar>
          </w:tcPr>
          <w:p>
            <w:pPr>
              <w:spacing w:before="0" w:after="0" w:line="240" w:lineRule="auto"/>
              <w:jc w:val="left"/>
            </w:pPr>
            <w:r>
              <w:rPr>
                <w:rFonts w:ascii="Arial" w:hAnsi="Arial"/>
                <w:b/>
                <w:color w:val="FFFFFF"/>
                <w:sz w:val="14"/>
              </w:rPr>
              <w:t>Metric</w:t>
            </w:r>
          </w:p>
        </w:tc>
        <w:tc>
          <w:tcPr>
            <w:tcW w:type="dxa" w:w="3628"/>
            <w:shd w:fill="1F4E78"/>
            <w:tcMar>
              <w:top w:w="70" w:type="dxa"/>
              <w:start w:w="80" w:type="dxa"/>
              <w:bottom w:w="70" w:type="dxa"/>
              <w:end w:w="80" w:type="dxa"/>
            </w:tcMar>
          </w:tcPr>
          <w:p>
            <w:pPr>
              <w:spacing w:before="0" w:after="0" w:line="240" w:lineRule="auto"/>
              <w:jc w:val="left"/>
            </w:pPr>
            <w:r>
              <w:rPr>
                <w:rFonts w:ascii="Arial" w:hAnsi="Arial"/>
                <w:b/>
                <w:color w:val="FFFFFF"/>
                <w:sz w:val="14"/>
              </w:rPr>
              <w:t>Definition</w:t>
            </w:r>
          </w:p>
        </w:tc>
        <w:tc>
          <w:tcPr>
            <w:tcW w:type="dxa" w:w="2154"/>
            <w:shd w:fill="1F4E78"/>
            <w:tcMar>
              <w:top w:w="70" w:type="dxa"/>
              <w:start w:w="80" w:type="dxa"/>
              <w:bottom w:w="70" w:type="dxa"/>
              <w:end w:w="80" w:type="dxa"/>
            </w:tcMar>
          </w:tcPr>
          <w:p>
            <w:pPr>
              <w:spacing w:before="0" w:after="0" w:line="240" w:lineRule="auto"/>
              <w:jc w:val="left"/>
            </w:pPr>
            <w:r>
              <w:rPr>
                <w:rFonts w:ascii="Arial" w:hAnsi="Arial"/>
                <w:b/>
                <w:color w:val="FFFFFF"/>
                <w:sz w:val="14"/>
              </w:rPr>
              <w:t>Formula / Method</w:t>
            </w:r>
          </w:p>
        </w:tc>
        <w:tc>
          <w:tcPr>
            <w:tcW w:type="dxa" w:w="1587"/>
            <w:shd w:fill="1F4E78"/>
            <w:tcMar>
              <w:top w:w="70" w:type="dxa"/>
              <w:start w:w="80" w:type="dxa"/>
              <w:bottom w:w="70" w:type="dxa"/>
              <w:end w:w="80" w:type="dxa"/>
            </w:tcMar>
          </w:tcPr>
          <w:p>
            <w:pPr>
              <w:spacing w:before="0" w:after="0" w:line="240" w:lineRule="auto"/>
              <w:jc w:val="left"/>
            </w:pPr>
            <w:r>
              <w:rPr>
                <w:rFonts w:ascii="Arial" w:hAnsi="Arial"/>
                <w:b/>
                <w:color w:val="FFFFFF"/>
                <w:sz w:val="14"/>
              </w:rPr>
              <w:t>Scope</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KPI-001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Monthly Active Users (MAU)</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Distinct authorised end users with at least one qualifying engagement event in the month.</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Distinct actor_id_token</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KPI-002</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Daily Active Users (DAU)</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Distinct authorised end users with a qualifying engagement event in the day.</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Distinct actor_id_token</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KPI-003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Stickiness</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Average DAU divided by MAU for the selected month.</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Avg DAU ÷ MAU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KPI-004</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New User Registrations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Users whose registration completed in the selected period.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Count registration.completed</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Global; Provider only when attributable</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KPI-005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Registration Completion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Completed registrations divided by registration starts.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Completed ÷ Started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KPI-006</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Active Providers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Providers with at least one qualifying provider or end-user activity in the period.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Distinct provider_id</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KPI-007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Provider Activation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Providers reaching the configured activation milestone divided by providers onboarded.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Activated ÷ Onboarded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KPI-008</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Active Forms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Published forms with at least one view, start or submission in the period.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Distinct form_id</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KPI-009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Form Views</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Valid form.viewed events after bot/internal filtering.</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Count valid views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KPI-010</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Form Starts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Distinct form sessions with form.started.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Distinct form_session_id</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KPI-011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Form Completions</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Form sessions reaching client-side completion before submission.</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Count form.completed</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KPI-012</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Successful Submissions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Submissions accepted by the API and workflow.</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Count form.submitted result=success</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KPI-013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Start-to-Submission Conversion</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Successful submissions divided by form starts.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Successful submissions ÷ starts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KPI-014</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View-to-Submission Conversion</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Successful submissions divided by valid form views.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Successful submissions ÷ views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KPI-015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Abandonment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Started form sessions that do not submit within the governed threshold.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Abandoned starts ÷ starts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KPI-016</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Median Completion Time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Median elapsed time from form.started to successful submission.</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Median(duration)</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KPI-017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Validation Failure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Form sessions with one or more validation failures divided by form starts.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Sessions with validation failure ÷ starts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KPI-018</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Submission Success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Successful submission attempts divided by all valid submission attempts.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Success ÷ attempts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KPI-019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Duplicate Submission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Submissions classified as duplicate divided by accepted attempts.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Duplicates ÷ accepted attempts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KPI-020</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Open Workload</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Submissions in non-terminal workflow states at the period end.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Point-in-time count</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KPI-021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Backlog Net Change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Items entering backlog minus items leaving backlog in the period.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Inflow − outflow</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KPI-022</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Median Turnaround Time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Median time from workflow start to resolved/closed state.</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Median(resolution time)</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KPI-023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SLA Compliance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items completed within applicable SLA divided by eligible completed items.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Within SLA ÷ eligible completed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KPI-024</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SLA Breach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Items breaching SLA divided by items with an applicable SLA.</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Breached ÷ SLA-applicable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KPI-025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First Response Time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Elapsed time from conversation or request creation to first qualifying provider response.</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Median and percentiles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KPI-026</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Active Conversations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Distinct conversations with a message or status event in the period.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Distinct conversation_id</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KPI-027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Message Delivery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Messages delivered divided by messages accepted for delivery.</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Delivered ÷ accepted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KPI-028</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Unanswered Conversation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Conversations without provider response by threshold divided by eligible conversations.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Unanswered ÷ eligible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KPI-029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Notification Delivery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Delivered notifications divided by sent notifications.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Delivered ÷ sent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KPI-030</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Notification Open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Opened notifications divided by delivered notifications where open tracking is supported.</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Opened ÷ delivered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KPI-031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Notification Action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Notifications followed by the governed action divided by delivered notifications.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Actioned ÷ delivered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KPI-032</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Search Success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Searches followed by a result selection within the attribution window divided by searches.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Successful searches ÷ searches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KPI-033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No-Result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Searches returning no result divided by searches.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No-result searches ÷ searches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KPI-034</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Connector Request Success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Successful connector requests divided by completed connector requests.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Success ÷ completed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KPI-035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Connector p95 Latency</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95th percentile connector request duration.</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p95(duration_ms)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KPI-036</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Connector Usage Units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Governed billable or entitlement usage units recorded for connector services.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Sum usage units</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KPI-037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Valid Ad Impressions</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Ad impressions satisfying the configured valid-impression measurement rule after invalid-traffic filtering.</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Count valid impressions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KPI-038</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Viewable Ad Impressions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Valid impressions satisfying the configured viewability rule.</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Count viewable impressions</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KPI-039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Viewability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Viewable impressions divided by measurable valid impressions.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Viewable ÷ measurable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KPI-040</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Ad Click-Through Rate (CTR)</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Valid clickthroughs divided by valid impressions.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Valid clicks ÷ valid impressions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KPI-041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Ad 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Attributed conversions divided by valid clicks or viewable impressions, with attribution basis displayed.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Conversions ÷ attribution denominator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KPI-042</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Invalid Traffic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Impressions or clicks classified as invalid divided by measured activity.</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Invalid ÷ measured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Admin / Campaign</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KPI-043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Subscription Utilisation</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Usage consumed divided by entitled usage for the period.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Consumed ÷ entitlement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KPI-044</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API Availability</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Good service time or successful eligible requests divided by total eligible service time/requests.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Good ÷ eligible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KPI-045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API p95 Latency</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95th percentile eligible API request duration.</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p95(duration_ms)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KPI-046</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API Error Rate</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Failed eligible API requests divided by eligible requests.</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Errors ÷ eligible requests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KPI-047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Traffic</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requests or operations per unit time.</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Count ÷ time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KPI-048</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Saturation</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Resource or queue utilisation relative to configured capacity.</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Observed ÷ capacity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KPI-049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Mean Time to Restore (MTTR)</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Average elapsed time from incident start to service restoration.</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Mean(restore duration)</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KPI-050</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Analytics Data Freshness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Elapsed time between latest complete source period and metric availability.</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Now − latest complete event/aggregate</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Admin / Provider status</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Event Rejection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Rejected analytics events divided by received analytics events.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Rejected ÷ received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4"/>
              </w:rPr>
              <w:t>KPI-052</w:t>
            </w:r>
          </w:p>
        </w:tc>
        <w:tc>
          <w:tcPr>
            <w:tcW w:type="dxa" w:w="2097"/>
            <w:vAlign w:val="top"/>
            <w:tcMar>
              <w:top w:w="70" w:type="dxa"/>
              <w:start w:w="80" w:type="dxa"/>
              <w:bottom w:w="70" w:type="dxa"/>
              <w:end w:w="80" w:type="dxa"/>
            </w:tcMar>
            <w:shd w:fill="F7F9FB"/>
          </w:tcPr>
          <w:p>
            <w:pPr>
              <w:spacing w:before="0" w:after="0" w:line="240" w:lineRule="auto"/>
            </w:pPr>
            <w:r>
              <w:rPr>
                <w:rFonts w:ascii="Arial" w:hAnsi="Arial"/>
                <w:b w:val="0"/>
                <w:sz w:val="14"/>
              </w:rPr>
              <w:t>Event Completeness</w:t>
            </w:r>
          </w:p>
        </w:tc>
        <w:tc>
          <w:tcPr>
            <w:tcW w:type="dxa" w:w="3628"/>
            <w:vAlign w:val="top"/>
            <w:tcMar>
              <w:top w:w="70" w:type="dxa"/>
              <w:start w:w="80" w:type="dxa"/>
              <w:bottom w:w="70" w:type="dxa"/>
              <w:end w:w="80" w:type="dxa"/>
            </w:tcMar>
            <w:shd w:fill="F7F9FB"/>
          </w:tcPr>
          <w:p>
            <w:pPr>
              <w:spacing w:before="0" w:after="0" w:line="240" w:lineRule="auto"/>
            </w:pPr>
            <w:r>
              <w:rPr>
                <w:rFonts w:ascii="Arial" w:hAnsi="Arial"/>
                <w:b w:val="0"/>
                <w:sz w:val="14"/>
              </w:rPr>
              <w:t>Received required events divided by expected/reconciled events for a governed source.</w:t>
            </w:r>
          </w:p>
        </w:tc>
        <w:tc>
          <w:tcPr>
            <w:tcW w:type="dxa" w:w="2154"/>
            <w:vAlign w:val="top"/>
            <w:tcMar>
              <w:top w:w="70" w:type="dxa"/>
              <w:start w:w="80" w:type="dxa"/>
              <w:bottom w:w="70" w:type="dxa"/>
              <w:end w:w="80" w:type="dxa"/>
            </w:tcMar>
            <w:shd w:fill="F7F9FB"/>
          </w:tcPr>
          <w:p>
            <w:pPr>
              <w:spacing w:before="0" w:after="0" w:line="240" w:lineRule="auto"/>
            </w:pPr>
            <w:r>
              <w:rPr>
                <w:rFonts w:ascii="Arial" w:hAnsi="Arial"/>
                <w:b w:val="0"/>
                <w:sz w:val="14"/>
              </w:rPr>
              <w:t>Received ÷ expected × 100</w:t>
            </w:r>
          </w:p>
        </w:tc>
        <w:tc>
          <w:tcPr>
            <w:tcW w:type="dxa" w:w="1587"/>
            <w:vAlign w:val="top"/>
            <w:tcMar>
              <w:top w:w="70" w:type="dxa"/>
              <w:start w:w="80" w:type="dxa"/>
              <w:bottom w:w="70" w:type="dxa"/>
              <w:end w:w="80" w:type="dxa"/>
            </w:tcMar>
            <w:shd w:fill="F7F9FB"/>
          </w:tcPr>
          <w:p>
            <w:pPr>
              <w:spacing w:before="0" w:after="0" w:line="240" w:lineRule="auto"/>
            </w:pPr>
            <w:r>
              <w:rPr>
                <w:rFonts w:ascii="Arial" w:hAnsi="Arial"/>
                <w:b w:val="0"/>
                <w:sz w:val="14"/>
              </w:rPr>
              <w:t>Admin</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Metric Reconciliation Variance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Difference between analytics result and governed source control total.</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Analytics − control total</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Admin / Audit</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KPI-054</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Message Read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Channel messages marked read divided by delivered messages where read receipts are supported.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Read ÷ delivered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Campaign Link Click-Through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Valid campaign link clicks divided by delivered messages or valid impressions, with denominator displayed.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Valid clicks ÷ denominator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KPI-056</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Campaign Reply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conversations receiving a user reply divided by delivered campaign messages.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Replied ÷ delivered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Conversation-to-Conversion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conversations followed by the governed conversion event within the attribution window.</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Converted conversations ÷ eligible conversations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KPI-058</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Chat-to-Sale 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sales conversations resulting in a paid order.</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Paid-order conversations ÷ eligible sales conversations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KPI-059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Conversation-Attributed Revenue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Revenue credited to eligible conversation touchpoints by the selected attribution model.</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Sum attributed revenue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KPI-060</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Revenue per Conversation</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Conversation-attributed revenue divided by eligible conversations.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Attributed revenue ÷ eligible conversations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Campaign ROI</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Incremental or attributed net benefit less campaign cost, divided by campaign cost.</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(Benefit − cost) ÷ cost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KPI-062</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Campaign Revenue Lift</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Difference in revenue between an approved exposed group and baseline or control, subject to methodology.</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Observed revenue − baseline revenue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Cart Abandonment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Carts or checkout journeys not reaching the governed completion state within the threshold.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Abandoned carts ÷ eligible carts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KPI-064</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Cart Recovery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Abandoned carts that later convert within the recovery window.</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Recovered carts ÷ eligible abandoned carts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Recovered Revenue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Revenue from orders linked to eligible abandoned carts and approved recovery interactions.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Sum recovered order revenue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KPI-066</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Recovery Campaign ROI</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Recovered net revenue or benefit less recovery cost, divided by recovery cost.</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(Recovered benefit − cost) ÷ cost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Acquisition Sessions</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Distinct sessions with an approved acquisition source or entry event.</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Distinct journey/session token</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KPI-068</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Source 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Conversions attributed to an acquisition source divided by eligible sourced sessions.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Conversions ÷ sourced sessions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KPI-069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Cost per Acquisition</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Approved campaign or channel cost divided by attributed acquisitions or conversions.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Cost ÷ acquisitions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KPI-070</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Attributed Revenue by Source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Revenue credited to source, medium or campaign by the selected attribution model.</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Sum attributed revenue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Assisted 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Conversions in which a touchpoint assisted but did not receive direct or final credit.</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Assisted conversions ÷ eligible conversions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KPI-072</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Funnel Step 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Journeys advancing from one governed stage to the next.</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Next-stage journeys ÷ current-stage journeys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Gross Revenue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Gross monetary value of governed completed revenue events before approved deductions.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Sum gross revenue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KPI-074</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Net Revenue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Gross revenue less discounts, refunds and other approved deductions.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Gross − approved deductions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Average Order Value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Net or gross order revenue divided by completed orders, with basis displayed.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Revenue ÷ completed orders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KPI-076</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Revenue per Active User</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Revenue divided by active users in the selected period.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Revenue ÷ active users</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Repeat Purchase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Customers with more than one completed purchase in the cohort window divided by purchasing customers.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Repeat purchasers ÷ purchasers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KPI-078</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Estimated Customer Lifetime Value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Governed estimate of expected customer value over a stated horizon.</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Approved model output</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KPI-079</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Back-in-Stock Conversion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back-in-stock notifications followed by purchase within the attribution window.</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Attributed purchases ÷ delivered notifications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Campaign / Provider</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KPI-080</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Inventory Availability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Time or observations in an available state divided by total measured time or observations.</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Available ÷ measured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KPI-081</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Sale-Out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Units sold or consumed relative to available units over the selected period.</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Units sold ÷ available units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KPI-082</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Purchase / Conversion Probability</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Model-estimated probability of the governed purchase or conversion outcome.</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Versioned model score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KPI-083</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Churn Risk Score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Model-estimated probability or risk band for governed disengagement or churn.</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Versioned model score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KPI-084</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Prediction Lift</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Improvement in outcome rate for a scored target segment relative to baseline.</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Target outcome rate ÷ baseline rate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KPI-085</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Prediction Coverage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Eligible population for which a valid prediction is available.</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Valid predictions ÷ eligible population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KPI-086</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Model Calibration Error</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Difference between predicted probabilities and observed outcome frequencies using the approved measure.</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Approved calibration measure</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Admin / Model Governance</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4"/>
              </w:rPr>
              <w:t>KPI-087</w:t>
            </w:r>
          </w:p>
        </w:tc>
        <w:tc>
          <w:tcPr>
            <w:tcW w:type="dxa" w:w="2097"/>
            <w:vAlign w:val="top"/>
            <w:tcMar>
              <w:top w:w="70" w:type="dxa"/>
              <w:start w:w="80" w:type="dxa"/>
              <w:bottom w:w="70" w:type="dxa"/>
              <w:end w:w="80" w:type="dxa"/>
            </w:tcMar>
          </w:tcPr>
          <w:p>
            <w:pPr>
              <w:spacing w:before="0" w:after="0" w:line="240" w:lineRule="auto"/>
            </w:pPr>
            <w:r>
              <w:rPr>
                <w:rFonts w:ascii="Arial" w:hAnsi="Arial"/>
                <w:b w:val="0"/>
                <w:sz w:val="14"/>
              </w:rPr>
              <w:t>Unattributed Revenue Rate</w:t>
            </w:r>
          </w:p>
        </w:tc>
        <w:tc>
          <w:tcPr>
            <w:tcW w:type="dxa" w:w="3628"/>
            <w:vAlign w:val="top"/>
            <w:tcMar>
              <w:top w:w="70" w:type="dxa"/>
              <w:start w:w="80" w:type="dxa"/>
              <w:bottom w:w="70" w:type="dxa"/>
              <w:end w:w="80" w:type="dxa"/>
            </w:tcMar>
          </w:tcPr>
          <w:p>
            <w:pPr>
              <w:spacing w:before="0" w:after="0" w:line="240" w:lineRule="auto"/>
            </w:pPr>
            <w:r>
              <w:rPr>
                <w:rFonts w:ascii="Arial" w:hAnsi="Arial"/>
                <w:b w:val="0"/>
                <w:sz w:val="14"/>
              </w:rPr>
              <w:t>Revenue not credited to an eligible touchpoint under the selected model.</w:t>
            </w:r>
          </w:p>
        </w:tc>
        <w:tc>
          <w:tcPr>
            <w:tcW w:type="dxa" w:w="2154"/>
            <w:vAlign w:val="top"/>
            <w:tcMar>
              <w:top w:w="70" w:type="dxa"/>
              <w:start w:w="80" w:type="dxa"/>
              <w:bottom w:w="70" w:type="dxa"/>
              <w:end w:w="80" w:type="dxa"/>
            </w:tcMar>
          </w:tcPr>
          <w:p>
            <w:pPr>
              <w:spacing w:before="0" w:after="0" w:line="240" w:lineRule="auto"/>
            </w:pPr>
            <w:r>
              <w:rPr>
                <w:rFonts w:ascii="Arial" w:hAnsi="Arial"/>
                <w:b w:val="0"/>
                <w:sz w:val="14"/>
              </w:rPr>
              <w:t>Unattributed revenue ÷ total revenue × 100</w:t>
            </w:r>
          </w:p>
        </w:tc>
        <w:tc>
          <w:tcPr>
            <w:tcW w:type="dxa" w:w="1587"/>
            <w:vAlign w:val="top"/>
            <w:tcMar>
              <w:top w:w="70" w:type="dxa"/>
              <w:start w:w="80" w:type="dxa"/>
              <w:bottom w:w="70" w:type="dxa"/>
              <w:end w:w="80" w:type="dxa"/>
            </w:tcMar>
          </w:tcPr>
          <w:p>
            <w:pPr>
              <w:spacing w:before="0" w:after="0" w:line="240" w:lineRule="auto"/>
            </w:pPr>
            <w:r>
              <w:rPr>
                <w:rFonts w:ascii="Arial" w:hAnsi="Arial"/>
                <w:b w:val="0"/>
                <w:sz w:val="14"/>
              </w:rPr>
              <w:t>Provider / Global</w:t>
            </w:r>
          </w:p>
        </w:tc>
      </w:tr>
    </w:tbl>
    <w:p>
      <w:pPr>
        <w:spacing w:after="20"/>
      </w:pPr>
    </w:p>
    <w:p>
      <w:pPr>
        <w:pStyle w:val="Heading1"/>
        <w:keepNext/>
      </w:pPr>
      <w:r>
        <w:t>13. Advertising and Campaign Analytics</w:t>
      </w:r>
    </w:p>
    <w:p>
      <w:pPr>
        <w:spacing w:before="0" w:after="120" w:line="259" w:lineRule="auto"/>
      </w:pPr>
      <w:r>
        <w:rPr>
          <w:rFonts w:ascii="Arial" w:hAnsi="Arial"/>
          <w:i w:val="0"/>
          <w:sz w:val="20"/>
        </w:rPr>
        <w:t>Advertising analytics shall use governed definitions for impressions, viewability, clicks and invalid traffic. The implementation shall document the measurement trigger for each placement and shall distinguish rendered, measurable, viewable and invalid activity. Where a metric cannot comply with the configured standard because of technical limitations, the limitation shall be disclosed in the metric definition and report.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report campaigns by advertiser, provider, placement, creative, audience segment, geography, device class, start/end date and status.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ANL-ADV-002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distinguish ad requests, rendered impressions, measurable impressions, viewable impressions, clicks and conversions.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Impression and click counts shall exclude detected general invalid traffic and shall report the excluded volume.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ANL-ADV-004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calculate viewability rate, click-through rate and conversion rate using governed denominators.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cost, charge and revenue indicators appropriate to one-off, duration, usage and sponsored-placement models.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ANL-ADV-006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Where provider revenue sharing applies, authorised users shall see gross revenue, provider share, lulaFi share and adjustment status.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display campaign pacing against booked impressions, budget, duration or other contracted unit.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ANL-ADV-008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Campaign drill-down shall preserve privacy and shall not reveal an individual user’s advertising profile.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Attribution windows and conversion-event definitions shall be configurable and displayed with conversion metrics.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ANL-ADV-010</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Advertising analytics shall support traffic-source, landing, form, conversation, cart, order and revenue outcomes within a governed full-funnel view.</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cost, conversation charges, media spend and attributed revenue shall be captured in an explicit currency and normalised only using an approved exchange-rate source.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ANL-ADV-012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first-touch, last-touch, linear, position-based or other approved attribution models and shall identify the active model.</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analytics shall display delivery, read, click, reply, conversion, revenue, ROI and opt-out metrics when the required source events are 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ANL-ADV-014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distinguish observed conversion, attributed conversion, assisted conversion, predicted conversion and incremental lift.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bl>
    <w:p>
      <w:pPr>
        <w:pStyle w:val="Heading2"/>
      </w:pPr>
      <w:r>
        <w:t>13.1 Conversational Campaign Measurement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ANL-CAM-001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correlate channel delivery, read, click and reply events to the originating campaign message using pseudonymous channel identifiers.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Integration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ANL-CAM-002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Channel capabilities and unavailable measurements shall be displayed so unsupported read or click metrics are not interpreted as zero.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ANL-CAM-003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comparison shall support trigger type, template, creative, audience, send time, channel and conversion event.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bl>
    <w:p>
      <w:pPr>
        <w:pStyle w:val="Heading2"/>
      </w:pPr>
      <w:r>
        <w:t>13.2 Revenue Attribution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ANL-ATR-001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attribution engine shall support a versioned conversion event, lookback window, eligibility rules, touchpoint rules and credit-allocation method.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ANL-ATR-002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Every attributed result shall disclose model, window, calculation time, data coverage and direct, assisted or unattributed status.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ANL-ATR-003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Refunds, cancellations, duplicate orders and late conversion events shall trigger governed adjustment or recalculation without silent historical rewriting.</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Data/audit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ANL-ATR-004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preserve original and adjusted attribution results for the configured audit period.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Audit test</w:t>
            </w:r>
          </w:p>
        </w:tc>
      </w:tr>
    </w:tbl>
    <w:p>
      <w:pPr>
        <w:pStyle w:val="Heading2"/>
      </w:pPr>
      <w:r>
        <w:t>13.3 Abandonment and Recovery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ANL-REC-001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define configurable abandonment thresholds for carts, forms and other governed journeys.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ANL-REC-002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Recovery eligibility shall consider consent, channel permission, frequency caps, suppression lists, recent conversion and provider rules.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ANL-REC-003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Recovery analytics shall distinguish organic recovery, campaign-assisted recovery and directly attributed recovery.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Calculation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ANL-REC-004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measure recovery cost, conversion, revenue, time to recovery and opt-out or complaint outcomes.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bl>
    <w:p>
      <w:pPr>
        <w:pStyle w:val="Heading2"/>
      </w:pPr>
      <w:r>
        <w:t>13.4 AI-Powered Insights and Optimisation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ANL-INS-001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surface model-generated insights as predictions or recommendations and shall not present them as observed facts.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UI/model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ANL-INS-002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Real-time or near-real-time recommendations shall include freshness, confidence, reason class and applicable scope.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ANL-INS-003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optimisation recommendations may suggest audience, timing, channel, creative or journey changes but shall require approval before execution unless an explicitly governed automation policy applies.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Governance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ANL-INS-004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Model monitoring shall include outcome feedback, calibration, drift, bias or segment-performance checks appropriate to the model purpose.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Model monitoring test</w:t>
            </w:r>
          </w:p>
        </w:tc>
      </w:tr>
    </w:tbl>
    <w:p>
      <w:pPr>
        <w:spacing w:after="20"/>
      </w:pPr>
    </w:p>
    <w:p>
      <w:pPr>
        <w:pStyle w:val="Heading1"/>
        <w:keepNext/>
      </w:pPr>
      <w:r>
        <w:t>14. Dashboard, Visualisation and User Experience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shall be accessible from an Analytics menu item in the Provider Portal and from a Global Analytics menu item in the lulaFi Administration interface.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ANL-UI-002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Each dashboard shall contain a title, scope indicator, time-frame selector, time-zone indicator, filter controls, refresh status and help/definition access.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UI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KPI cards shall display value, unit, comparison change, trend direction and status where applicable.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ANL-UI-004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Charts shall include titles, units, legends, accessible data labels or alternatives, and clear empty/error states.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UI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Colour shall not be the only method used to communicate status or change.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Accessibility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ANL-UI-006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Users shall be able to view chart data in a tabular form.</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Accessibility/functional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Dashboards shall adapt to desktop, tablet and supported mobile browser widths without loss of critical functionality.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Responsive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ANL-UI-008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interface shall show loading, partial-data, stale-data, unavailable-data and permission-denied states distinctly.</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Tooltips shall explain values without requiring hover-only interaction.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Accessibility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ANL-UI-010</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current filter state shall be shareable through a secure saved view or URL token that does not expose secrets or unauthorised identifiers.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Provider branding may be applied to provider analytics without obscuring lulaFi status, scope or accessibility controls.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ANL-UI-012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Marketing and revenue dashboards shall clearly separate volume, rate, cost, revenue, attributed revenue, predicted value and incremental lift.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Funnel visualisations shall display stage counts, conversion, abandonment, elapsed time and recoveries and shall provide an accessible table.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Accessibility/functional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Attribution views shall expose model, lookback window and unattributed share and shall allow authorised users to compare approved models.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ANL-UI-015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Predictive insight cards shall display score or band, confidence, model version, explanation, freshness and observed-outcome status where 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UI/model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ANL-UI-016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and currency values shall display currency and whether values are gross, net, estimated, attributed or converted.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inspection</w:t>
            </w:r>
          </w:p>
        </w:tc>
      </w:tr>
    </w:tbl>
    <w:p>
      <w:pPr>
        <w:spacing w:after="20"/>
      </w:pPr>
    </w:p>
    <w:p>
      <w:pPr>
        <w:pStyle w:val="Heading2"/>
        <w:keepNext/>
      </w:pPr>
      <w:r>
        <w:t>14.1 Provider Analytics Screen Layout</w:t>
      </w:r>
    </w:p>
    <w:p>
      <w:pPr>
        <w:jc w:val="center"/>
      </w:pPr>
      <w:r>
        <w:rPr>
          <w:rFonts w:ascii="Arial" w:hAnsi="Arial"/>
          <w:b/>
          <w:color w:val="17365D"/>
          <w:sz w:val="22"/>
        </w:rPr>
        <w:t>Conceptual Screen Layout – Provider Analytics</w:t>
      </w:r>
    </w:p>
    <w:tbl>
      <w:tblPr>
        <w:tblStyle w:val="TableGrid"/>
        <w:tblW w:type="auto" w:w="0"/>
        <w:jc w:val="center"/>
        <w:tblLayout w:type="fixed"/>
        <w:tblLook w:firstColumn="1" w:firstRow="1" w:lastColumn="0" w:lastRow="0" w:noHBand="0" w:noVBand="1" w:val="04A0"/>
      </w:tblPr>
      <w:tblGrid>
        <w:gridCol w:w="9752"/>
      </w:tblGrid>
      <w:tr>
        <w:trPr>
          <w:tblHeader/>
          <w:cantSplit/>
        </w:trPr>
        <w:tc>
          <w:tcPr>
            <w:tcW w:type="dxa" w:w="9922"/>
            <w:shd w:fill="17365D"/>
            <w:tcMar>
              <w:top w:w="100" w:type="dxa"/>
              <w:start w:w="120" w:type="dxa"/>
              <w:bottom w:w="100" w:type="dxa"/>
              <w:end w:w="120" w:type="dxa"/>
            </w:tcMar>
          </w:tcPr>
          <w:p>
            <w:pPr>
              <w:jc w:val="center"/>
            </w:pPr>
            <w:r>
              <w:rPr>
                <w:rFonts w:ascii="Arial" w:hAnsi="Arial"/>
                <w:b/>
                <w:color w:val="FFFFFF"/>
                <w:sz w:val="17"/>
              </w:rPr>
              <w:t>lulaFi Analytics  |  Provider: Acme Services (locked)  |  Last 30 Days  |  Compare: Previous Period  |  Filters  |  Export</w:t>
            </w:r>
          </w:p>
        </w:tc>
      </w:tr>
      <w:tr>
        <w:trPr>
          <w:cantSplit/>
        </w:trPr>
        <w:tc>
          <w:tcPr>
            <w:tcW w:type="dxa" w:w="9752"/>
            <w:tcMar>
              <w:top w:w="100" w:type="dxa"/>
              <w:start w:w="100" w:type="dxa"/>
              <w:bottom w:w="100" w:type="dxa"/>
              <w:end w:w="100" w:type="dxa"/>
            </w:tcMar>
          </w:tcPr>
          <w:p/>
          <w:tbl>
            <w:tblPr>
              <w:tblStyle w:val="TableGrid"/>
              <w:tblW w:type="auto" w:w="0"/>
              <w:tblLook w:firstColumn="1" w:firstRow="1" w:lastColumn="0" w:lastRow="0" w:noHBand="0" w:noVBand="1" w:val="04A0"/>
            </w:tblPr>
            <w:tblGrid>
              <w:gridCol w:w="2438"/>
              <w:gridCol w:w="2438"/>
              <w:gridCol w:w="2438"/>
              <w:gridCol w:w="2438"/>
            </w:tblGrid>
            <w:tr>
              <w:tc>
                <w:tcPr>
                  <w:tcW w:type="dxa" w:w="2438"/>
                  <w:shd w:fill="EAF3F8"/>
                  <w:tcMar>
                    <w:top w:w="90" w:type="dxa"/>
                    <w:start w:w="70" w:type="dxa"/>
                    <w:bottom w:w="90" w:type="dxa"/>
                    <w:end w:w="70" w:type="dxa"/>
                  </w:tcMar>
                </w:tcPr>
                <w:p>
                  <w:pPr>
                    <w:jc w:val="center"/>
                  </w:pPr>
                  <w:r>
                    <w:rPr>
                      <w:rFonts w:ascii="Arial" w:hAnsi="Arial"/>
                      <w:b/>
                      <w:color w:val="17365D"/>
                      <w:sz w:val="15"/>
                    </w:rPr>
                    <w:t>Active Users</w:t>
                    <w:br/>
                  </w:r>
                  <w:r>
                    <w:rPr>
                      <w:rFonts w:ascii="Arial" w:hAnsi="Arial"/>
                      <w:b/>
                      <w:color w:val="1F4E78"/>
                      <w:sz w:val="24"/>
                    </w:rPr>
                    <w:t>12 480</w:t>
                    <w:br/>
                  </w:r>
                  <w:r>
                    <w:rPr>
                      <w:rFonts w:ascii="Arial" w:hAnsi="Arial"/>
                      <w:color w:val="404040"/>
                      <w:sz w:val="14"/>
                    </w:rPr>
                    <w:t>▲ 8.2%</w:t>
                  </w:r>
                </w:p>
              </w:tc>
              <w:tc>
                <w:tcPr>
                  <w:tcW w:type="dxa" w:w="2438"/>
                  <w:shd w:fill="EAF3F8"/>
                  <w:tcMar>
                    <w:top w:w="90" w:type="dxa"/>
                    <w:start w:w="70" w:type="dxa"/>
                    <w:bottom w:w="90" w:type="dxa"/>
                    <w:end w:w="70" w:type="dxa"/>
                  </w:tcMar>
                </w:tcPr>
                <w:p>
                  <w:pPr>
                    <w:jc w:val="center"/>
                  </w:pPr>
                  <w:r>
                    <w:rPr>
                      <w:rFonts w:ascii="Arial" w:hAnsi="Arial"/>
                      <w:b/>
                      <w:color w:val="17365D"/>
                      <w:sz w:val="15"/>
                    </w:rPr>
                    <w:t>Submissions</w:t>
                    <w:br/>
                  </w:r>
                  <w:r>
                    <w:rPr>
                      <w:rFonts w:ascii="Arial" w:hAnsi="Arial"/>
                      <w:b/>
                      <w:color w:val="1F4E78"/>
                      <w:sz w:val="24"/>
                    </w:rPr>
                    <w:t>8 964</w:t>
                    <w:br/>
                  </w:r>
                  <w:r>
                    <w:rPr>
                      <w:rFonts w:ascii="Arial" w:hAnsi="Arial"/>
                      <w:color w:val="404040"/>
                      <w:sz w:val="14"/>
                    </w:rPr>
                    <w:t>▲ 5.1%</w:t>
                  </w:r>
                </w:p>
              </w:tc>
              <w:tc>
                <w:tcPr>
                  <w:tcW w:type="dxa" w:w="2438"/>
                  <w:shd w:fill="EAF3F8"/>
                  <w:tcMar>
                    <w:top w:w="90" w:type="dxa"/>
                    <w:start w:w="70" w:type="dxa"/>
                    <w:bottom w:w="90" w:type="dxa"/>
                    <w:end w:w="70" w:type="dxa"/>
                  </w:tcMar>
                </w:tcPr>
                <w:p>
                  <w:pPr>
                    <w:jc w:val="center"/>
                  </w:pPr>
                  <w:r>
                    <w:rPr>
                      <w:rFonts w:ascii="Arial" w:hAnsi="Arial"/>
                      <w:b/>
                      <w:color w:val="17365D"/>
                      <w:sz w:val="15"/>
                    </w:rPr>
                    <w:t>Completion</w:t>
                    <w:br/>
                  </w:r>
                  <w:r>
                    <w:rPr>
                      <w:rFonts w:ascii="Arial" w:hAnsi="Arial"/>
                      <w:b/>
                      <w:color w:val="1F4E78"/>
                      <w:sz w:val="24"/>
                    </w:rPr>
                    <w:t>72.4%</w:t>
                    <w:br/>
                  </w:r>
                  <w:r>
                    <w:rPr>
                      <w:rFonts w:ascii="Arial" w:hAnsi="Arial"/>
                      <w:color w:val="404040"/>
                      <w:sz w:val="14"/>
                    </w:rPr>
                    <w:t>▼ 1.3 pp</w:t>
                  </w:r>
                </w:p>
              </w:tc>
              <w:tc>
                <w:tcPr>
                  <w:tcW w:type="dxa" w:w="2438"/>
                  <w:shd w:fill="EAF3F8"/>
                  <w:tcMar>
                    <w:top w:w="90" w:type="dxa"/>
                    <w:start w:w="70" w:type="dxa"/>
                    <w:bottom w:w="90" w:type="dxa"/>
                    <w:end w:w="70" w:type="dxa"/>
                  </w:tcMar>
                </w:tcPr>
                <w:p>
                  <w:pPr>
                    <w:jc w:val="center"/>
                  </w:pPr>
                  <w:r>
                    <w:rPr>
                      <w:rFonts w:ascii="Arial" w:hAnsi="Arial"/>
                      <w:b/>
                      <w:color w:val="17365D"/>
                      <w:sz w:val="15"/>
                    </w:rPr>
                    <w:t>SLA Compliance</w:t>
                    <w:br/>
                  </w:r>
                  <w:r>
                    <w:rPr>
                      <w:rFonts w:ascii="Arial" w:hAnsi="Arial"/>
                      <w:b/>
                      <w:color w:val="1F4E78"/>
                      <w:sz w:val="24"/>
                    </w:rPr>
                    <w:t>91.8%</w:t>
                    <w:br/>
                  </w:r>
                  <w:r>
                    <w:rPr>
                      <w:rFonts w:ascii="Arial" w:hAnsi="Arial"/>
                      <w:color w:val="404040"/>
                      <w:sz w:val="14"/>
                    </w:rPr>
                    <w:t>▲ 2.6 pp</w:t>
                  </w:r>
                </w:p>
              </w:tc>
            </w:tr>
          </w:tbl>
          <w:p/>
        </w:tc>
      </w:tr>
      <w:tr>
        <w:trPr>
          <w:cantSplit/>
        </w:trPr>
        <w:tc>
          <w:tcPr>
            <w:tcW w:type="dxa" w:w="9752"/>
            <w:tcMar>
              <w:top w:w="100" w:type="dxa"/>
              <w:start w:w="100" w:type="dxa"/>
              <w:bottom w:w="100" w:type="dxa"/>
              <w:end w:w="100" w:type="dxa"/>
            </w:tcMar>
          </w:tcPr>
          <w:p/>
          <w:tbl>
            <w:tblPr>
              <w:tblStyle w:val="TableGrid"/>
              <w:tblW w:type="auto" w:w="0"/>
              <w:tblLook w:firstColumn="1" w:firstRow="1" w:lastColumn="0" w:lastRow="0" w:noHBand="0" w:noVBand="1" w:val="04A0"/>
            </w:tblPr>
            <w:tblGrid>
              <w:gridCol w:w="4876"/>
              <w:gridCol w:w="4876"/>
            </w:tblGrid>
            <w:tr>
              <w:tc>
                <w:tcPr>
                  <w:tcW w:type="dxa" w:w="4876"/>
                  <w:tcMar>
                    <w:top w:w="90" w:type="dxa"/>
                    <w:start w:w="90" w:type="dxa"/>
                    <w:bottom w:w="90" w:type="dxa"/>
                    <w:end w:w="90" w:type="dxa"/>
                  </w:tcMar>
                  <w:shd w:fill="F7F9FB"/>
                </w:tcPr>
                <w:p>
                  <w:r>
                    <w:rPr>
                      <w:rFonts w:ascii="Arial" w:hAnsi="Arial"/>
                      <w:b/>
                      <w:color w:val="17365D"/>
                      <w:sz w:val="16"/>
                    </w:rPr>
                    <w:t>Submission Trend</w:t>
                    <w:br/>
                  </w:r>
                  <w:r>
                    <w:rPr>
                      <w:rFonts w:ascii="Arial" w:hAnsi="Arial"/>
                      <w:color w:val="404040"/>
                      <w:sz w:val="15"/>
                    </w:rPr>
                    <w:t>Line chart by day; click point to drill to forms and workflow states.</w:t>
                  </w:r>
                </w:p>
              </w:tc>
              <w:tc>
                <w:tcPr>
                  <w:tcW w:type="dxa" w:w="4876"/>
                  <w:tcMar>
                    <w:top w:w="90" w:type="dxa"/>
                    <w:start w:w="90" w:type="dxa"/>
                    <w:bottom w:w="90" w:type="dxa"/>
                    <w:end w:w="90" w:type="dxa"/>
                  </w:tcMar>
                </w:tcPr>
                <w:p>
                  <w:r>
                    <w:rPr>
                      <w:rFonts w:ascii="Arial" w:hAnsi="Arial"/>
                      <w:b/>
                      <w:color w:val="17365D"/>
                      <w:sz w:val="16"/>
                    </w:rPr>
                    <w:t>Form Funnel</w:t>
                    <w:br/>
                  </w:r>
                  <w:r>
                    <w:rPr>
                      <w:rFonts w:ascii="Arial" w:hAnsi="Arial"/>
                      <w:color w:val="404040"/>
                      <w:sz w:val="15"/>
                    </w:rPr>
                    <w:t>Views → Starts → Completed → Submitted, with conversion at each stage.</w:t>
                  </w:r>
                </w:p>
              </w:tc>
            </w:tr>
            <w:tr>
              <w:tc>
                <w:tcPr>
                  <w:tcW w:type="dxa" w:w="4876"/>
                  <w:tcMar>
                    <w:top w:w="90" w:type="dxa"/>
                    <w:start w:w="90" w:type="dxa"/>
                    <w:bottom w:w="90" w:type="dxa"/>
                    <w:end w:w="90" w:type="dxa"/>
                  </w:tcMar>
                  <w:shd w:fill="F7F9FB"/>
                </w:tcPr>
                <w:p>
                  <w:r>
                    <w:rPr>
                      <w:rFonts w:ascii="Arial" w:hAnsi="Arial"/>
                      <w:b/>
                      <w:color w:val="17365D"/>
                      <w:sz w:val="16"/>
                    </w:rPr>
                    <w:t>Operational Workload</w:t>
                    <w:br/>
                  </w:r>
                  <w:r>
                    <w:rPr>
                      <w:rFonts w:ascii="Arial" w:hAnsi="Arial"/>
                      <w:color w:val="404040"/>
                      <w:sz w:val="15"/>
                    </w:rPr>
                    <w:t>Open items by status and age band; click to authorised item list.</w:t>
                  </w:r>
                </w:p>
              </w:tc>
              <w:tc>
                <w:tcPr>
                  <w:tcW w:type="dxa" w:w="4876"/>
                  <w:tcMar>
                    <w:top w:w="90" w:type="dxa"/>
                    <w:start w:w="90" w:type="dxa"/>
                    <w:bottom w:w="90" w:type="dxa"/>
                    <w:end w:w="90" w:type="dxa"/>
                  </w:tcMar>
                </w:tcPr>
                <w:p>
                  <w:r>
                    <w:rPr>
                      <w:rFonts w:ascii="Arial" w:hAnsi="Arial"/>
                      <w:b/>
                      <w:color w:val="17365D"/>
                      <w:sz w:val="16"/>
                    </w:rPr>
                    <w:t>Service Performance</w:t>
                    <w:br/>
                  </w:r>
                  <w:r>
                    <w:rPr>
                      <w:rFonts w:ascii="Arial" w:hAnsi="Arial"/>
                      <w:color w:val="404040"/>
                      <w:sz w:val="15"/>
                    </w:rPr>
                    <w:t>Ranked forms/services with volume, completion, turnaround and SLA.</w:t>
                  </w:r>
                </w:p>
              </w:tc>
            </w:tr>
          </w:tbl>
          <w:p/>
        </w:tc>
      </w:tr>
      <w:tr>
        <w:trPr>
          <w:cantSplit/>
        </w:trPr>
        <w:tc>
          <w:tcPr>
            <w:tcW w:type="dxa" w:w="9752"/>
            <w:shd w:fill="E7E6E6"/>
            <w:tcMar>
              <w:top w:w="70" w:type="dxa"/>
              <w:start w:w="100" w:type="dxa"/>
              <w:bottom w:w="70" w:type="dxa"/>
              <w:end w:w="100" w:type="dxa"/>
            </w:tcMar>
          </w:tcPr>
          <w:p>
            <w:pPr>
              <w:jc w:val="center"/>
            </w:pPr>
            <w:r>
              <w:rPr>
                <w:rFonts w:ascii="Arial" w:hAnsi="Arial"/>
                <w:i/>
                <w:color w:val="404040"/>
                <w:sz w:val="15"/>
              </w:rPr>
              <w:t>Footer: data refreshed 14:05 SAST | metric definitions | quality status | saved views</w:t>
            </w:r>
          </w:p>
        </w:tc>
      </w:tr>
    </w:tbl>
    <w:p>
      <w:pPr>
        <w:spacing w:after="20"/>
      </w:pPr>
    </w:p>
    <w:p>
      <w:pPr>
        <w:pStyle w:val="Heading2"/>
        <w:keepNext/>
      </w:pPr>
      <w:r>
        <w:t>14.2 Global Admin Analytics Screen Layout</w:t>
      </w:r>
    </w:p>
    <w:p>
      <w:pPr>
        <w:jc w:val="center"/>
      </w:pPr>
      <w:r>
        <w:rPr>
          <w:rFonts w:ascii="Arial" w:hAnsi="Arial"/>
          <w:b/>
          <w:color w:val="17365D"/>
          <w:sz w:val="22"/>
        </w:rPr>
        <w:t>Conceptual Screen Layout – Global lulaFi Analytics</w:t>
      </w:r>
    </w:p>
    <w:tbl>
      <w:tblPr>
        <w:tblStyle w:val="TableGrid"/>
        <w:tblW w:type="auto" w:w="0"/>
        <w:jc w:val="center"/>
        <w:tblLayout w:type="fixed"/>
        <w:tblLook w:firstColumn="1" w:firstRow="1" w:lastColumn="0" w:lastRow="0" w:noHBand="0" w:noVBand="1" w:val="04A0"/>
      </w:tblPr>
      <w:tblGrid>
        <w:gridCol w:w="9752"/>
      </w:tblGrid>
      <w:tr>
        <w:trPr>
          <w:tblHeader/>
          <w:cantSplit/>
        </w:trPr>
        <w:tc>
          <w:tcPr>
            <w:tcW w:type="dxa" w:w="9922"/>
            <w:shd w:fill="17365D"/>
            <w:tcMar>
              <w:top w:w="100" w:type="dxa"/>
              <w:start w:w="120" w:type="dxa"/>
              <w:bottom w:w="100" w:type="dxa"/>
              <w:end w:w="120" w:type="dxa"/>
            </w:tcMar>
          </w:tcPr>
          <w:p>
            <w:pPr>
              <w:jc w:val="center"/>
            </w:pPr>
            <w:r>
              <w:rPr>
                <w:rFonts w:ascii="Arial" w:hAnsi="Arial"/>
                <w:b/>
                <w:color w:val="FFFFFF"/>
                <w:sz w:val="17"/>
              </w:rPr>
              <w:t>lulaFi Analytics  |  Scope: All Providers  |  YTD  |  Cohort: All  |  Environment: Production  |  Export</w:t>
            </w:r>
          </w:p>
        </w:tc>
      </w:tr>
      <w:tr>
        <w:trPr>
          <w:cantSplit/>
        </w:trPr>
        <w:tc>
          <w:tcPr>
            <w:tcW w:type="dxa" w:w="9752"/>
            <w:tcMar>
              <w:top w:w="100" w:type="dxa"/>
              <w:start w:w="100" w:type="dxa"/>
              <w:bottom w:w="100" w:type="dxa"/>
              <w:end w:w="100" w:type="dxa"/>
            </w:tcMar>
          </w:tcPr>
          <w:p/>
          <w:tbl>
            <w:tblPr>
              <w:tblStyle w:val="TableGrid"/>
              <w:tblW w:type="auto" w:w="0"/>
              <w:tblLook w:firstColumn="1" w:firstRow="1" w:lastColumn="0" w:lastRow="0" w:noHBand="0" w:noVBand="1" w:val="04A0"/>
            </w:tblPr>
            <w:tblGrid>
              <w:gridCol w:w="2438"/>
              <w:gridCol w:w="2438"/>
              <w:gridCol w:w="2438"/>
              <w:gridCol w:w="2438"/>
            </w:tblGrid>
            <w:tr>
              <w:tc>
                <w:tcPr>
                  <w:tcW w:type="dxa" w:w="2438"/>
                  <w:shd w:fill="EAF3F8"/>
                  <w:tcMar>
                    <w:top w:w="90" w:type="dxa"/>
                    <w:start w:w="70" w:type="dxa"/>
                    <w:bottom w:w="90" w:type="dxa"/>
                    <w:end w:w="70" w:type="dxa"/>
                  </w:tcMar>
                </w:tcPr>
                <w:p>
                  <w:pPr>
                    <w:jc w:val="center"/>
                  </w:pPr>
                  <w:r>
                    <w:rPr>
                      <w:rFonts w:ascii="Arial" w:hAnsi="Arial"/>
                      <w:b/>
                      <w:color w:val="17365D"/>
                      <w:sz w:val="15"/>
                    </w:rPr>
                    <w:t>Active Providers</w:t>
                    <w:br/>
                  </w:r>
                  <w:r>
                    <w:rPr>
                      <w:rFonts w:ascii="Arial" w:hAnsi="Arial"/>
                      <w:b/>
                      <w:color w:val="1F4E78"/>
                      <w:sz w:val="24"/>
                    </w:rPr>
                    <w:t>1 246</w:t>
                    <w:br/>
                  </w:r>
                  <w:r>
                    <w:rPr>
                      <w:rFonts w:ascii="Arial" w:hAnsi="Arial"/>
                      <w:color w:val="404040"/>
                      <w:sz w:val="14"/>
                    </w:rPr>
                    <w:t>▲ 4.8%</w:t>
                  </w:r>
                </w:p>
              </w:tc>
              <w:tc>
                <w:tcPr>
                  <w:tcW w:type="dxa" w:w="2438"/>
                  <w:shd w:fill="EAF3F8"/>
                  <w:tcMar>
                    <w:top w:w="90" w:type="dxa"/>
                    <w:start w:w="70" w:type="dxa"/>
                    <w:bottom w:w="90" w:type="dxa"/>
                    <w:end w:w="70" w:type="dxa"/>
                  </w:tcMar>
                </w:tcPr>
                <w:p>
                  <w:pPr>
                    <w:jc w:val="center"/>
                  </w:pPr>
                  <w:r>
                    <w:rPr>
                      <w:rFonts w:ascii="Arial" w:hAnsi="Arial"/>
                      <w:b/>
                      <w:color w:val="17365D"/>
                      <w:sz w:val="15"/>
                    </w:rPr>
                    <w:t>MAU</w:t>
                    <w:br/>
                  </w:r>
                  <w:r>
                    <w:rPr>
                      <w:rFonts w:ascii="Arial" w:hAnsi="Arial"/>
                      <w:b/>
                      <w:color w:val="1F4E78"/>
                      <w:sz w:val="24"/>
                    </w:rPr>
                    <w:t>884 200</w:t>
                    <w:br/>
                  </w:r>
                  <w:r>
                    <w:rPr>
                      <w:rFonts w:ascii="Arial" w:hAnsi="Arial"/>
                      <w:color w:val="404040"/>
                      <w:sz w:val="14"/>
                    </w:rPr>
                    <w:t>▲ 7.6%</w:t>
                  </w:r>
                </w:p>
              </w:tc>
              <w:tc>
                <w:tcPr>
                  <w:tcW w:type="dxa" w:w="2438"/>
                  <w:shd w:fill="EAF3F8"/>
                  <w:tcMar>
                    <w:top w:w="90" w:type="dxa"/>
                    <w:start w:w="70" w:type="dxa"/>
                    <w:bottom w:w="90" w:type="dxa"/>
                    <w:end w:w="70" w:type="dxa"/>
                  </w:tcMar>
                </w:tcPr>
                <w:p>
                  <w:pPr>
                    <w:jc w:val="center"/>
                  </w:pPr>
                  <w:r>
                    <w:rPr>
                      <w:rFonts w:ascii="Arial" w:hAnsi="Arial"/>
                      <w:b/>
                      <w:color w:val="17365D"/>
                      <w:sz w:val="15"/>
                    </w:rPr>
                    <w:t>Submissions</w:t>
                    <w:br/>
                  </w:r>
                  <w:r>
                    <w:rPr>
                      <w:rFonts w:ascii="Arial" w:hAnsi="Arial"/>
                      <w:b/>
                      <w:color w:val="1F4E78"/>
                      <w:sz w:val="24"/>
                    </w:rPr>
                    <w:t>5.42m</w:t>
                    <w:br/>
                  </w:r>
                  <w:r>
                    <w:rPr>
                      <w:rFonts w:ascii="Arial" w:hAnsi="Arial"/>
                      <w:color w:val="404040"/>
                      <w:sz w:val="14"/>
                    </w:rPr>
                    <w:t>▲ 11.1%</w:t>
                  </w:r>
                </w:p>
              </w:tc>
              <w:tc>
                <w:tcPr>
                  <w:tcW w:type="dxa" w:w="2438"/>
                  <w:shd w:fill="EAF3F8"/>
                  <w:tcMar>
                    <w:top w:w="90" w:type="dxa"/>
                    <w:start w:w="70" w:type="dxa"/>
                    <w:bottom w:w="90" w:type="dxa"/>
                    <w:end w:w="70" w:type="dxa"/>
                  </w:tcMar>
                </w:tcPr>
                <w:p>
                  <w:pPr>
                    <w:jc w:val="center"/>
                  </w:pPr>
                  <w:r>
                    <w:rPr>
                      <w:rFonts w:ascii="Arial" w:hAnsi="Arial"/>
                      <w:b/>
                      <w:color w:val="17365D"/>
                      <w:sz w:val="15"/>
                    </w:rPr>
                    <w:t>Availability</w:t>
                    <w:br/>
                  </w:r>
                  <w:r>
                    <w:rPr>
                      <w:rFonts w:ascii="Arial" w:hAnsi="Arial"/>
                      <w:b/>
                      <w:color w:val="1F4E78"/>
                      <w:sz w:val="24"/>
                    </w:rPr>
                    <w:t>99.94%</w:t>
                    <w:br/>
                  </w:r>
                  <w:r>
                    <w:rPr>
                      <w:rFonts w:ascii="Arial" w:hAnsi="Arial"/>
                      <w:color w:val="404040"/>
                      <w:sz w:val="14"/>
                    </w:rPr>
                    <w:t>Within SLO</w:t>
                  </w:r>
                </w:p>
              </w:tc>
            </w:tr>
          </w:tbl>
          <w:p/>
        </w:tc>
      </w:tr>
      <w:tr>
        <w:trPr>
          <w:cantSplit/>
        </w:trPr>
        <w:tc>
          <w:tcPr>
            <w:tcW w:type="dxa" w:w="9752"/>
            <w:tcMar>
              <w:top w:w="100" w:type="dxa"/>
              <w:start w:w="100" w:type="dxa"/>
              <w:bottom w:w="100" w:type="dxa"/>
              <w:end w:w="100" w:type="dxa"/>
            </w:tcMar>
          </w:tcPr>
          <w:p/>
          <w:tbl>
            <w:tblPr>
              <w:tblStyle w:val="TableGrid"/>
              <w:tblW w:type="auto" w:w="0"/>
              <w:tblLook w:firstColumn="1" w:firstRow="1" w:lastColumn="0" w:lastRow="0" w:noHBand="0" w:noVBand="1" w:val="04A0"/>
            </w:tblPr>
            <w:tblGrid>
              <w:gridCol w:w="4876"/>
              <w:gridCol w:w="4876"/>
            </w:tblGrid>
            <w:tr>
              <w:tc>
                <w:tcPr>
                  <w:tcW w:type="dxa" w:w="4876"/>
                  <w:tcMar>
                    <w:top w:w="90" w:type="dxa"/>
                    <w:start w:w="90" w:type="dxa"/>
                    <w:bottom w:w="90" w:type="dxa"/>
                    <w:end w:w="90" w:type="dxa"/>
                  </w:tcMar>
                  <w:shd w:fill="F7F9FB"/>
                </w:tcPr>
                <w:p>
                  <w:r>
                    <w:rPr>
                      <w:rFonts w:ascii="Arial" w:hAnsi="Arial"/>
                      <w:b/>
                      <w:color w:val="17365D"/>
                      <w:sz w:val="16"/>
                    </w:rPr>
                    <w:t>Provider Adoption</w:t>
                    <w:br/>
                  </w:r>
                  <w:r>
                    <w:rPr>
                      <w:rFonts w:ascii="Arial" w:hAnsi="Arial"/>
                      <w:color w:val="404040"/>
                      <w:sz w:val="15"/>
                    </w:rPr>
                    <w:t>Cohorts by onboarding month, tier and industry; drill to provider list.</w:t>
                  </w:r>
                </w:p>
              </w:tc>
              <w:tc>
                <w:tcPr>
                  <w:tcW w:type="dxa" w:w="4876"/>
                  <w:tcMar>
                    <w:top w:w="90" w:type="dxa"/>
                    <w:start w:w="90" w:type="dxa"/>
                    <w:bottom w:w="90" w:type="dxa"/>
                    <w:end w:w="90" w:type="dxa"/>
                  </w:tcMar>
                </w:tcPr>
                <w:p>
                  <w:r>
                    <w:rPr>
                      <w:rFonts w:ascii="Arial" w:hAnsi="Arial"/>
                      <w:b/>
                      <w:color w:val="17365D"/>
                      <w:sz w:val="16"/>
                    </w:rPr>
                    <w:t>Platform Funnel</w:t>
                    <w:br/>
                  </w:r>
                  <w:r>
                    <w:rPr>
                      <w:rFonts w:ascii="Arial" w:hAnsi="Arial"/>
                      <w:color w:val="404040"/>
                      <w:sz w:val="15"/>
                    </w:rPr>
                    <w:t>Global discovery, form starts, submissions and return engagement.</w:t>
                  </w:r>
                </w:p>
              </w:tc>
            </w:tr>
            <w:tr>
              <w:tc>
                <w:tcPr>
                  <w:tcW w:type="dxa" w:w="4876"/>
                  <w:tcMar>
                    <w:top w:w="90" w:type="dxa"/>
                    <w:start w:w="90" w:type="dxa"/>
                    <w:bottom w:w="90" w:type="dxa"/>
                    <w:end w:w="90" w:type="dxa"/>
                  </w:tcMar>
                  <w:shd w:fill="F7F9FB"/>
                </w:tcPr>
                <w:p>
                  <w:r>
                    <w:rPr>
                      <w:rFonts w:ascii="Arial" w:hAnsi="Arial"/>
                      <w:b/>
                      <w:color w:val="17365D"/>
                      <w:sz w:val="16"/>
                    </w:rPr>
                    <w:t>Reliability</w:t>
                    <w:br/>
                  </w:r>
                  <w:r>
                    <w:rPr>
                      <w:rFonts w:ascii="Arial" w:hAnsi="Arial"/>
                      <w:color w:val="404040"/>
                      <w:sz w:val="15"/>
                    </w:rPr>
                    <w:t>Latency, errors, traffic, saturation, SLO and incident annotations.</w:t>
                  </w:r>
                </w:p>
              </w:tc>
              <w:tc>
                <w:tcPr>
                  <w:tcW w:type="dxa" w:w="4876"/>
                  <w:tcMar>
                    <w:top w:w="90" w:type="dxa"/>
                    <w:start w:w="90" w:type="dxa"/>
                    <w:bottom w:w="90" w:type="dxa"/>
                    <w:end w:w="90" w:type="dxa"/>
                  </w:tcMar>
                </w:tcPr>
                <w:p>
                  <w:r>
                    <w:rPr>
                      <w:rFonts w:ascii="Arial" w:hAnsi="Arial"/>
                      <w:b/>
                      <w:color w:val="17365D"/>
                      <w:sz w:val="16"/>
                    </w:rPr>
                    <w:t>Data Quality</w:t>
                    <w:br/>
                  </w:r>
                  <w:r>
                    <w:rPr>
                      <w:rFonts w:ascii="Arial" w:hAnsi="Arial"/>
                      <w:color w:val="404040"/>
                      <w:sz w:val="15"/>
                    </w:rPr>
                    <w:t>Freshness, rejected events, completeness and reconciliation status.</w:t>
                  </w:r>
                </w:p>
              </w:tc>
            </w:tr>
          </w:tbl>
          <w:p/>
        </w:tc>
      </w:tr>
      <w:tr>
        <w:trPr>
          <w:cantSplit/>
        </w:trPr>
        <w:tc>
          <w:tcPr>
            <w:tcW w:type="dxa" w:w="9752"/>
            <w:shd w:fill="E7E6E6"/>
            <w:tcMar>
              <w:top w:w="70" w:type="dxa"/>
              <w:start w:w="100" w:type="dxa"/>
              <w:bottom w:w="70" w:type="dxa"/>
              <w:end w:w="100" w:type="dxa"/>
            </w:tcMar>
          </w:tcPr>
          <w:p>
            <w:pPr>
              <w:jc w:val="center"/>
            </w:pPr>
            <w:r>
              <w:rPr>
                <w:rFonts w:ascii="Arial" w:hAnsi="Arial"/>
                <w:i/>
                <w:color w:val="404040"/>
                <w:sz w:val="15"/>
              </w:rPr>
              <w:t>Footer: global privacy threshold applied | production | metric catalogue version | refresh status</w:t>
            </w:r>
          </w:p>
        </w:tc>
      </w:tr>
    </w:tbl>
    <w:p>
      <w:pPr>
        <w:spacing w:after="20"/>
      </w:pPr>
    </w:p>
    <w:p>
      <w:pPr>
        <w:pStyle w:val="Heading2"/>
        <w:keepNext/>
      </w:pPr>
      <w:r>
        <w:t>14.3 Drill-Down Screen Layout</w:t>
      </w:r>
    </w:p>
    <w:p>
      <w:pPr>
        <w:jc w:val="center"/>
      </w:pPr>
      <w:r>
        <w:rPr>
          <w:rFonts w:ascii="Arial" w:hAnsi="Arial"/>
          <w:b/>
          <w:color w:val="17365D"/>
          <w:sz w:val="22"/>
        </w:rPr>
        <w:t>Conceptual Screen Layout – Drill-Down</w:t>
      </w:r>
    </w:p>
    <w:tbl>
      <w:tblPr>
        <w:tblStyle w:val="TableGrid"/>
        <w:tblW w:type="auto" w:w="0"/>
        <w:jc w:val="center"/>
        <w:tblLayout w:type="fixed"/>
        <w:tblLook w:firstColumn="1" w:firstRow="1" w:lastColumn="0" w:lastRow="0" w:noHBand="0" w:noVBand="1" w:val="04A0"/>
      </w:tblPr>
      <w:tblGrid>
        <w:gridCol w:w="9752"/>
      </w:tblGrid>
      <w:tr>
        <w:trPr>
          <w:tblHeader/>
          <w:cantSplit/>
        </w:trPr>
        <w:tc>
          <w:tcPr>
            <w:tcW w:type="dxa" w:w="9922"/>
            <w:shd w:fill="17365D"/>
            <w:tcMar>
              <w:top w:w="100" w:type="dxa"/>
              <w:start w:w="120" w:type="dxa"/>
              <w:bottom w:w="100" w:type="dxa"/>
              <w:end w:w="120" w:type="dxa"/>
            </w:tcMar>
          </w:tcPr>
          <w:p>
            <w:pPr>
              <w:jc w:val="center"/>
            </w:pPr>
            <w:r>
              <w:rPr>
                <w:rFonts w:ascii="Arial" w:hAnsi="Arial"/>
                <w:b/>
                <w:color w:val="FFFFFF"/>
                <w:sz w:val="17"/>
              </w:rPr>
              <w:t>lulaFi Analytics  |  Provider &gt; Form &gt; Version 4 &gt; Abandonment  |  Last 30 Days  |  Device: All  |  Back</w:t>
            </w:r>
          </w:p>
        </w:tc>
      </w:tr>
      <w:tr>
        <w:trPr>
          <w:cantSplit/>
        </w:trPr>
        <w:tc>
          <w:tcPr>
            <w:tcW w:type="dxa" w:w="9752"/>
            <w:tcMar>
              <w:top w:w="100" w:type="dxa"/>
              <w:start w:w="100" w:type="dxa"/>
              <w:bottom w:w="100" w:type="dxa"/>
              <w:end w:w="100" w:type="dxa"/>
            </w:tcMar>
          </w:tcPr>
          <w:p/>
          <w:tbl>
            <w:tblPr>
              <w:tblStyle w:val="TableGrid"/>
              <w:tblW w:type="auto" w:w="0"/>
              <w:tblLook w:firstColumn="1" w:firstRow="1" w:lastColumn="0" w:lastRow="0" w:noHBand="0" w:noVBand="1" w:val="04A0"/>
            </w:tblPr>
            <w:tblGrid>
              <w:gridCol w:w="2438"/>
              <w:gridCol w:w="2438"/>
              <w:gridCol w:w="2438"/>
              <w:gridCol w:w="2438"/>
            </w:tblGrid>
            <w:tr>
              <w:tc>
                <w:tcPr>
                  <w:tcW w:type="dxa" w:w="2438"/>
                  <w:shd w:fill="EAF3F8"/>
                  <w:tcMar>
                    <w:top w:w="90" w:type="dxa"/>
                    <w:start w:w="70" w:type="dxa"/>
                    <w:bottom w:w="90" w:type="dxa"/>
                    <w:end w:w="70" w:type="dxa"/>
                  </w:tcMar>
                </w:tcPr>
                <w:p>
                  <w:pPr>
                    <w:jc w:val="center"/>
                  </w:pPr>
                  <w:r>
                    <w:rPr>
                      <w:rFonts w:ascii="Arial" w:hAnsi="Arial"/>
                      <w:b/>
                      <w:color w:val="17365D"/>
                      <w:sz w:val="15"/>
                    </w:rPr>
                    <w:t>Starts</w:t>
                    <w:br/>
                  </w:r>
                  <w:r>
                    <w:rPr>
                      <w:rFonts w:ascii="Arial" w:hAnsi="Arial"/>
                      <w:b/>
                      <w:color w:val="1F4E78"/>
                      <w:sz w:val="24"/>
                    </w:rPr>
                    <w:t>22 180</w:t>
                    <w:br/>
                  </w:r>
                  <w:r>
                    <w:rPr>
                      <w:rFonts w:ascii="Arial" w:hAnsi="Arial"/>
                      <w:color w:val="404040"/>
                      <w:sz w:val="14"/>
                    </w:rPr>
                    <w:t>▲ 3.1%</w:t>
                  </w:r>
                </w:p>
              </w:tc>
              <w:tc>
                <w:tcPr>
                  <w:tcW w:type="dxa" w:w="2438"/>
                  <w:shd w:fill="EAF3F8"/>
                  <w:tcMar>
                    <w:top w:w="90" w:type="dxa"/>
                    <w:start w:w="70" w:type="dxa"/>
                    <w:bottom w:w="90" w:type="dxa"/>
                    <w:end w:w="70" w:type="dxa"/>
                  </w:tcMar>
                </w:tcPr>
                <w:p>
                  <w:pPr>
                    <w:jc w:val="center"/>
                  </w:pPr>
                  <w:r>
                    <w:rPr>
                      <w:rFonts w:ascii="Arial" w:hAnsi="Arial"/>
                      <w:b/>
                      <w:color w:val="17365D"/>
                      <w:sz w:val="15"/>
                    </w:rPr>
                    <w:t>Abandoned</w:t>
                    <w:br/>
                  </w:r>
                  <w:r>
                    <w:rPr>
                      <w:rFonts w:ascii="Arial" w:hAnsi="Arial"/>
                      <w:b/>
                      <w:color w:val="1F4E78"/>
                      <w:sz w:val="24"/>
                    </w:rPr>
                    <w:t>6 120</w:t>
                    <w:br/>
                  </w:r>
                  <w:r>
                    <w:rPr>
                      <w:rFonts w:ascii="Arial" w:hAnsi="Arial"/>
                      <w:color w:val="404040"/>
                      <w:sz w:val="14"/>
                    </w:rPr>
                    <w:t>▲ 8.4%</w:t>
                  </w:r>
                </w:p>
              </w:tc>
              <w:tc>
                <w:tcPr>
                  <w:tcW w:type="dxa" w:w="2438"/>
                  <w:shd w:fill="EAF3F8"/>
                  <w:tcMar>
                    <w:top w:w="90" w:type="dxa"/>
                    <w:start w:w="70" w:type="dxa"/>
                    <w:bottom w:w="90" w:type="dxa"/>
                    <w:end w:w="70" w:type="dxa"/>
                  </w:tcMar>
                </w:tcPr>
                <w:p>
                  <w:pPr>
                    <w:jc w:val="center"/>
                  </w:pPr>
                  <w:r>
                    <w:rPr>
                      <w:rFonts w:ascii="Arial" w:hAnsi="Arial"/>
                      <w:b/>
                      <w:color w:val="17365D"/>
                      <w:sz w:val="15"/>
                    </w:rPr>
                    <w:t>Rate</w:t>
                    <w:br/>
                  </w:r>
                  <w:r>
                    <w:rPr>
                      <w:rFonts w:ascii="Arial" w:hAnsi="Arial"/>
                      <w:b/>
                      <w:color w:val="1F4E78"/>
                      <w:sz w:val="24"/>
                    </w:rPr>
                    <w:t>27.6%</w:t>
                    <w:br/>
                  </w:r>
                  <w:r>
                    <w:rPr>
                      <w:rFonts w:ascii="Arial" w:hAnsi="Arial"/>
                      <w:color w:val="404040"/>
                      <w:sz w:val="14"/>
                    </w:rPr>
                    <w:t>▲ 1.4 pp</w:t>
                  </w:r>
                </w:p>
              </w:tc>
              <w:tc>
                <w:tcPr>
                  <w:tcW w:type="dxa" w:w="2438"/>
                  <w:shd w:fill="EAF3F8"/>
                  <w:tcMar>
                    <w:top w:w="90" w:type="dxa"/>
                    <w:start w:w="70" w:type="dxa"/>
                    <w:bottom w:w="90" w:type="dxa"/>
                    <w:end w:w="70" w:type="dxa"/>
                  </w:tcMar>
                </w:tcPr>
                <w:p>
                  <w:pPr>
                    <w:jc w:val="center"/>
                  </w:pPr>
                  <w:r>
                    <w:rPr>
                      <w:rFonts w:ascii="Arial" w:hAnsi="Arial"/>
                      <w:b/>
                      <w:color w:val="17365D"/>
                      <w:sz w:val="15"/>
                    </w:rPr>
                    <w:t>Median Time</w:t>
                    <w:br/>
                  </w:r>
                  <w:r>
                    <w:rPr>
                      <w:rFonts w:ascii="Arial" w:hAnsi="Arial"/>
                      <w:b/>
                      <w:color w:val="1F4E78"/>
                      <w:sz w:val="24"/>
                    </w:rPr>
                    <w:t>03:42</w:t>
                    <w:br/>
                  </w:r>
                  <w:r>
                    <w:rPr>
                      <w:rFonts w:ascii="Arial" w:hAnsi="Arial"/>
                      <w:color w:val="404040"/>
                      <w:sz w:val="14"/>
                    </w:rPr>
                    <w:t>▼ 0:18</w:t>
                  </w:r>
                </w:p>
              </w:tc>
            </w:tr>
          </w:tbl>
          <w:p/>
        </w:tc>
      </w:tr>
      <w:tr>
        <w:trPr>
          <w:cantSplit/>
        </w:trPr>
        <w:tc>
          <w:tcPr>
            <w:tcW w:type="dxa" w:w="9752"/>
            <w:tcMar>
              <w:top w:w="100" w:type="dxa"/>
              <w:start w:w="100" w:type="dxa"/>
              <w:bottom w:w="100" w:type="dxa"/>
              <w:end w:w="100" w:type="dxa"/>
            </w:tcMar>
          </w:tcPr>
          <w:p/>
          <w:tbl>
            <w:tblPr>
              <w:tblStyle w:val="TableGrid"/>
              <w:tblW w:type="auto" w:w="0"/>
              <w:tblLook w:firstColumn="1" w:firstRow="1" w:lastColumn="0" w:lastRow="0" w:noHBand="0" w:noVBand="1" w:val="04A0"/>
            </w:tblPr>
            <w:tblGrid>
              <w:gridCol w:w="4876"/>
              <w:gridCol w:w="4876"/>
            </w:tblGrid>
            <w:tr>
              <w:tc>
                <w:tcPr>
                  <w:tcW w:type="dxa" w:w="4876"/>
                  <w:tcMar>
                    <w:top w:w="90" w:type="dxa"/>
                    <w:start w:w="90" w:type="dxa"/>
                    <w:bottom w:w="90" w:type="dxa"/>
                    <w:end w:w="90" w:type="dxa"/>
                  </w:tcMar>
                  <w:shd w:fill="F7F9FB"/>
                </w:tcPr>
                <w:p>
                  <w:r>
                    <w:rPr>
                      <w:rFonts w:ascii="Arial" w:hAnsi="Arial"/>
                      <w:b/>
                      <w:color w:val="17365D"/>
                      <w:sz w:val="16"/>
                    </w:rPr>
                    <w:t>Stage Breakdown</w:t>
                    <w:br/>
                  </w:r>
                  <w:r>
                    <w:rPr>
                      <w:rFonts w:ascii="Arial" w:hAnsi="Arial"/>
                      <w:color w:val="404040"/>
                      <w:sz w:val="15"/>
                    </w:rPr>
                    <w:t>Step-by-step abandonment and validation failures without field values.</w:t>
                  </w:r>
                </w:p>
              </w:tc>
              <w:tc>
                <w:tcPr>
                  <w:tcW w:type="dxa" w:w="4876"/>
                  <w:tcMar>
                    <w:top w:w="90" w:type="dxa"/>
                    <w:start w:w="90" w:type="dxa"/>
                    <w:bottom w:w="90" w:type="dxa"/>
                    <w:end w:w="90" w:type="dxa"/>
                  </w:tcMar>
                </w:tcPr>
                <w:p>
                  <w:r>
                    <w:rPr>
                      <w:rFonts w:ascii="Arial" w:hAnsi="Arial"/>
                      <w:b/>
                      <w:color w:val="17365D"/>
                      <w:sz w:val="16"/>
                    </w:rPr>
                    <w:t>Dimension Breakdown</w:t>
                    <w:br/>
                  </w:r>
                  <w:r>
                    <w:rPr>
                      <w:rFonts w:ascii="Arial" w:hAnsi="Arial"/>
                      <w:color w:val="404040"/>
                      <w:sz w:val="15"/>
                    </w:rPr>
                    <w:t>Device, app version, channel, geography and user cohort.</w:t>
                  </w:r>
                </w:p>
              </w:tc>
            </w:tr>
            <w:tr>
              <w:tc>
                <w:tcPr>
                  <w:tcW w:type="dxa" w:w="4876"/>
                  <w:tcMar>
                    <w:top w:w="90" w:type="dxa"/>
                    <w:start w:w="90" w:type="dxa"/>
                    <w:bottom w:w="90" w:type="dxa"/>
                    <w:end w:w="90" w:type="dxa"/>
                  </w:tcMar>
                  <w:shd w:fill="F7F9FB"/>
                </w:tcPr>
                <w:p>
                  <w:r>
                    <w:rPr>
                      <w:rFonts w:ascii="Arial" w:hAnsi="Arial"/>
                      <w:b/>
                      <w:color w:val="17365D"/>
                      <w:sz w:val="16"/>
                    </w:rPr>
                    <w:t>Trend and Releases</w:t>
                    <w:br/>
                  </w:r>
                  <w:r>
                    <w:rPr>
                      <w:rFonts w:ascii="Arial" w:hAnsi="Arial"/>
                      <w:color w:val="404040"/>
                      <w:sz w:val="15"/>
                    </w:rPr>
                    <w:t>Abandonment trend with form-version release annotations.</w:t>
                  </w:r>
                </w:p>
              </w:tc>
              <w:tc>
                <w:tcPr>
                  <w:tcW w:type="dxa" w:w="4876"/>
                  <w:tcMar>
                    <w:top w:w="90" w:type="dxa"/>
                    <w:start w:w="90" w:type="dxa"/>
                    <w:bottom w:w="90" w:type="dxa"/>
                    <w:end w:w="90" w:type="dxa"/>
                  </w:tcMar>
                </w:tcPr>
                <w:p>
                  <w:r>
                    <w:rPr>
                      <w:rFonts w:ascii="Arial" w:hAnsi="Arial"/>
                      <w:b/>
                      <w:color w:val="17365D"/>
                      <w:sz w:val="16"/>
                    </w:rPr>
                    <w:t>Supporting Table</w:t>
                    <w:br/>
                  </w:r>
                  <w:r>
                    <w:rPr>
                      <w:rFonts w:ascii="Arial" w:hAnsi="Arial"/>
                      <w:color w:val="404040"/>
                      <w:sz w:val="15"/>
                    </w:rPr>
                    <w:t>Authorised aggregate or pseudonymous session metadata; sortable/exportable.</w:t>
                  </w:r>
                </w:p>
              </w:tc>
            </w:tr>
          </w:tbl>
          <w:p/>
        </w:tc>
      </w:tr>
      <w:tr>
        <w:trPr>
          <w:cantSplit/>
        </w:trPr>
        <w:tc>
          <w:tcPr>
            <w:tcW w:type="dxa" w:w="9752"/>
            <w:shd w:fill="E7E6E6"/>
            <w:tcMar>
              <w:top w:w="70" w:type="dxa"/>
              <w:start w:w="100" w:type="dxa"/>
              <w:bottom w:w="70" w:type="dxa"/>
              <w:end w:w="100" w:type="dxa"/>
            </w:tcMar>
          </w:tcPr>
          <w:p>
            <w:pPr>
              <w:jc w:val="center"/>
            </w:pPr>
            <w:r>
              <w:rPr>
                <w:rFonts w:ascii="Arial" w:hAnsi="Arial"/>
                <w:i/>
                <w:color w:val="404040"/>
                <w:sz w:val="15"/>
              </w:rPr>
              <w:t>Breadcrumb and filters remain visible; restricted values show as suppressed, not zero.</w:t>
            </w:r>
          </w:p>
        </w:tc>
      </w:tr>
    </w:tbl>
    <w:p>
      <w:pPr>
        <w:pStyle w:val="Heading2"/>
      </w:pPr>
      <w:r>
        <w:t>14.4 Conversational Marketing and Revenue Screen Layout</w:t>
      </w:r>
    </w:p>
    <w:p>
      <w:pPr/>
      <w:r>
        <w:t>Conceptual Screen Layout – Conversational Marketing and Revenue</w:t>
      </w:r>
    </w:p>
    <w:tbl>
      <w:tblPr>
        <w:tblStyle w:val="TableGrid"/>
        <w:tblW w:type="auto" w:w="0"/>
        <w:jc w:val="center"/>
        <w:tblLayout w:type="fixed"/>
        <w:tblLook w:firstColumn="1" w:firstRow="1" w:lastColumn="0" w:lastRow="0" w:noHBand="0" w:noVBand="1" w:val="04A0"/>
      </w:tblPr>
      <w:tblGrid>
        <w:gridCol w:w="9752"/>
      </w:tblGrid>
      <w:tr>
        <w:trPr>
          <w:cantSplit/>
          <w:tblHeader/>
        </w:trPr>
        <w:tc>
          <w:tcPr>
            <w:tcW w:type="dxa" w:w="9922"/>
            <w:shd w:fill="17365D"/>
            <w:tcMar>
              <w:top w:w="100" w:type="dxa"/>
              <w:start w:w="120" w:type="dxa"/>
              <w:bottom w:w="100" w:type="dxa"/>
              <w:end w:w="120" w:type="dxa"/>
            </w:tcMar>
          </w:tcPr>
          <w:p>
            <w:pPr>
              <w:spacing w:after="0"/>
              <w:jc w:val="center"/>
            </w:pPr>
            <w:r>
              <w:rPr>
                <w:rFonts w:ascii="Arial" w:hAnsi="Arial"/>
                <w:b/>
                <w:color w:val="FFFFFF"/>
                <w:sz w:val="17"/>
              </w:rPr>
              <w:t>lulaFi Analytics  |  Provider: Acme Services  |  Campaign: All  |  Last 30 Days  |  Attribution: Last Touch / 7 Days  |  Export</w:t>
            </w:r>
          </w:p>
        </w:tc>
      </w:tr>
      <w:tr>
        <w:trPr>
          <w:cantSplit/>
        </w:trPr>
        <w:tc>
          <w:tcPr>
            <w:tcW w:type="dxa" w:w="9752"/>
            <w:tcMar>
              <w:top w:w="100" w:type="dxa"/>
              <w:start w:w="100" w:type="dxa"/>
              <w:bottom w:w="100" w:type="dxa"/>
              <w:end w:w="100" w:type="dxa"/>
            </w:tcMar>
          </w:tcPr>
          <w:p>
            <w:pPr>
              <w:spacing w:after="0"/>
            </w:pPr>
            <w:r>
              <w:t>Delivered  184 200  |  Read Rate  78.4%  |  Link CTR  14.2%  |  Chat-to-Sale  6.8%  |  Attributed Revenue  R2.41m</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fill="EAF3F8"/>
                  <w:tcMar>
                    <w:top w:w="90" w:type="dxa"/>
                    <w:start w:w="70" w:type="dxa"/>
                    <w:bottom w:w="90" w:type="dxa"/>
                    <w:end w:w="70" w:type="dxa"/>
                  </w:tcMar>
                </w:tcPr>
                <w:p>
                  <w:pPr>
                    <w:jc w:val="center"/>
                  </w:pPr>
                  <w:r>
                    <w:rPr>
                      <w:rFonts w:ascii="Arial" w:hAnsi="Arial"/>
                      <w:b/>
                      <w:color w:val="17365D"/>
                      <w:sz w:val="15"/>
                    </w:rPr>
                    <w:t>Active Users</w:t>
                    <w:br/>
                  </w:r>
                  <w:r>
                    <w:rPr>
                      <w:rFonts w:ascii="Arial" w:hAnsi="Arial"/>
                      <w:b/>
                      <w:color w:val="1F4E78"/>
                      <w:sz w:val="24"/>
                    </w:rPr>
                    <w:t>12 480</w:t>
                    <w:br/>
                  </w:r>
                  <w:r>
                    <w:rPr>
                      <w:rFonts w:ascii="Arial" w:hAnsi="Arial"/>
                      <w:color w:val="404040"/>
                      <w:sz w:val="14"/>
                    </w:rPr>
                    <w:t>▲ 8.2%</w:t>
                  </w:r>
                </w:p>
              </w:tc>
              <w:tc>
                <w:tcPr>
                  <w:tcW w:type="dxa" w:w="2438"/>
                  <w:shd w:fill="EAF3F8"/>
                  <w:tcMar>
                    <w:top w:w="90" w:type="dxa"/>
                    <w:start w:w="70" w:type="dxa"/>
                    <w:bottom w:w="90" w:type="dxa"/>
                    <w:end w:w="70" w:type="dxa"/>
                  </w:tcMar>
                </w:tcPr>
                <w:p>
                  <w:pPr>
                    <w:jc w:val="center"/>
                  </w:pPr>
                  <w:r>
                    <w:rPr>
                      <w:rFonts w:ascii="Arial" w:hAnsi="Arial"/>
                      <w:b/>
                      <w:color w:val="17365D"/>
                      <w:sz w:val="15"/>
                    </w:rPr>
                    <w:t>Submissions</w:t>
                    <w:br/>
                  </w:r>
                  <w:r>
                    <w:rPr>
                      <w:rFonts w:ascii="Arial" w:hAnsi="Arial"/>
                      <w:b/>
                      <w:color w:val="1F4E78"/>
                      <w:sz w:val="24"/>
                    </w:rPr>
                    <w:t>8 964</w:t>
                    <w:br/>
                  </w:r>
                  <w:r>
                    <w:rPr>
                      <w:rFonts w:ascii="Arial" w:hAnsi="Arial"/>
                      <w:color w:val="404040"/>
                      <w:sz w:val="14"/>
                    </w:rPr>
                    <w:t>▲ 5.1%</w:t>
                  </w:r>
                </w:p>
              </w:tc>
              <w:tc>
                <w:tcPr>
                  <w:tcW w:type="dxa" w:w="2438"/>
                  <w:shd w:fill="EAF3F8"/>
                  <w:tcMar>
                    <w:top w:w="90" w:type="dxa"/>
                    <w:start w:w="70" w:type="dxa"/>
                    <w:bottom w:w="90" w:type="dxa"/>
                    <w:end w:w="70" w:type="dxa"/>
                  </w:tcMar>
                </w:tcPr>
                <w:p>
                  <w:pPr>
                    <w:jc w:val="center"/>
                  </w:pPr>
                  <w:r>
                    <w:rPr>
                      <w:rFonts w:ascii="Arial" w:hAnsi="Arial"/>
                      <w:b/>
                      <w:color w:val="17365D"/>
                      <w:sz w:val="15"/>
                    </w:rPr>
                    <w:t>Completion</w:t>
                    <w:br/>
                  </w:r>
                  <w:r>
                    <w:rPr>
                      <w:rFonts w:ascii="Arial" w:hAnsi="Arial"/>
                      <w:b/>
                      <w:color w:val="1F4E78"/>
                      <w:sz w:val="24"/>
                    </w:rPr>
                    <w:t>72.4%</w:t>
                    <w:br/>
                  </w:r>
                  <w:r>
                    <w:rPr>
                      <w:rFonts w:ascii="Arial" w:hAnsi="Arial"/>
                      <w:color w:val="404040"/>
                      <w:sz w:val="14"/>
                    </w:rPr>
                    <w:t>▼ 1.3 pp</w:t>
                  </w:r>
                </w:p>
              </w:tc>
              <w:tc>
                <w:tcPr>
                  <w:tcW w:type="dxa" w:w="2438"/>
                  <w:shd w:fill="EAF3F8"/>
                  <w:tcMar>
                    <w:top w:w="90" w:type="dxa"/>
                    <w:start w:w="70" w:type="dxa"/>
                    <w:bottom w:w="90" w:type="dxa"/>
                    <w:end w:w="70" w:type="dxa"/>
                  </w:tcMar>
                </w:tcPr>
                <w:p>
                  <w:pPr>
                    <w:jc w:val="center"/>
                  </w:pPr>
                  <w:r>
                    <w:rPr>
                      <w:rFonts w:ascii="Arial" w:hAnsi="Arial"/>
                      <w:b/>
                      <w:color w:val="17365D"/>
                      <w:sz w:val="15"/>
                    </w:rPr>
                    <w:t>SLA Compliance</w:t>
                    <w:br/>
                  </w:r>
                  <w:r>
                    <w:rPr>
                      <w:rFonts w:ascii="Arial" w:hAnsi="Arial"/>
                      <w:b/>
                      <w:color w:val="1F4E78"/>
                      <w:sz w:val="24"/>
                    </w:rPr>
                    <w:t>91.8%</w:t>
                    <w:br/>
                  </w:r>
                  <w:r>
                    <w:rPr>
                      <w:rFonts w:ascii="Arial" w:hAnsi="Arial"/>
                      <w:color w:val="404040"/>
                      <w:sz w:val="14"/>
                    </w:rPr>
                    <w:t>▲ 2.6 pp</w:t>
                  </w:r>
                </w:p>
              </w:tc>
            </w:tr>
          </w:tbl>
        </w:tc>
      </w:tr>
      <w:tr>
        <w:trPr>
          <w:cantSplit/>
        </w:trPr>
        <w:tc>
          <w:tcPr>
            <w:tcW w:type="dxa" w:w="9752"/>
            <w:tcMar>
              <w:top w:w="100" w:type="dxa"/>
              <w:start w:w="100" w:type="dxa"/>
              <w:bottom w:w="100" w:type="dxa"/>
              <w:end w:w="100" w:type="dxa"/>
            </w:tcMar>
          </w:tcPr>
          <w:p>
            <w:pPr>
              <w:spacing w:after="0"/>
            </w:pPr>
            <w:r>
              <w:t>Campaign Funnel: Sent → Delivered → Read → Clicked → Replied → Converted</w:t>
              <w:br/>
              <w:t>Conversation Operations: Volume, first response, handling time, unresolved and team latency</w:t>
            </w:r>
          </w:p>
          <w:tbl>
            <w:tblPr>
              <w:tblStyle w:val="TableGrid"/>
              <w:tblW w:type="auto" w:w="0"/>
              <w:tblLook w:firstColumn="1" w:firstRow="1" w:lastColumn="0" w:lastRow="0" w:noHBand="0" w:noVBand="1" w:val="04A0"/>
            </w:tblPr>
            <w:tblGrid>
              <w:gridCol w:w="4876"/>
              <w:gridCol w:w="4876"/>
            </w:tblGrid>
            <w:tr>
              <w:tc>
                <w:tcPr>
                  <w:tcW w:type="dxa" w:w="4876"/>
                  <w:tcMar>
                    <w:top w:w="90" w:type="dxa"/>
                    <w:start w:w="90" w:type="dxa"/>
                    <w:bottom w:w="90" w:type="dxa"/>
                    <w:end w:w="90" w:type="dxa"/>
                  </w:tcMar>
                  <w:shd w:fill="F7F9FB"/>
                </w:tcPr>
                <w:p>
                  <w:r>
                    <w:rPr>
                      <w:rFonts w:ascii="Arial" w:hAnsi="Arial"/>
                      <w:b/>
                      <w:color w:val="17365D"/>
                      <w:sz w:val="16"/>
                    </w:rPr>
                    <w:t>Submission Trend</w:t>
                    <w:br/>
                  </w:r>
                  <w:r>
                    <w:rPr>
                      <w:rFonts w:ascii="Arial" w:hAnsi="Arial"/>
                      <w:color w:val="404040"/>
                      <w:sz w:val="15"/>
                    </w:rPr>
                    <w:t>Line chart by day; click point to drill to forms and workflow states.</w:t>
                  </w:r>
                </w:p>
              </w:tc>
              <w:tc>
                <w:tcPr>
                  <w:tcW w:type="dxa" w:w="4876"/>
                  <w:tcMar>
                    <w:top w:w="90" w:type="dxa"/>
                    <w:start w:w="90" w:type="dxa"/>
                    <w:bottom w:w="90" w:type="dxa"/>
                    <w:end w:w="90" w:type="dxa"/>
                  </w:tcMar>
                </w:tcPr>
                <w:p>
                  <w:r>
                    <w:rPr>
                      <w:rFonts w:ascii="Arial" w:hAnsi="Arial"/>
                      <w:b/>
                      <w:color w:val="17365D"/>
                      <w:sz w:val="16"/>
                    </w:rPr>
                    <w:t>Form Funnel</w:t>
                    <w:br/>
                  </w:r>
                  <w:r>
                    <w:rPr>
                      <w:rFonts w:ascii="Arial" w:hAnsi="Arial"/>
                      <w:color w:val="404040"/>
                      <w:sz w:val="15"/>
                    </w:rPr>
                    <w:t>Views → Starts → Completed → Submitted, with conversion at each stage.</w:t>
                  </w:r>
                </w:p>
              </w:tc>
            </w:tr>
            <w:tr>
              <w:tc>
                <w:tcPr>
                  <w:tcW w:type="dxa" w:w="4876"/>
                  <w:tcMar>
                    <w:top w:w="90" w:type="dxa"/>
                    <w:start w:w="90" w:type="dxa"/>
                    <w:bottom w:w="90" w:type="dxa"/>
                    <w:end w:w="90" w:type="dxa"/>
                  </w:tcMar>
                  <w:shd w:fill="F7F9FB"/>
                </w:tcPr>
                <w:p>
                  <w:r>
                    <w:rPr>
                      <w:rFonts w:ascii="Arial" w:hAnsi="Arial"/>
                      <w:b/>
                      <w:color w:val="17365D"/>
                      <w:sz w:val="16"/>
                    </w:rPr>
                    <w:t>Operational Workload</w:t>
                    <w:br/>
                  </w:r>
                  <w:r>
                    <w:rPr>
                      <w:rFonts w:ascii="Arial" w:hAnsi="Arial"/>
                      <w:color w:val="404040"/>
                      <w:sz w:val="15"/>
                    </w:rPr>
                    <w:t>Open items by status and age band; click to authorised item list.</w:t>
                  </w:r>
                </w:p>
              </w:tc>
              <w:tc>
                <w:tcPr>
                  <w:tcW w:type="dxa" w:w="4876"/>
                  <w:tcMar>
                    <w:top w:w="90" w:type="dxa"/>
                    <w:start w:w="90" w:type="dxa"/>
                    <w:bottom w:w="90" w:type="dxa"/>
                    <w:end w:w="90" w:type="dxa"/>
                  </w:tcMar>
                </w:tcPr>
                <w:p>
                  <w:r>
                    <w:rPr>
                      <w:rFonts w:ascii="Arial" w:hAnsi="Arial"/>
                      <w:b/>
                      <w:color w:val="17365D"/>
                      <w:sz w:val="16"/>
                    </w:rPr>
                    <w:t>Service Performance</w:t>
                    <w:br/>
                  </w:r>
                  <w:r>
                    <w:rPr>
                      <w:rFonts w:ascii="Arial" w:hAnsi="Arial"/>
                      <w:color w:val="404040"/>
                      <w:sz w:val="15"/>
                    </w:rPr>
                    <w:t>Ranked forms/services with volume, completion, turnaround and SLA.</w:t>
                  </w:r>
                </w:p>
              </w:tc>
            </w:tr>
          </w:tbl>
        </w:tc>
      </w:tr>
      <w:tr>
        <w:trPr>
          <w:cantSplit/>
        </w:trPr>
        <w:tc>
          <w:tcPr>
            <w:tcW w:type="dxa" w:w="9752"/>
            <w:shd w:fill="E7E6E6"/>
            <w:tcMar>
              <w:top w:w="70" w:type="dxa"/>
              <w:start w:w="100" w:type="dxa"/>
              <w:bottom w:w="70" w:type="dxa"/>
              <w:end w:w="100" w:type="dxa"/>
            </w:tcMar>
          </w:tcPr>
          <w:p>
            <w:pPr>
              <w:spacing w:after="0"/>
              <w:jc w:val="center"/>
            </w:pPr>
            <w:r>
              <w:rPr>
                <w:rFonts w:ascii="Arial" w:hAnsi="Arial"/>
                <w:i/>
                <w:color w:val="404040"/>
                <w:sz w:val="15"/>
              </w:rPr>
              <w:t>Revenue Attribution: campaign/channel/product contributions and unattributed share</w:t>
              <w:br/>
              <w:t>Recovery: abandoned journeys, recovered carts, recovered revenue, cost and opt-outs</w:t>
            </w:r>
          </w:p>
        </w:tc>
      </w:tr>
    </w:tbl>
    <w:p>
      <w:pPr>
        <w:pStyle w:val="Heading2"/>
      </w:pPr>
      <w:r>
        <w:t>14.5 Acquisition, Commerce and Predictive Insights Screen Layout</w:t>
      </w:r>
    </w:p>
    <w:p>
      <w:pPr/>
      <w:r>
        <w:t>Conceptual Screen Layout – Acquisition, Commerce and Predictive Insights</w:t>
      </w:r>
    </w:p>
    <w:tbl>
      <w:tblPr>
        <w:tblStyle w:val="TableGrid"/>
        <w:tblW w:type="auto" w:w="0"/>
        <w:jc w:val="center"/>
        <w:tblLayout w:type="fixed"/>
        <w:tblLook w:firstColumn="1" w:firstRow="1" w:lastColumn="0" w:lastRow="0" w:noHBand="0" w:noVBand="1" w:val="04A0"/>
      </w:tblPr>
      <w:tblGrid>
        <w:gridCol w:w="9752"/>
      </w:tblGrid>
      <w:tr>
        <w:trPr>
          <w:cantSplit/>
          <w:tblHeader/>
        </w:trPr>
        <w:tc>
          <w:tcPr>
            <w:tcW w:type="dxa" w:w="9922"/>
            <w:shd w:fill="17365D"/>
            <w:tcMar>
              <w:top w:w="100" w:type="dxa"/>
              <w:start w:w="120" w:type="dxa"/>
              <w:bottom w:w="100" w:type="dxa"/>
              <w:end w:w="120" w:type="dxa"/>
            </w:tcMar>
          </w:tcPr>
          <w:p>
            <w:pPr>
              <w:spacing w:after="0"/>
              <w:jc w:val="center"/>
            </w:pPr>
            <w:r>
              <w:rPr>
                <w:rFonts w:ascii="Arial" w:hAnsi="Arial"/>
                <w:b/>
                <w:color w:val="FFFFFF"/>
                <w:sz w:val="17"/>
              </w:rPr>
              <w:t>lulaFi Analytics  |  Scope: Provider / Global  |  Acquisition: All  |  Product: All  |  Model: Purchase Propensity v3  |  Period</w:t>
            </w:r>
          </w:p>
        </w:tc>
      </w:tr>
      <w:tr>
        <w:trPr>
          <w:cantSplit/>
        </w:trPr>
        <w:tc>
          <w:tcPr>
            <w:tcW w:type="dxa" w:w="9752"/>
            <w:tcMar>
              <w:top w:w="100" w:type="dxa"/>
              <w:start w:w="100" w:type="dxa"/>
              <w:bottom w:w="100" w:type="dxa"/>
              <w:end w:w="100" w:type="dxa"/>
            </w:tcMar>
          </w:tcPr>
          <w:p>
            <w:pPr>
              <w:spacing w:after="0"/>
            </w:pPr>
            <w:r>
              <w:t>Acquisition Sessions  312k  |  Conversion  9.4%  |  Net Revenue  R8.7m  |  AOV  R842  |  Unattributed Revenue  11.3%</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fill="EAF3F8"/>
                  <w:tcMar>
                    <w:top w:w="90" w:type="dxa"/>
                    <w:start w:w="70" w:type="dxa"/>
                    <w:bottom w:w="90" w:type="dxa"/>
                    <w:end w:w="70" w:type="dxa"/>
                  </w:tcMar>
                </w:tcPr>
                <w:p>
                  <w:pPr>
                    <w:jc w:val="center"/>
                  </w:pPr>
                  <w:r>
                    <w:rPr>
                      <w:rFonts w:ascii="Arial" w:hAnsi="Arial"/>
                      <w:b/>
                      <w:color w:val="17365D"/>
                      <w:sz w:val="15"/>
                    </w:rPr>
                    <w:t>Active Providers</w:t>
                    <w:br/>
                  </w:r>
                  <w:r>
                    <w:rPr>
                      <w:rFonts w:ascii="Arial" w:hAnsi="Arial"/>
                      <w:b/>
                      <w:color w:val="1F4E78"/>
                      <w:sz w:val="24"/>
                    </w:rPr>
                    <w:t>1 246</w:t>
                    <w:br/>
                  </w:r>
                  <w:r>
                    <w:rPr>
                      <w:rFonts w:ascii="Arial" w:hAnsi="Arial"/>
                      <w:color w:val="404040"/>
                      <w:sz w:val="14"/>
                    </w:rPr>
                    <w:t>▲ 4.8%</w:t>
                  </w:r>
                </w:p>
              </w:tc>
              <w:tc>
                <w:tcPr>
                  <w:tcW w:type="dxa" w:w="2438"/>
                  <w:shd w:fill="EAF3F8"/>
                  <w:tcMar>
                    <w:top w:w="90" w:type="dxa"/>
                    <w:start w:w="70" w:type="dxa"/>
                    <w:bottom w:w="90" w:type="dxa"/>
                    <w:end w:w="70" w:type="dxa"/>
                  </w:tcMar>
                </w:tcPr>
                <w:p>
                  <w:pPr>
                    <w:jc w:val="center"/>
                  </w:pPr>
                  <w:r>
                    <w:rPr>
                      <w:rFonts w:ascii="Arial" w:hAnsi="Arial"/>
                      <w:b/>
                      <w:color w:val="17365D"/>
                      <w:sz w:val="15"/>
                    </w:rPr>
                    <w:t>MAU</w:t>
                    <w:br/>
                  </w:r>
                  <w:r>
                    <w:rPr>
                      <w:rFonts w:ascii="Arial" w:hAnsi="Arial"/>
                      <w:b/>
                      <w:color w:val="1F4E78"/>
                      <w:sz w:val="24"/>
                    </w:rPr>
                    <w:t>884 200</w:t>
                    <w:br/>
                  </w:r>
                  <w:r>
                    <w:rPr>
                      <w:rFonts w:ascii="Arial" w:hAnsi="Arial"/>
                      <w:color w:val="404040"/>
                      <w:sz w:val="14"/>
                    </w:rPr>
                    <w:t>▲ 7.6%</w:t>
                  </w:r>
                </w:p>
              </w:tc>
              <w:tc>
                <w:tcPr>
                  <w:tcW w:type="dxa" w:w="2438"/>
                  <w:shd w:fill="EAF3F8"/>
                  <w:tcMar>
                    <w:top w:w="90" w:type="dxa"/>
                    <w:start w:w="70" w:type="dxa"/>
                    <w:bottom w:w="90" w:type="dxa"/>
                    <w:end w:w="70" w:type="dxa"/>
                  </w:tcMar>
                </w:tcPr>
                <w:p>
                  <w:pPr>
                    <w:jc w:val="center"/>
                  </w:pPr>
                  <w:r>
                    <w:rPr>
                      <w:rFonts w:ascii="Arial" w:hAnsi="Arial"/>
                      <w:b/>
                      <w:color w:val="17365D"/>
                      <w:sz w:val="15"/>
                    </w:rPr>
                    <w:t>Submissions</w:t>
                    <w:br/>
                  </w:r>
                  <w:r>
                    <w:rPr>
                      <w:rFonts w:ascii="Arial" w:hAnsi="Arial"/>
                      <w:b/>
                      <w:color w:val="1F4E78"/>
                      <w:sz w:val="24"/>
                    </w:rPr>
                    <w:t>5.42m</w:t>
                    <w:br/>
                  </w:r>
                  <w:r>
                    <w:rPr>
                      <w:rFonts w:ascii="Arial" w:hAnsi="Arial"/>
                      <w:color w:val="404040"/>
                      <w:sz w:val="14"/>
                    </w:rPr>
                    <w:t>▲ 11.1%</w:t>
                  </w:r>
                </w:p>
              </w:tc>
              <w:tc>
                <w:tcPr>
                  <w:tcW w:type="dxa" w:w="2438"/>
                  <w:shd w:fill="EAF3F8"/>
                  <w:tcMar>
                    <w:top w:w="90" w:type="dxa"/>
                    <w:start w:w="70" w:type="dxa"/>
                    <w:bottom w:w="90" w:type="dxa"/>
                    <w:end w:w="70" w:type="dxa"/>
                  </w:tcMar>
                </w:tcPr>
                <w:p>
                  <w:pPr>
                    <w:jc w:val="center"/>
                  </w:pPr>
                  <w:r>
                    <w:rPr>
                      <w:rFonts w:ascii="Arial" w:hAnsi="Arial"/>
                      <w:b/>
                      <w:color w:val="17365D"/>
                      <w:sz w:val="15"/>
                    </w:rPr>
                    <w:t>Availability</w:t>
                    <w:br/>
                  </w:r>
                  <w:r>
                    <w:rPr>
                      <w:rFonts w:ascii="Arial" w:hAnsi="Arial"/>
                      <w:b/>
                      <w:color w:val="1F4E78"/>
                      <w:sz w:val="24"/>
                    </w:rPr>
                    <w:t>99.94%</w:t>
                    <w:br/>
                  </w:r>
                  <w:r>
                    <w:rPr>
                      <w:rFonts w:ascii="Arial" w:hAnsi="Arial"/>
                      <w:color w:val="404040"/>
                      <w:sz w:val="14"/>
                    </w:rPr>
                    <w:t>Within SLO</w:t>
                  </w:r>
                </w:p>
              </w:tc>
            </w:tr>
          </w:tbl>
        </w:tc>
      </w:tr>
      <w:tr>
        <w:trPr>
          <w:cantSplit/>
        </w:trPr>
        <w:tc>
          <w:tcPr>
            <w:tcW w:type="dxa" w:w="9752"/>
            <w:tcMar>
              <w:top w:w="100" w:type="dxa"/>
              <w:start w:w="100" w:type="dxa"/>
              <w:bottom w:w="100" w:type="dxa"/>
              <w:end w:w="100" w:type="dxa"/>
            </w:tcMar>
          </w:tcPr>
          <w:p>
            <w:pPr>
              <w:spacing w:after="0"/>
            </w:pPr>
            <w:r>
              <w:t>Full Funnel: source/medium → landing → form/cart → submission/order → payment → repeat engagement</w:t>
              <w:br/>
              <w:t>Product and Inventory: demand, sale-out, stock state, replenishment and back-in-stock conversion</w:t>
            </w:r>
          </w:p>
          <w:tbl>
            <w:tblPr>
              <w:tblStyle w:val="TableGrid"/>
              <w:tblW w:type="auto" w:w="0"/>
              <w:tblLook w:firstColumn="1" w:firstRow="1" w:lastColumn="0" w:lastRow="0" w:noHBand="0" w:noVBand="1" w:val="04A0"/>
            </w:tblPr>
            <w:tblGrid>
              <w:gridCol w:w="4876"/>
              <w:gridCol w:w="4876"/>
            </w:tblGrid>
            <w:tr>
              <w:tc>
                <w:tcPr>
                  <w:tcW w:type="dxa" w:w="4876"/>
                  <w:tcMar>
                    <w:top w:w="90" w:type="dxa"/>
                    <w:start w:w="90" w:type="dxa"/>
                    <w:bottom w:w="90" w:type="dxa"/>
                    <w:end w:w="90" w:type="dxa"/>
                  </w:tcMar>
                  <w:shd w:fill="F7F9FB"/>
                </w:tcPr>
                <w:p>
                  <w:r>
                    <w:rPr>
                      <w:rFonts w:ascii="Arial" w:hAnsi="Arial"/>
                      <w:b/>
                      <w:color w:val="17365D"/>
                      <w:sz w:val="16"/>
                    </w:rPr>
                    <w:t>Provider Adoption</w:t>
                    <w:br/>
                  </w:r>
                  <w:r>
                    <w:rPr>
                      <w:rFonts w:ascii="Arial" w:hAnsi="Arial"/>
                      <w:color w:val="404040"/>
                      <w:sz w:val="15"/>
                    </w:rPr>
                    <w:t>Cohorts by onboarding month, tier and industry; drill to provider list.</w:t>
                  </w:r>
                </w:p>
              </w:tc>
              <w:tc>
                <w:tcPr>
                  <w:tcW w:type="dxa" w:w="4876"/>
                  <w:tcMar>
                    <w:top w:w="90" w:type="dxa"/>
                    <w:start w:w="90" w:type="dxa"/>
                    <w:bottom w:w="90" w:type="dxa"/>
                    <w:end w:w="90" w:type="dxa"/>
                  </w:tcMar>
                </w:tcPr>
                <w:p>
                  <w:r>
                    <w:rPr>
                      <w:rFonts w:ascii="Arial" w:hAnsi="Arial"/>
                      <w:b/>
                      <w:color w:val="17365D"/>
                      <w:sz w:val="16"/>
                    </w:rPr>
                    <w:t>Platform Funnel</w:t>
                    <w:br/>
                  </w:r>
                  <w:r>
                    <w:rPr>
                      <w:rFonts w:ascii="Arial" w:hAnsi="Arial"/>
                      <w:color w:val="404040"/>
                      <w:sz w:val="15"/>
                    </w:rPr>
                    <w:t>Global discovery, form starts, submissions and return engagement.</w:t>
                  </w:r>
                </w:p>
              </w:tc>
            </w:tr>
            <w:tr>
              <w:tc>
                <w:tcPr>
                  <w:tcW w:type="dxa" w:w="4876"/>
                  <w:tcMar>
                    <w:top w:w="90" w:type="dxa"/>
                    <w:start w:w="90" w:type="dxa"/>
                    <w:bottom w:w="90" w:type="dxa"/>
                    <w:end w:w="90" w:type="dxa"/>
                  </w:tcMar>
                  <w:shd w:fill="F7F9FB"/>
                </w:tcPr>
                <w:p>
                  <w:r>
                    <w:rPr>
                      <w:rFonts w:ascii="Arial" w:hAnsi="Arial"/>
                      <w:b/>
                      <w:color w:val="17365D"/>
                      <w:sz w:val="16"/>
                    </w:rPr>
                    <w:t>Reliability</w:t>
                    <w:br/>
                  </w:r>
                  <w:r>
                    <w:rPr>
                      <w:rFonts w:ascii="Arial" w:hAnsi="Arial"/>
                      <w:color w:val="404040"/>
                      <w:sz w:val="15"/>
                    </w:rPr>
                    <w:t>Latency, errors, traffic, saturation, SLO and incident annotations.</w:t>
                  </w:r>
                </w:p>
              </w:tc>
              <w:tc>
                <w:tcPr>
                  <w:tcW w:type="dxa" w:w="4876"/>
                  <w:tcMar>
                    <w:top w:w="90" w:type="dxa"/>
                    <w:start w:w="90" w:type="dxa"/>
                    <w:bottom w:w="90" w:type="dxa"/>
                    <w:end w:w="90" w:type="dxa"/>
                  </w:tcMar>
                </w:tcPr>
                <w:p>
                  <w:r>
                    <w:rPr>
                      <w:rFonts w:ascii="Arial" w:hAnsi="Arial"/>
                      <w:b/>
                      <w:color w:val="17365D"/>
                      <w:sz w:val="16"/>
                    </w:rPr>
                    <w:t>Data Quality</w:t>
                    <w:br/>
                  </w:r>
                  <w:r>
                    <w:rPr>
                      <w:rFonts w:ascii="Arial" w:hAnsi="Arial"/>
                      <w:color w:val="404040"/>
                      <w:sz w:val="15"/>
                    </w:rPr>
                    <w:t>Freshness, rejected events, completeness and reconciliation status.</w:t>
                  </w:r>
                </w:p>
              </w:tc>
            </w:tr>
          </w:tbl>
        </w:tc>
      </w:tr>
      <w:tr>
        <w:trPr>
          <w:cantSplit/>
        </w:trPr>
        <w:tc>
          <w:tcPr>
            <w:tcW w:type="dxa" w:w="9752"/>
            <w:shd w:fill="E7E6E6"/>
            <w:tcMar>
              <w:top w:w="70" w:type="dxa"/>
              <w:start w:w="100" w:type="dxa"/>
              <w:bottom w:w="70" w:type="dxa"/>
              <w:end w:w="100" w:type="dxa"/>
            </w:tcMar>
          </w:tcPr>
          <w:p>
            <w:pPr>
              <w:spacing w:after="0"/>
              <w:jc w:val="center"/>
            </w:pPr>
            <w:r>
              <w:rPr>
                <w:rFonts w:ascii="Arial" w:hAnsi="Arial"/>
                <w:i/>
                <w:color w:val="404040"/>
                <w:sz w:val="15"/>
              </w:rPr>
              <w:t>Predictive Insights: purchase probability, churn risk, opportunity and anomaly indicators</w:t>
              <w:br/>
              <w:t>Each insight displays confidence, explanation, freshness, model version and observed-outcome feedback</w:t>
            </w:r>
          </w:p>
        </w:tc>
      </w:tr>
    </w:tbl>
    <w:p>
      <w:pPr>
        <w:spacing w:after="20"/>
      </w:pPr>
    </w:p>
    <w:p>
      <w:pPr>
        <w:pStyle w:val="Heading1"/>
        <w:keepNext/>
      </w:pPr>
      <w:r>
        <w:t>15. Reporting, Export, Scheduling and Alerting</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Authorised users shall be able to export the current view in CSV, XLSX and PDF formats.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ANL-RPT-002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Exports shall include title, provider/global scope, time range, time zone, filters, generation time, metric version and data-freshness status.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CSV and XLSX exports shall use machine-readable column names and unambiguous date/time formats.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ANL-RPT-004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PDF exports shall preserve readable layout, legends, units and page headings.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Visual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Large exports shall run as asynchronous jobs and notify the user when the file is ready.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ANL-RPT-006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Export files shall expire after a configurable period and require authenticated access.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Authorised users shall be able to schedule saved reports daily, weekly or monthly.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ANL-RPT-008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Scheduled report recipients shall be restricted to approved users or addresses within the permitted provider or administration scope.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configurable alerts for thresholds, unusual changes, SLA risk, connector degradation, notification failure, data staleness and SLO/error-budget risk.</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ANL-RPT-010</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Alerts shall include the metric, scope, period, threshold, observed value and a secure link to the relevant analytics view.</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Users shall be able to acknowledge, mute or disable alerts within their authority.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ANL-RPT-012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support alerts for campaign under-delivery, unusual read/click changes, cart abandonment, recovery opportunity, stock state, revenue variance and model drift.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reports shall include currency, gross/net basis, attribution model, lookback window, coverage, unattributed share and reconciliation state.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ANL-RPT-014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Predictive reports shall include model version, scoring time, confidence, applicable population, quality status and disclaimer that results are estimates.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bl>
    <w:p>
      <w:pPr>
        <w:spacing w:after="20"/>
      </w:pPr>
    </w:p>
    <w:p>
      <w:pPr>
        <w:pStyle w:val="Heading1"/>
        <w:keepNext/>
      </w:pPr>
      <w:r>
        <w:t>16. Analytics API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platform shall expose versioned, authenticated analytics APIs for approved dashboard, report and connector use cases.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ANL-API-002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Analytics APIs shall enforce the same provider-realm, role, field and row restrictions as the user interface.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API requests shall support time range, granularity, filters, dimensions, sorting, paging and comparison parameters where applicable.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ANL-API-004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API responses shall include metric identifier, metric version, unit, period, time zone, freshness, quality status and applied filters.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API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use consistent structured error responses and shall not reveal unauthorised resource existence.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Security/API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ANL-API-006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Analytics APIs shall implement rate limiting, request size limits and query-cost controls.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Performance/security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Long-running queries and exports shall use asynchronous job endpoints.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ANL-API-008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API access and export generation shall be auditable using actor, scope, purpose, query and result metadata.</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Audit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event ingestion API shall validate event schema version, event identity, provider context and prohibited attributes.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ANL-API-010</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Duplicate events shall be handled idempotently using the event identifier and governed deduplication window.</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Data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APIs shall support journey, campaign, attribution, commerce, product, inventory and model dimensions only when authorised for the caller.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ANL-API-012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Attribution API responses shall include model identifier, version, window, conversion event, credit type, coverage and calculation timestamp.</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Monetary API fields shall use integer minor units or an approved decimal representation and include ISO currency code and gross/net classification.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API/data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Prediction API responses shall include model identity, score or band, confidence, explanation class, generated time, expiry and quality status.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API/model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ANL-API-015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Event ingestion shall reject prohibited payment data, message content, unrestricted free text and unapproved model features.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Security/data test</w:t>
            </w:r>
          </w:p>
        </w:tc>
      </w:tr>
    </w:tbl>
    <w:p>
      <w:pPr>
        <w:spacing w:after="20"/>
      </w:pPr>
    </w:p>
    <w:p>
      <w:pPr>
        <w:pStyle w:val="Heading1"/>
        <w:keepNext/>
      </w:pPr>
      <w:r>
        <w:t>17. Data Management and Quality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analytics store shall persist only data approved in the event and metric catalogues.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ANL-DAT-002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Event and dimension schemas shall be version controlled and backward-compatible within the supported window.</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Schema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validate required fields, data types, allowed values, timestamp bounds and provider context before accepting an event.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validation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ANL-DAT-004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Rejected events shall be quarantined with a non-sensitive rejection reason and source identifier.</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detect duplicate event identifiers and prevent double counting.</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ANL-DAT-006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detect late-arriving events and recalculate affected aggregates within the configured correction window.</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Data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Metrics shall expose freshness, completeness, validity and reconciliation status.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ANL-DAT-008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support source-to-metric lineage from dashboard metric to transformation version and source event types.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Audit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Retention periods shall be configurable by event class, aggregate class, provider contract and legal requirement.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Configuration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ANL-DAT-010</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Deletion or anonymisation instructions applicable to personal data shall propagate to analytics data within the configured service level.</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Historical aggregates shall remain reproducible or shall disclose when source-detail retention has expired.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Audit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ANL-DAT-012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Production, staging and test analytics data shall remain logically separated.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Campaign, conversation, journey, cart and order identifiers shall be pseudonymous and stable only for the approved purpose and retention period.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events shall include currency, gross/net basis, source system, transaction status and adjustment reference where applicable.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validation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deduplicate order, payment, conversion and channel callback events using governed source identifiers and correction rules.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Attribution results shall be versioned and shall retain the model, window, source events and adjustment lineage.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Audit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Predictive datasets, features and outputs shall be registered with purpose, lawful basis, owner, model version, retention and quality controls.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Governance review</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monitor prediction coverage, feature completeness, drift and observed-outcome feedback.</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Data/model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ANL-DAT-019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Inventory and sale-out data shall disclose provider, location, product, unit of measure, observation time and source coverage.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Data test</w:t>
            </w:r>
          </w:p>
        </w:tc>
      </w:tr>
    </w:tbl>
    <w:p>
      <w:pPr>
        <w:spacing w:after="20"/>
      </w:pPr>
    </w:p>
    <w:p>
      <w:pPr>
        <w:pStyle w:val="Heading2"/>
        <w:keepNext/>
      </w:pPr>
      <w:r>
        <w:t>17.1 Data Quality Indicators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1F4E78"/>
            <w:tcMar>
              <w:top w:w="70" w:type="dxa"/>
              <w:start w:w="80" w:type="dxa"/>
              <w:bottom w:w="70" w:type="dxa"/>
              <w:end w:w="80" w:type="dxa"/>
            </w:tcMar>
          </w:tcPr>
          <w:p>
            <w:pPr>
              <w:spacing w:before="0" w:after="0" w:line="240" w:lineRule="auto"/>
              <w:jc w:val="left"/>
            </w:pPr>
            <w:r>
              <w:rPr>
                <w:rFonts w:ascii="Arial" w:hAnsi="Arial"/>
                <w:b/>
                <w:color w:val="FFFFFF"/>
                <w:sz w:val="16"/>
              </w:rPr>
              <w:t>Indicator</w:t>
            </w:r>
          </w:p>
        </w:tc>
        <w:tc>
          <w:tcPr>
            <w:tcW w:type="dxa" w:w="4536"/>
            <w:shd w:fill="1F4E78"/>
            <w:tcMar>
              <w:top w:w="70" w:type="dxa"/>
              <w:start w:w="80" w:type="dxa"/>
              <w:bottom w:w="70" w:type="dxa"/>
              <w:end w:w="80" w:type="dxa"/>
            </w:tcMar>
          </w:tcPr>
          <w:p>
            <w:pPr>
              <w:spacing w:before="0" w:after="0" w:line="240" w:lineRule="auto"/>
              <w:jc w:val="left"/>
            </w:pPr>
            <w:r>
              <w:rPr>
                <w:rFonts w:ascii="Arial" w:hAnsi="Arial"/>
                <w:b/>
                <w:color w:val="FFFFFF"/>
                <w:sz w:val="16"/>
              </w:rPr>
              <w:t>Definition</w:t>
            </w:r>
          </w:p>
        </w:tc>
        <w:tc>
          <w:tcPr>
            <w:tcW w:type="dxa" w:w="3402"/>
            <w:shd w:fill="1F4E78"/>
            <w:tcMar>
              <w:top w:w="70" w:type="dxa"/>
              <w:start w:w="80" w:type="dxa"/>
              <w:bottom w:w="70" w:type="dxa"/>
              <w:end w:w="80" w:type="dxa"/>
            </w:tcMar>
          </w:tcPr>
          <w:p>
            <w:pPr>
              <w:spacing w:before="0" w:after="0" w:line="240" w:lineRule="auto"/>
              <w:jc w:val="left"/>
            </w:pPr>
            <w:r>
              <w:rPr>
                <w:rFonts w:ascii="Arial" w:hAnsi="Arial"/>
                <w:b/>
                <w:color w:val="FFFFFF"/>
                <w:sz w:val="16"/>
              </w:rPr>
              <w:t>Display Rule</w:t>
            </w:r>
          </w:p>
        </w:tc>
      </w:tr>
      <w:tr>
        <w:trPr>
          <w:cantSplit/>
        </w:trPr>
        <w:tc>
          <w:tcPr>
            <w:tcW w:type="dxa" w:w="1701"/>
            <w:vAlign w:val="top"/>
            <w:tcMar>
              <w:top w:w="70" w:type="dxa"/>
              <w:start w:w="80" w:type="dxa"/>
              <w:bottom w:w="70" w:type="dxa"/>
              <w:end w:w="80" w:type="dxa"/>
            </w:tcMar>
          </w:tcPr>
          <w:p>
            <w:pPr>
              <w:spacing w:before="0" w:after="0" w:line="240" w:lineRule="auto"/>
            </w:pPr>
            <w:r>
              <w:rPr>
                <w:rFonts w:ascii="Arial" w:hAnsi="Arial"/>
                <w:b/>
                <w:sz w:val="16"/>
              </w:rPr>
              <w:t>Freshness</w:t>
            </w:r>
          </w:p>
        </w:tc>
        <w:tc>
          <w:tcPr>
            <w:tcW w:type="dxa" w:w="4536"/>
            <w:vAlign w:val="top"/>
            <w:tcMar>
              <w:top w:w="70" w:type="dxa"/>
              <w:start w:w="80" w:type="dxa"/>
              <w:bottom w:w="70" w:type="dxa"/>
              <w:end w:w="80" w:type="dxa"/>
            </w:tcMar>
          </w:tcPr>
          <w:p>
            <w:pPr>
              <w:spacing w:before="0" w:after="0" w:line="240" w:lineRule="auto"/>
            </w:pPr>
            <w:r>
              <w:rPr>
                <w:rFonts w:ascii="Arial" w:hAnsi="Arial"/>
                <w:b w:val="0"/>
                <w:sz w:val="16"/>
              </w:rPr>
              <w:t>Elapsed time since the latest complete source event or aggregate.</w:t>
            </w:r>
          </w:p>
        </w:tc>
        <w:tc>
          <w:tcPr>
            <w:tcW w:type="dxa" w:w="3402"/>
            <w:vAlign w:val="top"/>
            <w:tcMar>
              <w:top w:w="70" w:type="dxa"/>
              <w:start w:w="80" w:type="dxa"/>
              <w:bottom w:w="70" w:type="dxa"/>
              <w:end w:w="80" w:type="dxa"/>
            </w:tcMar>
          </w:tcPr>
          <w:p>
            <w:pPr>
              <w:spacing w:before="0" w:after="0" w:line="240" w:lineRule="auto"/>
            </w:pPr>
            <w:r>
              <w:rPr>
                <w:rFonts w:ascii="Arial" w:hAnsi="Arial"/>
                <w:b w:val="0"/>
                <w:sz w:val="16"/>
              </w:rPr>
              <w:t>Show timestamp and status: current, delayed, stale or unavailable.</w:t>
            </w:r>
          </w:p>
        </w:tc>
      </w:tr>
      <w:tr>
        <w:trPr>
          <w:cantSplit/>
        </w:trPr>
        <w:tc>
          <w:tcPr>
            <w:tcW w:type="dxa" w:w="1701"/>
            <w:vAlign w:val="top"/>
            <w:tcMar>
              <w:top w:w="70" w:type="dxa"/>
              <w:start w:w="80" w:type="dxa"/>
              <w:bottom w:w="70" w:type="dxa"/>
              <w:end w:w="80" w:type="dxa"/>
            </w:tcMar>
            <w:shd w:fill="F7F9FB"/>
          </w:tcPr>
          <w:p>
            <w:pPr>
              <w:spacing w:before="0" w:after="0" w:line="240" w:lineRule="auto"/>
            </w:pPr>
            <w:r>
              <w:rPr>
                <w:rFonts w:ascii="Arial" w:hAnsi="Arial"/>
                <w:b/>
                <w:sz w:val="16"/>
              </w:rPr>
              <w:t>Completeness</w:t>
            </w:r>
          </w:p>
        </w:tc>
        <w:tc>
          <w:tcPr>
            <w:tcW w:type="dxa" w:w="4536"/>
            <w:vAlign w:val="top"/>
            <w:tcMar>
              <w:top w:w="70" w:type="dxa"/>
              <w:start w:w="80" w:type="dxa"/>
              <w:bottom w:w="70" w:type="dxa"/>
              <w:end w:w="80" w:type="dxa"/>
            </w:tcMar>
            <w:shd w:fill="F7F9FB"/>
          </w:tcPr>
          <w:p>
            <w:pPr>
              <w:spacing w:before="0" w:after="0" w:line="240" w:lineRule="auto"/>
            </w:pPr>
            <w:r>
              <w:rPr>
                <w:rFonts w:ascii="Arial" w:hAnsi="Arial"/>
                <w:b w:val="0"/>
                <w:sz w:val="16"/>
              </w:rPr>
              <w:t>Received records/events compared to expected or reconciled control totals.</w:t>
            </w:r>
          </w:p>
        </w:tc>
        <w:tc>
          <w:tcPr>
            <w:tcW w:type="dxa" w:w="3402"/>
            <w:vAlign w:val="top"/>
            <w:tcMar>
              <w:top w:w="70" w:type="dxa"/>
              <w:start w:w="80" w:type="dxa"/>
              <w:bottom w:w="70" w:type="dxa"/>
              <w:end w:w="80" w:type="dxa"/>
            </w:tcMar>
            <w:shd w:fill="F7F9FB"/>
          </w:tcPr>
          <w:p>
            <w:pPr>
              <w:spacing w:before="0" w:after="0" w:line="240" w:lineRule="auto"/>
            </w:pPr>
            <w:r>
              <w:rPr>
                <w:rFonts w:ascii="Arial" w:hAnsi="Arial"/>
                <w:b w:val="0"/>
                <w:sz w:val="16"/>
              </w:rPr>
              <w:t>Show percentage and affected source.</w:t>
            </w:r>
          </w:p>
        </w:tc>
      </w:tr>
      <w:tr>
        <w:trPr>
          <w:cantSplit/>
        </w:trPr>
        <w:tc>
          <w:tcPr>
            <w:tcW w:type="dxa" w:w="1701"/>
            <w:vAlign w:val="top"/>
            <w:tcMar>
              <w:top w:w="70" w:type="dxa"/>
              <w:start w:w="80" w:type="dxa"/>
              <w:bottom w:w="70" w:type="dxa"/>
              <w:end w:w="80" w:type="dxa"/>
            </w:tcMar>
          </w:tcPr>
          <w:p>
            <w:pPr>
              <w:spacing w:before="0" w:after="0" w:line="240" w:lineRule="auto"/>
            </w:pPr>
            <w:r>
              <w:rPr>
                <w:rFonts w:ascii="Arial" w:hAnsi="Arial"/>
                <w:b/>
                <w:sz w:val="16"/>
              </w:rPr>
              <w:t>Validity</w:t>
            </w:r>
          </w:p>
        </w:tc>
        <w:tc>
          <w:tcPr>
            <w:tcW w:type="dxa" w:w="4536"/>
            <w:vAlign w:val="top"/>
            <w:tcMar>
              <w:top w:w="70" w:type="dxa"/>
              <w:start w:w="80" w:type="dxa"/>
              <w:bottom w:w="70" w:type="dxa"/>
              <w:end w:w="80" w:type="dxa"/>
            </w:tcMar>
          </w:tcPr>
          <w:p>
            <w:pPr>
              <w:spacing w:before="0" w:after="0" w:line="240" w:lineRule="auto"/>
            </w:pPr>
            <w:r>
              <w:rPr>
                <w:rFonts w:ascii="Arial" w:hAnsi="Arial"/>
                <w:b w:val="0"/>
                <w:sz w:val="16"/>
              </w:rPr>
              <w:t>Accepted events compared with all received events.</w:t>
            </w:r>
          </w:p>
        </w:tc>
        <w:tc>
          <w:tcPr>
            <w:tcW w:type="dxa" w:w="3402"/>
            <w:vAlign w:val="top"/>
            <w:tcMar>
              <w:top w:w="70" w:type="dxa"/>
              <w:start w:w="80" w:type="dxa"/>
              <w:bottom w:w="70" w:type="dxa"/>
              <w:end w:w="80" w:type="dxa"/>
            </w:tcMar>
          </w:tcPr>
          <w:p>
            <w:pPr>
              <w:spacing w:before="0" w:after="0" w:line="240" w:lineRule="auto"/>
            </w:pPr>
            <w:r>
              <w:rPr>
                <w:rFonts w:ascii="Arial" w:hAnsi="Arial"/>
                <w:b w:val="0"/>
                <w:sz w:val="16"/>
              </w:rPr>
              <w:t>Show rejected count/rate and top rejection codes.</w:t>
            </w:r>
          </w:p>
        </w:tc>
      </w:tr>
      <w:tr>
        <w:trPr>
          <w:cantSplit/>
        </w:trPr>
        <w:tc>
          <w:tcPr>
            <w:tcW w:type="dxa" w:w="1701"/>
            <w:vAlign w:val="top"/>
            <w:tcMar>
              <w:top w:w="70" w:type="dxa"/>
              <w:start w:w="80" w:type="dxa"/>
              <w:bottom w:w="70" w:type="dxa"/>
              <w:end w:w="80" w:type="dxa"/>
            </w:tcMar>
            <w:shd w:fill="F7F9FB"/>
          </w:tcPr>
          <w:p>
            <w:pPr>
              <w:spacing w:before="0" w:after="0" w:line="240" w:lineRule="auto"/>
            </w:pPr>
            <w:r>
              <w:rPr>
                <w:rFonts w:ascii="Arial" w:hAnsi="Arial"/>
                <w:b/>
                <w:sz w:val="16"/>
              </w:rPr>
              <w:t>Uniqueness</w:t>
            </w:r>
          </w:p>
        </w:tc>
        <w:tc>
          <w:tcPr>
            <w:tcW w:type="dxa" w:w="4536"/>
            <w:vAlign w:val="top"/>
            <w:tcMar>
              <w:top w:w="70" w:type="dxa"/>
              <w:start w:w="80" w:type="dxa"/>
              <w:bottom w:w="70" w:type="dxa"/>
              <w:end w:w="80" w:type="dxa"/>
            </w:tcMar>
            <w:shd w:fill="F7F9FB"/>
          </w:tcPr>
          <w:p>
            <w:pPr>
              <w:spacing w:before="0" w:after="0" w:line="240" w:lineRule="auto"/>
            </w:pPr>
            <w:r>
              <w:rPr>
                <w:rFonts w:ascii="Arial" w:hAnsi="Arial"/>
                <w:b w:val="0"/>
                <w:sz w:val="16"/>
              </w:rPr>
              <w:t>Duplicate events detected in the period.</w:t>
            </w:r>
          </w:p>
        </w:tc>
        <w:tc>
          <w:tcPr>
            <w:tcW w:type="dxa" w:w="3402"/>
            <w:vAlign w:val="top"/>
            <w:tcMar>
              <w:top w:w="70" w:type="dxa"/>
              <w:start w:w="80" w:type="dxa"/>
              <w:bottom w:w="70" w:type="dxa"/>
              <w:end w:w="80" w:type="dxa"/>
            </w:tcMar>
            <w:shd w:fill="F7F9FB"/>
          </w:tcPr>
          <w:p>
            <w:pPr>
              <w:spacing w:before="0" w:after="0" w:line="240" w:lineRule="auto"/>
            </w:pPr>
            <w:r>
              <w:rPr>
                <w:rFonts w:ascii="Arial" w:hAnsi="Arial"/>
                <w:b w:val="0"/>
                <w:sz w:val="16"/>
              </w:rPr>
              <w:t>Show duplicate rate; duplicates excluded from governed metrics.</w:t>
            </w:r>
          </w:p>
        </w:tc>
      </w:tr>
      <w:tr>
        <w:trPr>
          <w:cantSplit/>
        </w:trPr>
        <w:tc>
          <w:tcPr>
            <w:tcW w:type="dxa" w:w="1701"/>
            <w:vAlign w:val="top"/>
            <w:tcMar>
              <w:top w:w="70" w:type="dxa"/>
              <w:start w:w="80" w:type="dxa"/>
              <w:bottom w:w="70" w:type="dxa"/>
              <w:end w:w="80" w:type="dxa"/>
            </w:tcMar>
          </w:tcPr>
          <w:p>
            <w:pPr>
              <w:spacing w:before="0" w:after="0" w:line="240" w:lineRule="auto"/>
            </w:pPr>
            <w:r>
              <w:rPr>
                <w:rFonts w:ascii="Arial" w:hAnsi="Arial"/>
                <w:b/>
                <w:sz w:val="16"/>
              </w:rPr>
              <w:t>Consistency</w:t>
            </w:r>
          </w:p>
        </w:tc>
        <w:tc>
          <w:tcPr>
            <w:tcW w:type="dxa" w:w="4536"/>
            <w:vAlign w:val="top"/>
            <w:tcMar>
              <w:top w:w="70" w:type="dxa"/>
              <w:start w:w="80" w:type="dxa"/>
              <w:bottom w:w="70" w:type="dxa"/>
              <w:end w:w="80" w:type="dxa"/>
            </w:tcMar>
          </w:tcPr>
          <w:p>
            <w:pPr>
              <w:spacing w:before="0" w:after="0" w:line="240" w:lineRule="auto"/>
            </w:pPr>
            <w:r>
              <w:rPr>
                <w:rFonts w:ascii="Arial" w:hAnsi="Arial"/>
                <w:b w:val="0"/>
                <w:sz w:val="16"/>
              </w:rPr>
              <w:t>Agreement between related sources or calculations.</w:t>
            </w:r>
          </w:p>
        </w:tc>
        <w:tc>
          <w:tcPr>
            <w:tcW w:type="dxa" w:w="3402"/>
            <w:vAlign w:val="top"/>
            <w:tcMar>
              <w:top w:w="70" w:type="dxa"/>
              <w:start w:w="80" w:type="dxa"/>
              <w:bottom w:w="70" w:type="dxa"/>
              <w:end w:w="80" w:type="dxa"/>
            </w:tcMar>
          </w:tcPr>
          <w:p>
            <w:pPr>
              <w:spacing w:before="0" w:after="0" w:line="240" w:lineRule="auto"/>
            </w:pPr>
            <w:r>
              <w:rPr>
                <w:rFonts w:ascii="Arial" w:hAnsi="Arial"/>
                <w:b w:val="0"/>
                <w:sz w:val="16"/>
              </w:rPr>
              <w:t>Show reconciliation variance and last successful reconciliation.</w:t>
            </w:r>
          </w:p>
        </w:tc>
      </w:tr>
      <w:tr>
        <w:trPr>
          <w:cantSplit/>
        </w:trPr>
        <w:tc>
          <w:tcPr>
            <w:tcW w:type="dxa" w:w="1701"/>
            <w:vAlign w:val="top"/>
            <w:tcMar>
              <w:top w:w="70" w:type="dxa"/>
              <w:start w:w="80" w:type="dxa"/>
              <w:bottom w:w="70" w:type="dxa"/>
              <w:end w:w="80" w:type="dxa"/>
            </w:tcMar>
            <w:shd w:fill="F7F9FB"/>
          </w:tcPr>
          <w:p>
            <w:pPr>
              <w:spacing w:before="0" w:after="0" w:line="240" w:lineRule="auto"/>
            </w:pPr>
            <w:r>
              <w:rPr>
                <w:rFonts w:ascii="Arial" w:hAnsi="Arial"/>
                <w:b/>
                <w:sz w:val="16"/>
              </w:rPr>
              <w:t>Coverage</w:t>
            </w:r>
          </w:p>
        </w:tc>
        <w:tc>
          <w:tcPr>
            <w:tcW w:type="dxa" w:w="4536"/>
            <w:vAlign w:val="top"/>
            <w:tcMar>
              <w:top w:w="70" w:type="dxa"/>
              <w:start w:w="80" w:type="dxa"/>
              <w:bottom w:w="70" w:type="dxa"/>
              <w:end w:w="80" w:type="dxa"/>
            </w:tcMar>
            <w:shd w:fill="F7F9FB"/>
          </w:tcPr>
          <w:p>
            <w:pPr>
              <w:spacing w:before="0" w:after="0" w:line="240" w:lineRule="auto"/>
            </w:pPr>
            <w:r>
              <w:rPr>
                <w:rFonts w:ascii="Arial" w:hAnsi="Arial"/>
                <w:b w:val="0"/>
                <w:sz w:val="16"/>
              </w:rPr>
              <w:t>Extent to which a metric is measurable for the selected population.</w:t>
            </w:r>
          </w:p>
        </w:tc>
        <w:tc>
          <w:tcPr>
            <w:tcW w:type="dxa" w:w="3402"/>
            <w:vAlign w:val="top"/>
            <w:tcMar>
              <w:top w:w="70" w:type="dxa"/>
              <w:start w:w="80" w:type="dxa"/>
              <w:bottom w:w="70" w:type="dxa"/>
              <w:end w:w="80" w:type="dxa"/>
            </w:tcMar>
            <w:shd w:fill="F7F9FB"/>
          </w:tcPr>
          <w:p>
            <w:pPr>
              <w:spacing w:before="0" w:after="0" w:line="240" w:lineRule="auto"/>
            </w:pPr>
            <w:r>
              <w:rPr>
                <w:rFonts w:ascii="Arial" w:hAnsi="Arial"/>
                <w:b w:val="0"/>
                <w:sz w:val="16"/>
              </w:rPr>
              <w:t>Show measurable denominator, especially for notification opens and ad viewability.</w:t>
            </w:r>
          </w:p>
        </w:tc>
      </w:tr>
    </w:tbl>
    <w:p>
      <w:pPr>
        <w:spacing w:after="20"/>
      </w:pPr>
    </w:p>
    <w:p>
      <w:pPr>
        <w:pStyle w:val="Heading1"/>
        <w:keepNext/>
      </w:pPr>
      <w:r>
        <w:t>18. Security, Privacy and Audit Requirements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shall follow data minimisation and purpose limitation.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review</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ANL-PRV-002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not collect or display chat content, form payload values, attachment content, OTP values, secrets or access tokens for analytics.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Data/security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User, device and session identifiers shall be pseudonymised before analytical persistence unless a specifically approved operational purpose requires otherwise.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ANL-PRV-004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Geographic analytics shall use the least precise level required and shall apply minimum cohort thresholds.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Sensitive or special-category attributes shall not be available as analytics dimensions without documented approval, lawful basis and controls.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Governance review</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ANL-PRV-006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Data shall be encrypted in transit and at rest using platform-approved controls.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service credentials, signing keys and connection secrets shall be stored in approved secret management.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ANL-PRV-008</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Administrative metric, schema and access changes shall require authenticated, authorised actions and shall be audited.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Audit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ANL-PRV-009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Audit records shall include actor, action, scope, timestamp, affected object, before/after values where applicable and correlation identifier.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Audit inspection</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ANL-PRV-010</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Audit records shall be tamper-evident and retained according to policy.</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queries and exports shall be protected against injection, parameter manipulation and insecure direct object references.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Penetration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ANL-PRV-012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prevent spreadsheet formula injection in CSV and XLSX exports.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log and alert on suspected cross-provider access attempts or unusual bulk exports.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Security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Marketing analytics shall honour consent, opt-out, suppression, frequency-cap and communication-purpose requirements supplied by the channel or provider.</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system shall not persist WhatsApp or other channel message bodies, contact-list contents or unrestricted personal profile data for analytics.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Privacy/data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Revenue attribution shall use pseudonymous touchpoints and shall not expose an individual purchase history unless separately authorised.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Predictive features shall exclude prohibited or unapproved sensitive attributes and proxy features that create unjustified discrimination risk.</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Model governance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Users shall be informed when a displayed value is predicted, estimated, attributed or based on incomplete measurement.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Transparency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ANL-PRV-019</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Model training or scoring across provider realms shall be prohibited unless explicitly approved with contractual, security and privacy controls.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Privacy/security test</w:t>
            </w:r>
          </w:p>
        </w:tc>
      </w:tr>
    </w:tbl>
    <w:p>
      <w:pPr>
        <w:spacing w:after="20"/>
      </w:pPr>
    </w:p>
    <w:p>
      <w:pPr>
        <w:pStyle w:val="Heading2"/>
        <w:keepNext/>
      </w:pPr>
      <w:r>
        <w:t>18.1 Audit Events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1F4E78"/>
            <w:tcMar>
              <w:top w:w="70" w:type="dxa"/>
              <w:start w:w="80" w:type="dxa"/>
              <w:bottom w:w="70" w:type="dxa"/>
              <w:end w:w="80" w:type="dxa"/>
            </w:tcMar>
          </w:tcPr>
          <w:p>
            <w:pPr>
              <w:spacing w:before="0" w:after="0" w:line="240" w:lineRule="auto"/>
              <w:jc w:val="left"/>
            </w:pPr>
            <w:r>
              <w:rPr>
                <w:rFonts w:ascii="Arial" w:hAnsi="Arial"/>
                <w:b/>
                <w:color w:val="FFFFFF"/>
                <w:sz w:val="16"/>
              </w:rPr>
              <w:t>Audit Event</w:t>
            </w:r>
          </w:p>
        </w:tc>
        <w:tc>
          <w:tcPr>
            <w:tcW w:type="dxa" w:w="6804"/>
            <w:shd w:fill="1F4E78"/>
            <w:tcMar>
              <w:top w:w="70" w:type="dxa"/>
              <w:start w:w="80" w:type="dxa"/>
              <w:bottom w:w="70" w:type="dxa"/>
              <w:end w:w="80" w:type="dxa"/>
            </w:tcMar>
          </w:tcPr>
          <w:p>
            <w:pPr>
              <w:spacing w:before="0" w:after="0" w:line="240" w:lineRule="auto"/>
              <w:jc w:val="left"/>
            </w:pPr>
            <w:r>
              <w:rPr>
                <w:rFonts w:ascii="Arial" w:hAnsi="Arial"/>
                <w:b/>
                <w:color w:val="FFFFFF"/>
                <w:sz w:val="16"/>
              </w:rPr>
              <w:t>Minimum Information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Dashboard access</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 role, provider/global scope, dashboard, time, outcome</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6"/>
              </w:rPr>
              <w:t>Sensitive drill-down</w:t>
            </w:r>
          </w:p>
        </w:tc>
        <w:tc>
          <w:tcPr>
            <w:tcW w:type="dxa" w:w="6804"/>
            <w:vAlign w:val="top"/>
            <w:tcMar>
              <w:top w:w="70" w:type="dxa"/>
              <w:start w:w="80" w:type="dxa"/>
              <w:bottom w:w="70" w:type="dxa"/>
              <w:end w:w="80" w:type="dxa"/>
            </w:tcMar>
            <w:shd w:fill="F7F9FB"/>
          </w:tcPr>
          <w:p>
            <w:pPr>
              <w:spacing w:before="0" w:after="0" w:line="240" w:lineRule="auto"/>
            </w:pPr>
            <w:r>
              <w:rPr>
                <w:rFonts w:ascii="Arial" w:hAnsi="Arial"/>
                <w:b w:val="0"/>
                <w:sz w:val="16"/>
              </w:rPr>
              <w:t>Actor, scope, metric, drill path, purpose if required, result count</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Export requested/generated/downloaded</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 scope, filters, format, row count, file expiry, outcome</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6"/>
              </w:rPr>
              <w:t>Scheduled report change</w:t>
            </w:r>
          </w:p>
        </w:tc>
        <w:tc>
          <w:tcPr>
            <w:tcW w:type="dxa" w:w="6804"/>
            <w:vAlign w:val="top"/>
            <w:tcMar>
              <w:top w:w="70" w:type="dxa"/>
              <w:start w:w="80" w:type="dxa"/>
              <w:bottom w:w="70" w:type="dxa"/>
              <w:end w:w="80" w:type="dxa"/>
            </w:tcMar>
            <w:shd w:fill="F7F9FB"/>
          </w:tcPr>
          <w:p>
            <w:pPr>
              <w:spacing w:before="0" w:after="0" w:line="240" w:lineRule="auto"/>
            </w:pPr>
            <w:r>
              <w:rPr>
                <w:rFonts w:ascii="Arial" w:hAnsi="Arial"/>
                <w:b w:val="0"/>
                <w:sz w:val="16"/>
              </w:rPr>
              <w:t>Actor, schedule, recipients, saved view, before/after</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Metric definition change</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 metric ID, version, formula/source changes, approval</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6"/>
              </w:rPr>
              <w:t>Event schema change</w:t>
            </w:r>
          </w:p>
        </w:tc>
        <w:tc>
          <w:tcPr>
            <w:tcW w:type="dxa" w:w="6804"/>
            <w:vAlign w:val="top"/>
            <w:tcMar>
              <w:top w:w="70" w:type="dxa"/>
              <w:start w:w="80" w:type="dxa"/>
              <w:bottom w:w="70" w:type="dxa"/>
              <w:end w:w="80" w:type="dxa"/>
            </w:tcMar>
            <w:shd w:fill="F7F9FB"/>
          </w:tcPr>
          <w:p>
            <w:pPr>
              <w:spacing w:before="0" w:after="0" w:line="240" w:lineRule="auto"/>
            </w:pPr>
            <w:r>
              <w:rPr>
                <w:rFonts w:ascii="Arial" w:hAnsi="Arial"/>
                <w:b w:val="0"/>
                <w:sz w:val="16"/>
              </w:rPr>
              <w:t>Actor, event name/version, compatibility decision, approval</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Access-role change</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 affected user/role, provider realm, permissions, before/after</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6"/>
              </w:rPr>
              <w:t>Data correction/reprocessing</w:t>
            </w:r>
          </w:p>
        </w:tc>
        <w:tc>
          <w:tcPr>
            <w:tcW w:type="dxa" w:w="6804"/>
            <w:vAlign w:val="top"/>
            <w:tcMar>
              <w:top w:w="70" w:type="dxa"/>
              <w:start w:w="80" w:type="dxa"/>
              <w:bottom w:w="70" w:type="dxa"/>
              <w:end w:w="80" w:type="dxa"/>
            </w:tcMar>
            <w:shd w:fill="F7F9FB"/>
          </w:tcPr>
          <w:p>
            <w:pPr>
              <w:spacing w:before="0" w:after="0" w:line="240" w:lineRule="auto"/>
            </w:pPr>
            <w:r>
              <w:rPr>
                <w:rFonts w:ascii="Arial" w:hAnsi="Arial"/>
                <w:b w:val="0"/>
                <w:sz w:val="16"/>
              </w:rPr>
              <w:t>Actor/service, affected period/source/metrics, reason, outcome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Attribution calculation/change</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Actor/service, model/version, window, conversion event, affected period, before/after credit, reason and outcome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Prediction generated/accessed/actioned</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Actor/service, model/version, purpose, scope, score band, confidence, outcome reference and access result</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Campaign audience or recovery action</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 provider, campaign, audience rule, consent/suppression checks, action, volume and outcome</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6"/>
              </w:rPr>
              <w:t>Revenue or inventory data correction</w:t>
            </w:r>
          </w:p>
        </w:tc>
        <w:tc>
          <w:tcPr>
            <w:tcW w:type="dxa" w:w="6804"/>
            <w:vAlign w:val="top"/>
            <w:tcMar>
              <w:top w:w="70" w:type="dxa"/>
              <w:start w:w="80" w:type="dxa"/>
              <w:bottom w:w="70" w:type="dxa"/>
              <w:end w:w="80" w:type="dxa"/>
            </w:tcMar>
          </w:tcPr>
          <w:p>
            <w:pPr>
              <w:spacing w:before="0" w:after="0" w:line="240" w:lineRule="auto"/>
            </w:pPr>
            <w:r>
              <w:rPr>
                <w:rFonts w:ascii="Arial" w:hAnsi="Arial"/>
                <w:b w:val="0"/>
                <w:sz w:val="16"/>
              </w:rPr>
              <w:t>Actor/service, source, product/order range, period, correction reason, control totals and reconciliation outcome</w:t>
            </w:r>
          </w:p>
        </w:tc>
      </w:tr>
    </w:tbl>
    <w:p>
      <w:pPr>
        <w:spacing w:after="20"/>
      </w:pPr>
    </w:p>
    <w:p>
      <w:pPr>
        <w:pStyle w:val="Heading1"/>
        <w:keepNext/>
      </w:pPr>
      <w:r>
        <w:t>19. Non-Functional Requirements</w:t>
      </w:r>
    </w:p>
    <w:p>
      <w:pPr>
        <w:pStyle w:val="Heading2"/>
        <w:keepNext/>
      </w:pPr>
      <w:r>
        <w:t>19.1 Performance and Scalability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ANL-NFR-001</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 standard dashboard using a preset period of 90 days or less shall display its initial summary within 3 seconds at the 95th percentile under normal operating load, excluding external dependency outages.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Performance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ANL-NFR-002</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 drill-down query returning the first page of results shall complete within 4 seconds at the 95th percentile under normal load.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Performance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ANL-NFR-003</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Filter changes shall update the view without a full Portal reload.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UI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ANL-NFR-004</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support horizontal scaling of event ingestion, processing, query and export services.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Architecture/load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ANL-NFR-005</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workloads shall not materially degrade transactional form, chat, notification or connector performance.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Load/isolation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ANL-NFR-006</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use bounded query ranges, paging, pre-aggregation, caching or equivalent controls to protect shared services.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Performance inspection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ANL-NFR-007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design shall support growth in providers, users, events, forms, submissions, connectors and campaigns without redefinition of core metric semantics.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Architecture review</w:t>
            </w:r>
          </w:p>
        </w:tc>
      </w:tr>
    </w:tbl>
    <w:p>
      <w:pPr>
        <w:spacing w:after="20"/>
      </w:pPr>
    </w:p>
    <w:p>
      <w:pPr>
        <w:pStyle w:val="Heading2"/>
        <w:keepNext/>
      </w:pPr>
      <w:r>
        <w:t>19.2 Availability and Reliability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ANL-NFR-008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Provider and Admin analytics shall target a configurable monthly availability objective, initially 99.5% excluding approved maintenance.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Availability report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ANL-NFR-009</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Event ingestion shall buffer or retry transient failures without requiring the originating transaction to fail.</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Resilience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ANL-NFR-010</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processing pipeline shall support replay from a governed checkpoint without double counting.</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Recovery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ANL-NFR-011</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support backup and restoration of metric definitions, configuration, aggregates and audit records.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Recovery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ANL-NFR-012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 dashboard shall remain usable with clearly labelled partial data when one non-critical data source is unavailable.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Resilience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ANL-NFR-013</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The system shall detect and alert on data-pipeline staleness, failed aggregation and reconciliation variance.</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Monitoring test</w:t>
            </w:r>
          </w:p>
        </w:tc>
      </w:tr>
    </w:tbl>
    <w:p>
      <w:pPr>
        <w:spacing w:after="20"/>
      </w:pPr>
    </w:p>
    <w:p>
      <w:pPr>
        <w:pStyle w:val="Heading2"/>
        <w:keepNext/>
      </w:pPr>
      <w:r>
        <w:t>19.3 Accessibility and Usability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ANL-NFR-014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screens shall conform to WCAG 2.2 Level AA requirements applicable to the implemented web interface.</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Accessibility audit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ANL-NFR-015</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All interactive controls and drill-down actions shall be operable by keyboard.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Accessibility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ANL-NFR-016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Charts shall provide programmatic names, text summaries and an accessible table or equivalent data representation.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Accessibility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ANL-NFR-017</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Focus order and visible focus indicators shall remain clear after filters, drill-downs and modal interactions.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Accessibility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ANL-NFR-018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Status shall not depend on colour alone, and charts shall maintain sufficient contrast.</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Accessibility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ANL-NFR-019</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Dates, numbers, percentages, durations and currencies shall use the user’s locale while exports retain unambiguous machine-readable values.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Localization test</w:t>
            </w:r>
          </w:p>
        </w:tc>
      </w:tr>
    </w:tbl>
    <w:p>
      <w:pPr>
        <w:spacing w:after="20"/>
      </w:pPr>
    </w:p>
    <w:p>
      <w:pPr>
        <w:pStyle w:val="Heading2"/>
        <w:keepNext/>
      </w:pPr>
      <w:r>
        <w:t>19.4 Maintainability and Observability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623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6"/>
              </w:rPr>
              <w:t>Priority</w:t>
            </w:r>
          </w:p>
        </w:tc>
        <w:tc>
          <w:tcPr>
            <w:tcW w:type="dxa" w:w="1474"/>
            <w:shd w:fill="1F4E78"/>
            <w:tcMar>
              <w:top w:w="70" w:type="dxa"/>
              <w:start w:w="80" w:type="dxa"/>
              <w:bottom w:w="70" w:type="dxa"/>
              <w:end w:w="80" w:type="dxa"/>
            </w:tcMar>
          </w:tcPr>
          <w:p>
            <w:pPr>
              <w:spacing w:before="0" w:after="0" w:line="240" w:lineRule="auto"/>
              <w:jc w:val="left"/>
            </w:pPr>
            <w:r>
              <w:rPr>
                <w:rFonts w:ascii="Arial" w:hAnsi="Arial"/>
                <w:b/>
                <w:color w:val="FFFFFF"/>
                <w:sz w:val="16"/>
              </w:rPr>
              <w:t>Verification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ANL-NFR-020</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components shall use modular, versioned interfaces and environment-driven configuration.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Architecture review</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ANL-NFR-021</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Telemetry produced by analytics services shall use consistent semantic naming across traces, metrics, logs and resources.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Code/telemetry review</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ANL-NFR-022</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Analytics services shall emit health, latency, traffic, error, saturation, queue and data-quality metrics.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Monitoring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ANL-NFR-023</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Every user-facing error shall include a non-sensitive correlation reference suitable for support.</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Functional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ANL-NFR-024</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Metric and event catalogues shall be deployable through controlled configuration and CI/CD processes.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Deployment test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6"/>
              </w:rPr>
              <w:t>ANL-NFR-025</w:t>
            </w:r>
          </w:p>
        </w:tc>
        <w:tc>
          <w:tcPr>
            <w:tcW w:type="dxa" w:w="6237"/>
            <w:vAlign w:val="top"/>
            <w:tcMar>
              <w:top w:w="70" w:type="dxa"/>
              <w:start w:w="80" w:type="dxa"/>
              <w:bottom w:w="70" w:type="dxa"/>
              <w:end w:w="80" w:type="dxa"/>
            </w:tcMar>
            <w:shd w:fill="F7F9FB"/>
          </w:tcPr>
          <w:p>
            <w:pPr>
              <w:spacing w:before="0" w:after="0" w:line="240" w:lineRule="auto"/>
            </w:pPr>
            <w:r>
              <w:rPr>
                <w:rFonts w:ascii="Arial" w:hAnsi="Arial"/>
                <w:b w:val="0"/>
                <w:sz w:val="16"/>
              </w:rPr>
              <w:t>Automated tests shall cover formulas, access filters, time zones, late events, deduplication, cohort suppression and export security.</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shd w:fill="F7F9FB"/>
          </w:tcPr>
          <w:p>
            <w:pPr>
              <w:spacing w:before="0" w:after="0" w:line="240" w:lineRule="auto"/>
            </w:pPr>
            <w:r>
              <w:rPr>
                <w:rFonts w:ascii="Arial" w:hAnsi="Arial"/>
                <w:b w:val="0"/>
                <w:sz w:val="16"/>
              </w:rPr>
              <w:t>Test evidence</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ANL-NFR-026</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Attribution and funnel calculations shall be reproducible for the configured audit period using retained source events or governed snapshots.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Reconciliation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ANL-NFR-027</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The predictive service shall meet model-specific scoring latency, throughput, freshness and availability objectives documented in the model record.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Should</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Performance test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6"/>
              </w:rPr>
              <w:t>ANL-NFR-028</w:t>
            </w:r>
          </w:p>
        </w:tc>
        <w:tc>
          <w:tcPr>
            <w:tcW w:type="dxa" w:w="6237"/>
            <w:vAlign w:val="top"/>
            <w:tcMar>
              <w:top w:w="70" w:type="dxa"/>
              <w:start w:w="80" w:type="dxa"/>
              <w:bottom w:w="70" w:type="dxa"/>
              <w:end w:w="80" w:type="dxa"/>
            </w:tcMar>
          </w:tcPr>
          <w:p>
            <w:pPr>
              <w:spacing w:before="0" w:after="0" w:line="240" w:lineRule="auto"/>
            </w:pPr>
            <w:r>
              <w:rPr>
                <w:rFonts w:ascii="Arial" w:hAnsi="Arial"/>
                <w:b w:val="0"/>
                <w:sz w:val="16"/>
              </w:rPr>
              <w:t>Model deployment, rollback, monitoring and retirement shall use controlled, versioned and auditable processes.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6"/>
              </w:rPr>
              <w:t>Must</w:t>
            </w:r>
          </w:p>
        </w:tc>
        <w:tc>
          <w:tcPr>
            <w:tcW w:type="dxa" w:w="1474"/>
            <w:vAlign w:val="top"/>
            <w:tcMar>
              <w:top w:w="70" w:type="dxa"/>
              <w:start w:w="80" w:type="dxa"/>
              <w:bottom w:w="70" w:type="dxa"/>
              <w:end w:w="80" w:type="dxa"/>
            </w:tcMar>
          </w:tcPr>
          <w:p>
            <w:pPr>
              <w:spacing w:before="0" w:after="0" w:line="240" w:lineRule="auto"/>
            </w:pPr>
            <w:r>
              <w:rPr>
                <w:rFonts w:ascii="Arial" w:hAnsi="Arial"/>
                <w:b w:val="0"/>
                <w:sz w:val="16"/>
              </w:rPr>
              <w:t>Deployment/governance test</w:t>
            </w:r>
          </w:p>
        </w:tc>
      </w:tr>
    </w:tbl>
    <w:p>
      <w:pPr>
        <w:spacing w:after="20"/>
      </w:pPr>
    </w:p>
    <w:p>
      <w:pPr>
        <w:pStyle w:val="Heading1"/>
        <w:keepNext/>
      </w:pPr>
      <w:r>
        <w:t>20. Integration Requirements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268"/>
            <w:shd w:fill="1F4E78"/>
            <w:tcMar>
              <w:top w:w="70" w:type="dxa"/>
              <w:start w:w="80" w:type="dxa"/>
              <w:bottom w:w="70" w:type="dxa"/>
              <w:end w:w="80" w:type="dxa"/>
            </w:tcMar>
          </w:tcPr>
          <w:p>
            <w:pPr>
              <w:spacing w:before="0" w:after="0" w:line="240" w:lineRule="auto"/>
              <w:jc w:val="left"/>
            </w:pPr>
            <w:r>
              <w:rPr>
                <w:rFonts w:ascii="Arial" w:hAnsi="Arial"/>
                <w:b/>
                <w:color w:val="FFFFFF"/>
                <w:sz w:val="16"/>
              </w:rPr>
              <w:t>Integration</w:t>
            </w:r>
          </w:p>
        </w:tc>
        <w:tc>
          <w:tcPr>
            <w:tcW w:type="dxa" w:w="7371"/>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Requirements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Mobile Application</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Emit governed user-journey and technical events; support offline buffering and later delivery; avoid sensitive payload capture.</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Provider Portal</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Emit provider-user interaction events and render provider analytics using realm-constrained APIs.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Administration Portal</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Render global and operational analytics using global-role APIs and environment controls.</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API Platform</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Emit request, outcome and duration telemetry and business events for forms, submissions, providers and sessions.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Messaging Infrastructure</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conversation and delivery metadata without message content.</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Notification Infrastructure</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Provide queue, send, delivery, failure, open and action events with channel/provider metadata.</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Connector Run Environment</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provisioning, request, usage, error and latency events per provider connector instance.</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Advertising Management</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Provide campaign, placement, creative, impression, viewability, click, conversion and invalid-traffic events.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Billing and Entitlements</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subscription, entitlement, charge, usage and payment-status events subject to commercial permissions.</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Observability Stack</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Provide approved infrastructure/service metrics and links to logs/traces using correlation identifiers.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Identity and RBAC</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Supply authenticated user identity, provider realm and permission claims for every analytics request.</w:t>
            </w:r>
          </w:p>
        </w:tc>
      </w:tr>
      <w:tr>
        <w:trPr>
          <w:cantSplit/>
        </w:trPr>
        <w:tc>
          <w:tcPr>
            <w:tcW w:type="dxa" w:w="2268"/>
            <w:vAlign w:val="top"/>
            <w:tcMar>
              <w:top w:w="70" w:type="dxa"/>
              <w:start w:w="80" w:type="dxa"/>
              <w:bottom w:w="70" w:type="dxa"/>
              <w:end w:w="80" w:type="dxa"/>
            </w:tcMar>
            <w:shd w:fill="F7F9FB"/>
          </w:tcPr>
          <w:p>
            <w:pPr>
              <w:spacing w:before="0" w:after="0" w:line="240" w:lineRule="auto"/>
            </w:pPr>
            <w:r>
              <w:rPr>
                <w:rFonts w:ascii="Arial" w:hAnsi="Arial"/>
                <w:b/>
                <w:sz w:val="16"/>
              </w:rPr>
              <w:t>Provider Systems</w:t>
            </w:r>
          </w:p>
        </w:tc>
        <w:tc>
          <w:tcPr>
            <w:tcW w:type="dxa" w:w="7371"/>
            <w:vAlign w:val="top"/>
            <w:tcMar>
              <w:top w:w="70" w:type="dxa"/>
              <w:start w:w="80" w:type="dxa"/>
              <w:bottom w:w="70" w:type="dxa"/>
              <w:end w:w="80" w:type="dxa"/>
            </w:tcMar>
            <w:shd w:fill="F7F9FB"/>
          </w:tcPr>
          <w:p>
            <w:pPr>
              <w:spacing w:before="0" w:after="0" w:line="240" w:lineRule="auto"/>
            </w:pPr>
            <w:r>
              <w:rPr>
                <w:rFonts w:ascii="Arial" w:hAnsi="Arial"/>
                <w:b w:val="0"/>
                <w:sz w:val="16"/>
              </w:rPr>
              <w:t>Where submission data resides externally, supply only approved outcome/status events or aggregated controls required for analytics and reconciliation.</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WhatsApp Business / Messaging Connectors</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channel conversation, template, campaign, delivery, read, click, reply, failure, opt-out and charge metadata where available; exclude message content from analytics.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Web and Acquisition Sources</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governed source, medium, campaign, referrer, landing, session and conversion events using a consistent event and attribution model.</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Commerce / Order Management</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product, cart, checkout, order, payment, cancellation, refund and revenue events with stable source identifiers and currency.</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Product Catalogue and Inventory</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product classifications, price where approved, inventory state, replenishment, availability and sale-out events.</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Advertising Cost Sources</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media spend, placement cost, channel charge or campaign cost with currency and applicable period.</w:t>
            </w:r>
          </w:p>
        </w:tc>
      </w:tr>
      <w:tr>
        <w:trPr>
          <w:cantSplit/>
        </w:trPr>
        <w:tc>
          <w:tcPr>
            <w:tcW w:type="dxa" w:w="2268"/>
            <w:vAlign w:val="top"/>
            <w:tcMar>
              <w:top w:w="70" w:type="dxa"/>
              <w:start w:w="80" w:type="dxa"/>
              <w:bottom w:w="70" w:type="dxa"/>
              <w:end w:w="80" w:type="dxa"/>
            </w:tcMar>
          </w:tcPr>
          <w:p>
            <w:pPr>
              <w:spacing w:before="0" w:after="0" w:line="240" w:lineRule="auto"/>
            </w:pPr>
            <w:r>
              <w:rPr>
                <w:rFonts w:ascii="Arial" w:hAnsi="Arial"/>
                <w:b/>
                <w:sz w:val="16"/>
              </w:rPr>
              <w:t>Model Serving and Registry</w:t>
            </w:r>
          </w:p>
        </w:tc>
        <w:tc>
          <w:tcPr>
            <w:tcW w:type="dxa" w:w="7371"/>
            <w:vAlign w:val="top"/>
            <w:tcMar>
              <w:top w:w="70" w:type="dxa"/>
              <w:start w:w="80" w:type="dxa"/>
              <w:bottom w:w="70" w:type="dxa"/>
              <w:end w:w="80" w:type="dxa"/>
            </w:tcMar>
          </w:tcPr>
          <w:p>
            <w:pPr>
              <w:spacing w:before="0" w:after="0" w:line="240" w:lineRule="auto"/>
            </w:pPr>
            <w:r>
              <w:rPr>
                <w:rFonts w:ascii="Arial" w:hAnsi="Arial"/>
                <w:b w:val="0"/>
                <w:sz w:val="16"/>
              </w:rPr>
              <w:t>Provide approved model metadata, versioned predictions, confidence, explanations, quality, drift and observed-outcome feedback.</w:t>
            </w:r>
          </w:p>
        </w:tc>
      </w:tr>
    </w:tbl>
    <w:p>
      <w:pPr>
        <w:spacing w:after="20"/>
      </w:pPr>
    </w:p>
    <w:p>
      <w:pPr>
        <w:pStyle w:val="Heading1"/>
        <w:keepNext/>
      </w:pPr>
      <w:r>
        <w:t>21. Error Handling and User Messages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494"/>
            <w:shd w:fill="1F4E78"/>
            <w:tcMar>
              <w:top w:w="70" w:type="dxa"/>
              <w:start w:w="80" w:type="dxa"/>
              <w:bottom w:w="70" w:type="dxa"/>
              <w:end w:w="80" w:type="dxa"/>
            </w:tcMar>
          </w:tcPr>
          <w:p>
            <w:pPr>
              <w:spacing w:before="0" w:after="0" w:line="240" w:lineRule="auto"/>
              <w:jc w:val="left"/>
            </w:pPr>
            <w:r>
              <w:rPr>
                <w:rFonts w:ascii="Arial" w:hAnsi="Arial"/>
                <w:b/>
                <w:color w:val="FFFFFF"/>
                <w:sz w:val="16"/>
              </w:rPr>
              <w:t>Condition</w:t>
            </w:r>
          </w:p>
        </w:tc>
        <w:tc>
          <w:tcPr>
            <w:tcW w:type="dxa" w:w="7144"/>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Required Behaviour</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No data for selection</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Show “No data for the selected period and filters”; do not display zero unless zero is known.</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Data delayed</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Show last complete time, affected source and delayed/stale status.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Partial data</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Show available results with a visible warning and list affected metrics or sources.</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Metric suppressed</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Show “Suppressed to protect privacy” and explain the minimum-volume rule without disclosing the hidden value.</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Permission denied</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Show a generic access message and do not reveal whether restricted data exists.</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Query too broad</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Prompt the user to reduce the period or dimensions; preserve current selections.</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Export failed</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Record the failure, show a correlation reference and allow retry.</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Metric definition changed</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Show the effective-date annotation and provide access to both definition versions where permitted.</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Unsupported comparison</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Explain why comparison is unavailable, for example insufficient prior-period data.</w:t>
            </w:r>
          </w:p>
        </w:tc>
      </w:tr>
      <w:tr>
        <w:trPr>
          <w:cantSplit/>
        </w:trPr>
        <w:tc>
          <w:tcPr>
            <w:tcW w:type="dxa" w:w="2494"/>
            <w:vAlign w:val="top"/>
            <w:tcMar>
              <w:top w:w="70" w:type="dxa"/>
              <w:start w:w="80" w:type="dxa"/>
              <w:bottom w:w="70" w:type="dxa"/>
              <w:end w:w="80" w:type="dxa"/>
            </w:tcMar>
            <w:shd w:fill="F7F9FB"/>
          </w:tcPr>
          <w:p>
            <w:pPr>
              <w:spacing w:before="0" w:after="0" w:line="240" w:lineRule="auto"/>
            </w:pPr>
            <w:r>
              <w:rPr>
                <w:rFonts w:ascii="Arial" w:hAnsi="Arial"/>
                <w:b/>
                <w:sz w:val="16"/>
              </w:rPr>
              <w:t>Source reconciliation failed</w:t>
            </w:r>
          </w:p>
        </w:tc>
        <w:tc>
          <w:tcPr>
            <w:tcW w:type="dxa" w:w="7144"/>
            <w:vAlign w:val="top"/>
            <w:tcMar>
              <w:top w:w="70" w:type="dxa"/>
              <w:start w:w="80" w:type="dxa"/>
              <w:bottom w:w="70" w:type="dxa"/>
              <w:end w:w="80" w:type="dxa"/>
            </w:tcMar>
            <w:shd w:fill="F7F9FB"/>
          </w:tcPr>
          <w:p>
            <w:pPr>
              <w:spacing w:before="0" w:after="0" w:line="240" w:lineRule="auto"/>
            </w:pPr>
            <w:r>
              <w:rPr>
                <w:rFonts w:ascii="Arial" w:hAnsi="Arial"/>
                <w:b w:val="0"/>
                <w:sz w:val="16"/>
              </w:rPr>
              <w:t>Flag affected metrics and prevent presentation as fully verified.</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Attribution unavailable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Show the missing conversion, cost or touchpoint source, active model and coverage; do not substitute a different model silently.</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Revenue not reconciled</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Flag values as provisional, show the source and last successful reconciliation, and prevent presentation as verified.</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Channel metric unsupported</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Show “Not measurable for this channel or message type”; do not display zero.</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Prediction unavailable or unreliable</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Show model status, affected population or feature, last valid score time and reason for suppression.</w:t>
            </w:r>
          </w:p>
        </w:tc>
      </w:tr>
      <w:tr>
        <w:trPr>
          <w:cantSplit/>
        </w:trPr>
        <w:tc>
          <w:tcPr>
            <w:tcW w:type="dxa" w:w="2494"/>
            <w:vAlign w:val="top"/>
            <w:tcMar>
              <w:top w:w="70" w:type="dxa"/>
              <w:start w:w="80" w:type="dxa"/>
              <w:bottom w:w="70" w:type="dxa"/>
              <w:end w:w="80" w:type="dxa"/>
            </w:tcMar>
          </w:tcPr>
          <w:p>
            <w:pPr>
              <w:spacing w:before="0" w:after="0" w:line="240" w:lineRule="auto"/>
            </w:pPr>
            <w:r>
              <w:rPr>
                <w:rFonts w:ascii="Arial" w:hAnsi="Arial"/>
                <w:b/>
                <w:sz w:val="16"/>
              </w:rPr>
              <w:t>Consent or recovery restriction</w:t>
            </w:r>
          </w:p>
        </w:tc>
        <w:tc>
          <w:tcPr>
            <w:tcW w:type="dxa" w:w="7144"/>
            <w:vAlign w:val="top"/>
            <w:tcMar>
              <w:top w:w="70" w:type="dxa"/>
              <w:start w:w="80" w:type="dxa"/>
              <w:bottom w:w="70" w:type="dxa"/>
              <w:end w:w="80" w:type="dxa"/>
            </w:tcMar>
          </w:tcPr>
          <w:p>
            <w:pPr>
              <w:spacing w:before="0" w:after="0" w:line="240" w:lineRule="auto"/>
            </w:pPr>
            <w:r>
              <w:rPr>
                <w:rFonts w:ascii="Arial" w:hAnsi="Arial"/>
                <w:b w:val="0"/>
                <w:sz w:val="16"/>
              </w:rPr>
              <w:t>Explain that the audience or recovery action is restricted without revealing suppressed individuals.</w:t>
            </w:r>
          </w:p>
        </w:tc>
      </w:tr>
    </w:tbl>
    <w:p>
      <w:pPr>
        <w:spacing w:after="20"/>
      </w:pPr>
    </w:p>
    <w:p>
      <w:pPr>
        <w:pStyle w:val="Heading1"/>
        <w:keepNext/>
      </w:pPr>
      <w:r>
        <w:t>22. Acceptance Criteria</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7"/>
              </w:rPr>
              <w:t>ID</w:t>
            </w:r>
          </w:p>
        </w:tc>
        <w:tc>
          <w:tcPr>
            <w:tcW w:type="dxa" w:w="8391"/>
            <w:shd w:fill="1F4E78"/>
            <w:tcMar>
              <w:top w:w="70" w:type="dxa"/>
              <w:start w:w="80" w:type="dxa"/>
              <w:bottom w:w="70" w:type="dxa"/>
              <w:end w:w="80" w:type="dxa"/>
            </w:tcMar>
          </w:tcPr>
          <w:p>
            <w:pPr>
              <w:spacing w:before="0" w:after="0" w:line="240" w:lineRule="auto"/>
              <w:jc w:val="left"/>
            </w:pPr>
            <w:r>
              <w:rPr>
                <w:rFonts w:ascii="Arial" w:hAnsi="Arial"/>
                <w:b/>
                <w:color w:val="FFFFFF"/>
                <w:sz w:val="17"/>
              </w:rPr>
              <w:t>Acceptance Criterion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AC-001</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An authorised provider user can open analytics and see only data attributable to that provider realm and permitted organisation scope.</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7"/>
              </w:rPr>
              <w:t>AC-002</w:t>
            </w:r>
          </w:p>
        </w:tc>
        <w:tc>
          <w:tcPr>
            <w:tcW w:type="dxa" w:w="8391"/>
            <w:vAlign w:val="top"/>
            <w:tcMar>
              <w:top w:w="70" w:type="dxa"/>
              <w:start w:w="80" w:type="dxa"/>
              <w:bottom w:w="70" w:type="dxa"/>
              <w:end w:w="80" w:type="dxa"/>
            </w:tcMar>
            <w:shd w:fill="F7F9FB"/>
          </w:tcPr>
          <w:p>
            <w:pPr>
              <w:spacing w:before="0" w:after="0" w:line="240" w:lineRule="auto"/>
            </w:pPr>
            <w:r>
              <w:rPr>
                <w:rFonts w:ascii="Arial" w:hAnsi="Arial"/>
                <w:b w:val="0"/>
                <w:sz w:val="17"/>
              </w:rPr>
              <w:t>An authorised lulaFi Admin user can view global summaries and drill to provider detail only when granted the required permission.</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AC-003</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All required time presets, custom range, time zone and prior-period comparisons operate consistently across provider and global views.</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7"/>
              </w:rPr>
              <w:t>AC-004</w:t>
            </w:r>
          </w:p>
        </w:tc>
        <w:tc>
          <w:tcPr>
            <w:tcW w:type="dxa" w:w="8391"/>
            <w:vAlign w:val="top"/>
            <w:tcMar>
              <w:top w:w="70" w:type="dxa"/>
              <w:start w:w="80" w:type="dxa"/>
              <w:bottom w:w="70" w:type="dxa"/>
              <w:end w:w="80" w:type="dxa"/>
            </w:tcMar>
            <w:shd w:fill="F7F9FB"/>
          </w:tcPr>
          <w:p>
            <w:pPr>
              <w:spacing w:before="0" w:after="0" w:line="240" w:lineRule="auto"/>
            </w:pPr>
            <w:r>
              <w:rPr>
                <w:rFonts w:ascii="Arial" w:hAnsi="Arial"/>
                <w:b w:val="0"/>
                <w:sz w:val="17"/>
              </w:rPr>
              <w:t>The core KPI catalogue is implemented with approved formulas, denominators, metric versions and data-quality status.</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AC-005</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Form funnel, workflow, messaging, notification, connector, advertising and reliability analytics reconcile to approved test data.</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7"/>
              </w:rPr>
              <w:t>AC-006</w:t>
            </w:r>
          </w:p>
        </w:tc>
        <w:tc>
          <w:tcPr>
            <w:tcW w:type="dxa" w:w="8391"/>
            <w:vAlign w:val="top"/>
            <w:tcMar>
              <w:top w:w="70" w:type="dxa"/>
              <w:start w:w="80" w:type="dxa"/>
              <w:bottom w:w="70" w:type="dxa"/>
              <w:end w:w="80" w:type="dxa"/>
            </w:tcMar>
            <w:shd w:fill="F7F9FB"/>
          </w:tcPr>
          <w:p>
            <w:pPr>
              <w:spacing w:before="0" w:after="0" w:line="240" w:lineRule="auto"/>
            </w:pPr>
            <w:r>
              <w:rPr>
                <w:rFonts w:ascii="Arial" w:hAnsi="Arial"/>
                <w:b w:val="0"/>
                <w:sz w:val="17"/>
              </w:rPr>
              <w:t>Drill-down preserves filters and prevents exposure of prohibited content or unauthorised records.</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AC-007</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CSV, XLSX and PDF exports match the interactive access scope, include report metadata and are audited.</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7"/>
              </w:rPr>
              <w:t>AC-008</w:t>
            </w:r>
          </w:p>
        </w:tc>
        <w:tc>
          <w:tcPr>
            <w:tcW w:type="dxa" w:w="8391"/>
            <w:vAlign w:val="top"/>
            <w:tcMar>
              <w:top w:w="70" w:type="dxa"/>
              <w:start w:w="80" w:type="dxa"/>
              <w:bottom w:w="70" w:type="dxa"/>
              <w:end w:w="80" w:type="dxa"/>
            </w:tcMar>
            <w:shd w:fill="F7F9FB"/>
          </w:tcPr>
          <w:p>
            <w:pPr>
              <w:spacing w:before="0" w:after="0" w:line="240" w:lineRule="auto"/>
            </w:pPr>
            <w:r>
              <w:rPr>
                <w:rFonts w:ascii="Arial" w:hAnsi="Arial"/>
                <w:b w:val="0"/>
                <w:sz w:val="17"/>
              </w:rPr>
              <w:t>Late, duplicate and rejected events are handled without double counting and are visible in data-quality reporting.</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AC-009</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Dashboard and drill-down performance meet the stated percentile targets under the approved load profile.</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7"/>
              </w:rPr>
              <w:t>AC-010</w:t>
            </w:r>
          </w:p>
        </w:tc>
        <w:tc>
          <w:tcPr>
            <w:tcW w:type="dxa" w:w="8391"/>
            <w:vAlign w:val="top"/>
            <w:tcMar>
              <w:top w:w="70" w:type="dxa"/>
              <w:start w:w="80" w:type="dxa"/>
              <w:bottom w:w="70" w:type="dxa"/>
              <w:end w:w="80" w:type="dxa"/>
            </w:tcMar>
            <w:shd w:fill="F7F9FB"/>
          </w:tcPr>
          <w:p>
            <w:pPr>
              <w:spacing w:before="0" w:after="0" w:line="240" w:lineRule="auto"/>
            </w:pPr>
            <w:r>
              <w:rPr>
                <w:rFonts w:ascii="Arial" w:hAnsi="Arial"/>
                <w:b w:val="0"/>
                <w:sz w:val="17"/>
              </w:rPr>
              <w:t>Analytics screens pass the agreed WCAG 2.2 Level AA accessibility assessment.</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AC-011</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Metric, schema, export and sensitive-access audit records are complete and tamper-evident.</w:t>
            </w:r>
          </w:p>
        </w:tc>
      </w:tr>
      <w:tr>
        <w:trPr>
          <w:cantSplit/>
        </w:trPr>
        <w:tc>
          <w:tcPr>
            <w:tcW w:type="dxa" w:w="1247"/>
            <w:vAlign w:val="top"/>
            <w:tcMar>
              <w:top w:w="70" w:type="dxa"/>
              <w:start w:w="80" w:type="dxa"/>
              <w:bottom w:w="70" w:type="dxa"/>
              <w:end w:w="80" w:type="dxa"/>
            </w:tcMar>
            <w:shd w:fill="F7F9FB"/>
          </w:tcPr>
          <w:p>
            <w:pPr>
              <w:spacing w:before="0" w:after="0" w:line="240" w:lineRule="auto"/>
            </w:pPr>
            <w:r>
              <w:rPr>
                <w:rFonts w:ascii="Arial" w:hAnsi="Arial"/>
                <w:b/>
                <w:sz w:val="17"/>
              </w:rPr>
              <w:t>AC-012</w:t>
            </w:r>
          </w:p>
        </w:tc>
        <w:tc>
          <w:tcPr>
            <w:tcW w:type="dxa" w:w="8391"/>
            <w:vAlign w:val="top"/>
            <w:tcMar>
              <w:top w:w="70" w:type="dxa"/>
              <w:start w:w="80" w:type="dxa"/>
              <w:bottom w:w="70" w:type="dxa"/>
              <w:end w:w="80" w:type="dxa"/>
            </w:tcMar>
            <w:shd w:fill="F7F9FB"/>
          </w:tcPr>
          <w:p>
            <w:pPr>
              <w:spacing w:before="0" w:after="0" w:line="240" w:lineRule="auto"/>
            </w:pPr>
            <w:r>
              <w:rPr>
                <w:rFonts w:ascii="Arial" w:hAnsi="Arial"/>
                <w:b w:val="0"/>
                <w:sz w:val="17"/>
              </w:rPr>
              <w:t>Analytics pipeline failure does not block transactional lulaFi functions and recovery/replay does not duplicate metrics.</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AC-013</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Conversational campaigns reconcile sent, delivered, read, clicked, replied, converted and opt-out events for channels that support them, with unsupported states shown as unavailable.</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AC-014</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A provider can analyse acquisition and full-funnel progression by source, medium and campaign without accessing another provider’s data.</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AC-015</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Cart abandonment and recovery metrics distinguish organic and campaign-attributed recovery and reconcile to controlled test orders.</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AC-016</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Revenue reports disclose currency, gross/net basis, attribution model, window, coverage, unattributed share and reconciliation status.</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AC-017</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Predictive insights display model version, confidence, explanation, freshness and limitations and are suppressed when the model is stale or unreliable.</w:t>
            </w:r>
          </w:p>
        </w:tc>
      </w:tr>
      <w:tr>
        <w:trPr>
          <w:cantSplit/>
        </w:trPr>
        <w:tc>
          <w:tcPr>
            <w:tcW w:type="dxa" w:w="1247"/>
            <w:vAlign w:val="top"/>
            <w:tcMar>
              <w:top w:w="70" w:type="dxa"/>
              <w:start w:w="80" w:type="dxa"/>
              <w:bottom w:w="70" w:type="dxa"/>
              <w:end w:w="80" w:type="dxa"/>
            </w:tcMar>
          </w:tcPr>
          <w:p>
            <w:pPr>
              <w:spacing w:before="0" w:after="0" w:line="240" w:lineRule="auto"/>
            </w:pPr>
            <w:r>
              <w:rPr>
                <w:rFonts w:ascii="Arial" w:hAnsi="Arial"/>
                <w:b/>
                <w:sz w:val="17"/>
              </w:rPr>
              <w:t>AC-018</w:t>
            </w:r>
          </w:p>
        </w:tc>
        <w:tc>
          <w:tcPr>
            <w:tcW w:type="dxa" w:w="8391"/>
            <w:vAlign w:val="top"/>
            <w:tcMar>
              <w:top w:w="70" w:type="dxa"/>
              <w:start w:w="80" w:type="dxa"/>
              <w:bottom w:w="70" w:type="dxa"/>
              <w:end w:w="80" w:type="dxa"/>
            </w:tcMar>
          </w:tcPr>
          <w:p>
            <w:pPr>
              <w:spacing w:before="0" w:after="0" w:line="240" w:lineRule="auto"/>
            </w:pPr>
            <w:r>
              <w:rPr>
                <w:rFonts w:ascii="Arial" w:hAnsi="Arial"/>
                <w:b w:val="0"/>
                <w:sz w:val="17"/>
              </w:rPr>
              <w:t>Marketing consent, opt-out, suppression and privacy controls are enforced consistently in dashboards, audiences, exports and recovery actions.</w:t>
            </w:r>
          </w:p>
        </w:tc>
      </w:tr>
    </w:tbl>
    <w:p>
      <w:pPr>
        <w:spacing w:after="20"/>
      </w:pPr>
    </w:p>
    <w:p>
      <w:pPr>
        <w:pStyle w:val="Heading2"/>
        <w:keepNext/>
      </w:pPr>
      <w:r>
        <w:t>22.1 Minimum Test Scenarios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134"/>
            <w:shd w:fill="1F4E78"/>
            <w:tcMar>
              <w:top w:w="70" w:type="dxa"/>
              <w:start w:w="80" w:type="dxa"/>
              <w:bottom w:w="70" w:type="dxa"/>
              <w:end w:w="80" w:type="dxa"/>
            </w:tcMar>
          </w:tcPr>
          <w:p>
            <w:pPr>
              <w:spacing w:before="0" w:after="0" w:line="240" w:lineRule="auto"/>
              <w:jc w:val="left"/>
            </w:pPr>
            <w:r>
              <w:rPr>
                <w:rFonts w:ascii="Arial" w:hAnsi="Arial"/>
                <w:b/>
                <w:color w:val="FFFFFF"/>
                <w:sz w:val="16"/>
              </w:rPr>
              <w:t>ID</w:t>
            </w:r>
          </w:p>
        </w:tc>
        <w:tc>
          <w:tcPr>
            <w:tcW w:type="dxa" w:w="2324"/>
            <w:shd w:fill="1F4E78"/>
            <w:tcMar>
              <w:top w:w="70" w:type="dxa"/>
              <w:start w:w="80" w:type="dxa"/>
              <w:bottom w:w="70" w:type="dxa"/>
              <w:end w:w="80" w:type="dxa"/>
            </w:tcMar>
          </w:tcPr>
          <w:p>
            <w:pPr>
              <w:spacing w:before="0" w:after="0" w:line="240" w:lineRule="auto"/>
              <w:jc w:val="left"/>
            </w:pPr>
            <w:r>
              <w:rPr>
                <w:rFonts w:ascii="Arial" w:hAnsi="Arial"/>
                <w:b/>
                <w:color w:val="FFFFFF"/>
                <w:sz w:val="16"/>
              </w:rPr>
              <w:t>Scenario</w:t>
            </w:r>
          </w:p>
        </w:tc>
        <w:tc>
          <w:tcPr>
            <w:tcW w:type="dxa" w:w="6180"/>
            <w:shd w:fill="1F4E78"/>
            <w:tcMar>
              <w:top w:w="70" w:type="dxa"/>
              <w:start w:w="80" w:type="dxa"/>
              <w:bottom w:w="70" w:type="dxa"/>
              <w:end w:w="80" w:type="dxa"/>
            </w:tcMar>
          </w:tcPr>
          <w:p>
            <w:pPr>
              <w:spacing w:before="0" w:after="0" w:line="240" w:lineRule="auto"/>
              <w:jc w:val="left"/>
            </w:pPr>
            <w:r>
              <w:rPr>
                <w:rFonts w:ascii="Arial" w:hAnsi="Arial"/>
                <w:b/>
                <w:color w:val="FFFFFF"/>
                <w:sz w:val="16"/>
              </w:rPr>
              <w:t>Expected Validation</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TS-001</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Provider isolation</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Create two providers with overlapping form names; verify each provider sees only its own events, drill-down and exports.</w:t>
            </w:r>
          </w:p>
        </w:tc>
      </w:tr>
      <w:tr>
        <w:trPr>
          <w:cantSplit/>
        </w:trPr>
        <w:tc>
          <w:tcPr>
            <w:tcW w:type="dxa" w:w="1134"/>
            <w:vAlign w:val="top"/>
            <w:tcMar>
              <w:top w:w="70" w:type="dxa"/>
              <w:start w:w="80" w:type="dxa"/>
              <w:bottom w:w="70" w:type="dxa"/>
              <w:end w:w="80" w:type="dxa"/>
            </w:tcMar>
            <w:shd w:fill="F7F9FB"/>
          </w:tcPr>
          <w:p>
            <w:pPr>
              <w:spacing w:before="0" w:after="0" w:line="240" w:lineRule="auto"/>
            </w:pPr>
            <w:r>
              <w:rPr>
                <w:rFonts w:ascii="Arial" w:hAnsi="Arial"/>
                <w:b/>
                <w:sz w:val="16"/>
              </w:rPr>
              <w:t>TS-002</w:t>
            </w:r>
          </w:p>
        </w:tc>
        <w:tc>
          <w:tcPr>
            <w:tcW w:type="dxa" w:w="2324"/>
            <w:vAlign w:val="top"/>
            <w:tcMar>
              <w:top w:w="70" w:type="dxa"/>
              <w:start w:w="80" w:type="dxa"/>
              <w:bottom w:w="70" w:type="dxa"/>
              <w:end w:w="80" w:type="dxa"/>
            </w:tcMar>
            <w:shd w:fill="F7F9FB"/>
          </w:tcPr>
          <w:p>
            <w:pPr>
              <w:spacing w:before="0" w:after="0" w:line="240" w:lineRule="auto"/>
            </w:pPr>
            <w:r>
              <w:rPr>
                <w:rFonts w:ascii="Arial" w:hAnsi="Arial"/>
                <w:b w:val="0"/>
                <w:sz w:val="16"/>
              </w:rPr>
              <w:t>Role restrictions</w:t>
            </w:r>
          </w:p>
        </w:tc>
        <w:tc>
          <w:tcPr>
            <w:tcW w:type="dxa" w:w="6180"/>
            <w:vAlign w:val="top"/>
            <w:tcMar>
              <w:top w:w="70" w:type="dxa"/>
              <w:start w:w="80" w:type="dxa"/>
              <w:bottom w:w="70" w:type="dxa"/>
              <w:end w:w="80" w:type="dxa"/>
            </w:tcMar>
            <w:shd w:fill="F7F9FB"/>
          </w:tcPr>
          <w:p>
            <w:pPr>
              <w:spacing w:before="0" w:after="0" w:line="240" w:lineRule="auto"/>
            </w:pPr>
            <w:r>
              <w:rPr>
                <w:rFonts w:ascii="Arial" w:hAnsi="Arial"/>
                <w:b w:val="0"/>
                <w:sz w:val="16"/>
              </w:rPr>
              <w:t>Verify viewer, analyst, administrator, support and global roles against dashboard, drill and export actions.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TS-003</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Time zones</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Ingest events around midnight UTC and daylight/locale boundaries; verify provider-local period allocation.</w:t>
            </w:r>
          </w:p>
        </w:tc>
      </w:tr>
      <w:tr>
        <w:trPr>
          <w:cantSplit/>
        </w:trPr>
        <w:tc>
          <w:tcPr>
            <w:tcW w:type="dxa" w:w="1134"/>
            <w:vAlign w:val="top"/>
            <w:tcMar>
              <w:top w:w="70" w:type="dxa"/>
              <w:start w:w="80" w:type="dxa"/>
              <w:bottom w:w="70" w:type="dxa"/>
              <w:end w:w="80" w:type="dxa"/>
            </w:tcMar>
            <w:shd w:fill="F7F9FB"/>
          </w:tcPr>
          <w:p>
            <w:pPr>
              <w:spacing w:before="0" w:after="0" w:line="240" w:lineRule="auto"/>
            </w:pPr>
            <w:r>
              <w:rPr>
                <w:rFonts w:ascii="Arial" w:hAnsi="Arial"/>
                <w:b/>
                <w:sz w:val="16"/>
              </w:rPr>
              <w:t>TS-004</w:t>
            </w:r>
          </w:p>
        </w:tc>
        <w:tc>
          <w:tcPr>
            <w:tcW w:type="dxa" w:w="2324"/>
            <w:vAlign w:val="top"/>
            <w:tcMar>
              <w:top w:w="70" w:type="dxa"/>
              <w:start w:w="80" w:type="dxa"/>
              <w:bottom w:w="70" w:type="dxa"/>
              <w:end w:w="80" w:type="dxa"/>
            </w:tcMar>
            <w:shd w:fill="F7F9FB"/>
          </w:tcPr>
          <w:p>
            <w:pPr>
              <w:spacing w:before="0" w:after="0" w:line="240" w:lineRule="auto"/>
            </w:pPr>
            <w:r>
              <w:rPr>
                <w:rFonts w:ascii="Arial" w:hAnsi="Arial"/>
                <w:b w:val="0"/>
                <w:sz w:val="16"/>
              </w:rPr>
              <w:t>Formula reconciliation</w:t>
            </w:r>
          </w:p>
        </w:tc>
        <w:tc>
          <w:tcPr>
            <w:tcW w:type="dxa" w:w="6180"/>
            <w:vAlign w:val="top"/>
            <w:tcMar>
              <w:top w:w="70" w:type="dxa"/>
              <w:start w:w="80" w:type="dxa"/>
              <w:bottom w:w="70" w:type="dxa"/>
              <w:end w:w="80" w:type="dxa"/>
            </w:tcMar>
            <w:shd w:fill="F7F9FB"/>
          </w:tcPr>
          <w:p>
            <w:pPr>
              <w:spacing w:before="0" w:after="0" w:line="240" w:lineRule="auto"/>
            </w:pPr>
            <w:r>
              <w:rPr>
                <w:rFonts w:ascii="Arial" w:hAnsi="Arial"/>
                <w:b w:val="0"/>
                <w:sz w:val="16"/>
              </w:rPr>
              <w:t>Use a controlled event set to verify every core KPI numerator, denominator, exclusion and comparison.</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TS-005</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Late and duplicate events</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Replay duplicate and late events; verify one count and corrected aggregates within the correction window.</w:t>
            </w:r>
          </w:p>
        </w:tc>
      </w:tr>
      <w:tr>
        <w:trPr>
          <w:cantSplit/>
        </w:trPr>
        <w:tc>
          <w:tcPr>
            <w:tcW w:type="dxa" w:w="1134"/>
            <w:vAlign w:val="top"/>
            <w:tcMar>
              <w:top w:w="70" w:type="dxa"/>
              <w:start w:w="80" w:type="dxa"/>
              <w:bottom w:w="70" w:type="dxa"/>
              <w:end w:w="80" w:type="dxa"/>
            </w:tcMar>
            <w:shd w:fill="F7F9FB"/>
          </w:tcPr>
          <w:p>
            <w:pPr>
              <w:spacing w:before="0" w:after="0" w:line="240" w:lineRule="auto"/>
            </w:pPr>
            <w:r>
              <w:rPr>
                <w:rFonts w:ascii="Arial" w:hAnsi="Arial"/>
                <w:b/>
                <w:sz w:val="16"/>
              </w:rPr>
              <w:t>TS-006</w:t>
            </w:r>
          </w:p>
        </w:tc>
        <w:tc>
          <w:tcPr>
            <w:tcW w:type="dxa" w:w="2324"/>
            <w:vAlign w:val="top"/>
            <w:tcMar>
              <w:top w:w="70" w:type="dxa"/>
              <w:start w:w="80" w:type="dxa"/>
              <w:bottom w:w="70" w:type="dxa"/>
              <w:end w:w="80" w:type="dxa"/>
            </w:tcMar>
            <w:shd w:fill="F7F9FB"/>
          </w:tcPr>
          <w:p>
            <w:pPr>
              <w:spacing w:before="0" w:after="0" w:line="240" w:lineRule="auto"/>
            </w:pPr>
            <w:r>
              <w:rPr>
                <w:rFonts w:ascii="Arial" w:hAnsi="Arial"/>
                <w:b w:val="0"/>
                <w:sz w:val="16"/>
              </w:rPr>
              <w:t>Privacy suppression</w:t>
            </w:r>
          </w:p>
        </w:tc>
        <w:tc>
          <w:tcPr>
            <w:tcW w:type="dxa" w:w="6180"/>
            <w:vAlign w:val="top"/>
            <w:tcMar>
              <w:top w:w="70" w:type="dxa"/>
              <w:start w:w="80" w:type="dxa"/>
              <w:bottom w:w="70" w:type="dxa"/>
              <w:end w:w="80" w:type="dxa"/>
            </w:tcMar>
            <w:shd w:fill="F7F9FB"/>
          </w:tcPr>
          <w:p>
            <w:pPr>
              <w:spacing w:before="0" w:after="0" w:line="240" w:lineRule="auto"/>
            </w:pPr>
            <w:r>
              <w:rPr>
                <w:rFonts w:ascii="Arial" w:hAnsi="Arial"/>
                <w:b w:val="0"/>
                <w:sz w:val="16"/>
              </w:rPr>
              <w:t>Create low-volume segments; verify suppression in screen, API and export.</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TS-007</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Prohibited content</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Attempt to submit message content, form values, OTPs and secrets as analytics attributes; verify rejection/redaction.</w:t>
            </w:r>
          </w:p>
        </w:tc>
      </w:tr>
      <w:tr>
        <w:trPr>
          <w:cantSplit/>
        </w:trPr>
        <w:tc>
          <w:tcPr>
            <w:tcW w:type="dxa" w:w="1134"/>
            <w:vAlign w:val="top"/>
            <w:tcMar>
              <w:top w:w="70" w:type="dxa"/>
              <w:start w:w="80" w:type="dxa"/>
              <w:bottom w:w="70" w:type="dxa"/>
              <w:end w:w="80" w:type="dxa"/>
            </w:tcMar>
            <w:shd w:fill="F7F9FB"/>
          </w:tcPr>
          <w:p>
            <w:pPr>
              <w:spacing w:before="0" w:after="0" w:line="240" w:lineRule="auto"/>
            </w:pPr>
            <w:r>
              <w:rPr>
                <w:rFonts w:ascii="Arial" w:hAnsi="Arial"/>
                <w:b/>
                <w:sz w:val="16"/>
              </w:rPr>
              <w:t>TS-008</w:t>
            </w:r>
          </w:p>
        </w:tc>
        <w:tc>
          <w:tcPr>
            <w:tcW w:type="dxa" w:w="2324"/>
            <w:vAlign w:val="top"/>
            <w:tcMar>
              <w:top w:w="70" w:type="dxa"/>
              <w:start w:w="80" w:type="dxa"/>
              <w:bottom w:w="70" w:type="dxa"/>
              <w:end w:w="80" w:type="dxa"/>
            </w:tcMar>
            <w:shd w:fill="F7F9FB"/>
          </w:tcPr>
          <w:p>
            <w:pPr>
              <w:spacing w:before="0" w:after="0" w:line="240" w:lineRule="auto"/>
            </w:pPr>
            <w:r>
              <w:rPr>
                <w:rFonts w:ascii="Arial" w:hAnsi="Arial"/>
                <w:b w:val="0"/>
                <w:sz w:val="16"/>
              </w:rPr>
              <w:t>Accessibility</w:t>
            </w:r>
          </w:p>
        </w:tc>
        <w:tc>
          <w:tcPr>
            <w:tcW w:type="dxa" w:w="6180"/>
            <w:vAlign w:val="top"/>
            <w:tcMar>
              <w:top w:w="70" w:type="dxa"/>
              <w:start w:w="80" w:type="dxa"/>
              <w:bottom w:w="70" w:type="dxa"/>
              <w:end w:w="80" w:type="dxa"/>
            </w:tcMar>
            <w:shd w:fill="F7F9FB"/>
          </w:tcPr>
          <w:p>
            <w:pPr>
              <w:spacing w:before="0" w:after="0" w:line="240" w:lineRule="auto"/>
            </w:pPr>
            <w:r>
              <w:rPr>
                <w:rFonts w:ascii="Arial" w:hAnsi="Arial"/>
                <w:b w:val="0"/>
                <w:sz w:val="16"/>
              </w:rPr>
              <w:t>Keyboard, screen-reader, contrast, focus, chart alternative and responsive-layout testing.</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TS-009</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Load and isolation</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Run dashboard, drill-down and export loads while measuring impact on transactional APIs.</w:t>
            </w:r>
          </w:p>
        </w:tc>
      </w:tr>
      <w:tr>
        <w:trPr>
          <w:cantSplit/>
        </w:trPr>
        <w:tc>
          <w:tcPr>
            <w:tcW w:type="dxa" w:w="1134"/>
            <w:vAlign w:val="top"/>
            <w:tcMar>
              <w:top w:w="70" w:type="dxa"/>
              <w:start w:w="80" w:type="dxa"/>
              <w:bottom w:w="70" w:type="dxa"/>
              <w:end w:w="80" w:type="dxa"/>
            </w:tcMar>
            <w:shd w:fill="F7F9FB"/>
          </w:tcPr>
          <w:p>
            <w:pPr>
              <w:spacing w:before="0" w:after="0" w:line="240" w:lineRule="auto"/>
            </w:pPr>
            <w:r>
              <w:rPr>
                <w:rFonts w:ascii="Arial" w:hAnsi="Arial"/>
                <w:b/>
                <w:sz w:val="16"/>
              </w:rPr>
              <w:t>TS-010</w:t>
            </w:r>
          </w:p>
        </w:tc>
        <w:tc>
          <w:tcPr>
            <w:tcW w:type="dxa" w:w="2324"/>
            <w:vAlign w:val="top"/>
            <w:tcMar>
              <w:top w:w="70" w:type="dxa"/>
              <w:start w:w="80" w:type="dxa"/>
              <w:bottom w:w="70" w:type="dxa"/>
              <w:end w:w="80" w:type="dxa"/>
            </w:tcMar>
            <w:shd w:fill="F7F9FB"/>
          </w:tcPr>
          <w:p>
            <w:pPr>
              <w:spacing w:before="0" w:after="0" w:line="240" w:lineRule="auto"/>
            </w:pPr>
            <w:r>
              <w:rPr>
                <w:rFonts w:ascii="Arial" w:hAnsi="Arial"/>
                <w:b w:val="0"/>
                <w:sz w:val="16"/>
              </w:rPr>
              <w:t>Pipeline recovery</w:t>
            </w:r>
          </w:p>
        </w:tc>
        <w:tc>
          <w:tcPr>
            <w:tcW w:type="dxa" w:w="6180"/>
            <w:vAlign w:val="top"/>
            <w:tcMar>
              <w:top w:w="70" w:type="dxa"/>
              <w:start w:w="80" w:type="dxa"/>
              <w:bottom w:w="70" w:type="dxa"/>
              <w:end w:w="80" w:type="dxa"/>
            </w:tcMar>
            <w:shd w:fill="F7F9FB"/>
          </w:tcPr>
          <w:p>
            <w:pPr>
              <w:spacing w:before="0" w:after="0" w:line="240" w:lineRule="auto"/>
            </w:pPr>
            <w:r>
              <w:rPr>
                <w:rFonts w:ascii="Arial" w:hAnsi="Arial"/>
                <w:b w:val="0"/>
                <w:sz w:val="16"/>
              </w:rPr>
              <w:t>Interrupt processing, restore from checkpoint and confirm no data loss or double counting.</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TS-011</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Metric versioning</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Change a metric definition with effective date; verify historical annotation and audit trail.</w:t>
            </w:r>
          </w:p>
        </w:tc>
      </w:tr>
      <w:tr>
        <w:trPr>
          <w:cantSplit/>
        </w:trPr>
        <w:tc>
          <w:tcPr>
            <w:tcW w:type="dxa" w:w="1134"/>
            <w:vAlign w:val="top"/>
            <w:tcMar>
              <w:top w:w="70" w:type="dxa"/>
              <w:start w:w="80" w:type="dxa"/>
              <w:bottom w:w="70" w:type="dxa"/>
              <w:end w:w="80" w:type="dxa"/>
            </w:tcMar>
            <w:shd w:fill="F7F9FB"/>
          </w:tcPr>
          <w:p>
            <w:pPr>
              <w:spacing w:before="0" w:after="0" w:line="240" w:lineRule="auto"/>
            </w:pPr>
            <w:r>
              <w:rPr>
                <w:rFonts w:ascii="Arial" w:hAnsi="Arial"/>
                <w:b/>
                <w:sz w:val="16"/>
              </w:rPr>
              <w:t>TS-012</w:t>
            </w:r>
          </w:p>
        </w:tc>
        <w:tc>
          <w:tcPr>
            <w:tcW w:type="dxa" w:w="2324"/>
            <w:vAlign w:val="top"/>
            <w:tcMar>
              <w:top w:w="70" w:type="dxa"/>
              <w:start w:w="80" w:type="dxa"/>
              <w:bottom w:w="70" w:type="dxa"/>
              <w:end w:w="80" w:type="dxa"/>
            </w:tcMar>
            <w:shd w:fill="F7F9FB"/>
          </w:tcPr>
          <w:p>
            <w:pPr>
              <w:spacing w:before="0" w:after="0" w:line="240" w:lineRule="auto"/>
            </w:pPr>
            <w:r>
              <w:rPr>
                <w:rFonts w:ascii="Arial" w:hAnsi="Arial"/>
                <w:b w:val="0"/>
                <w:sz w:val="16"/>
              </w:rPr>
              <w:t>Advertising measurement</w:t>
            </w:r>
          </w:p>
        </w:tc>
        <w:tc>
          <w:tcPr>
            <w:tcW w:type="dxa" w:w="6180"/>
            <w:vAlign w:val="top"/>
            <w:tcMar>
              <w:top w:w="70" w:type="dxa"/>
              <w:start w:w="80" w:type="dxa"/>
              <w:bottom w:w="70" w:type="dxa"/>
              <w:end w:w="80" w:type="dxa"/>
            </w:tcMar>
            <w:shd w:fill="F7F9FB"/>
          </w:tcPr>
          <w:p>
            <w:pPr>
              <w:spacing w:before="0" w:after="0" w:line="240" w:lineRule="auto"/>
            </w:pPr>
            <w:r>
              <w:rPr>
                <w:rFonts w:ascii="Arial" w:hAnsi="Arial"/>
                <w:b w:val="0"/>
                <w:sz w:val="16"/>
              </w:rPr>
              <w:t>Verify impression, viewability, valid-click and invalid-traffic rules against controlled events.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TS-013</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Conversational campaign measurement</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Ingest controlled sent/delivered/read/click/reply/conversion events; verify denominators, unsupported states and no message-content persistence.</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TS-014</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Attribution models and late adjustment</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Calculate first-touch and last-touch results, then ingest a late conversion/refund; verify versioned recalculation and audit history.</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TS-015</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Cart abandonment and recovery</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Create abandoned, organically recovered and campaign-recovered carts; verify classification, revenue and cost metrics.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TS-016</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Commerce reconciliation</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Compare orders and revenue to provider control totals across cancellations, refunds, duplicates and currencies.</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TS-017</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Predictive insight governance</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Verify model version, confidence, explanation, expiry, drift suppression, access controls and observed-outcome feedback.</w:t>
            </w:r>
          </w:p>
        </w:tc>
      </w:tr>
      <w:tr>
        <w:trPr>
          <w:cantSplit/>
        </w:trPr>
        <w:tc>
          <w:tcPr>
            <w:tcW w:type="dxa" w:w="1134"/>
            <w:vAlign w:val="top"/>
            <w:tcMar>
              <w:top w:w="70" w:type="dxa"/>
              <w:start w:w="80" w:type="dxa"/>
              <w:bottom w:w="70" w:type="dxa"/>
              <w:end w:w="80" w:type="dxa"/>
            </w:tcMar>
          </w:tcPr>
          <w:p>
            <w:pPr>
              <w:spacing w:before="0" w:after="0" w:line="240" w:lineRule="auto"/>
            </w:pPr>
            <w:r>
              <w:rPr>
                <w:rFonts w:ascii="Arial" w:hAnsi="Arial"/>
                <w:b/>
                <w:sz w:val="16"/>
              </w:rPr>
              <w:t>TS-018</w:t>
            </w:r>
          </w:p>
        </w:tc>
        <w:tc>
          <w:tcPr>
            <w:tcW w:type="dxa" w:w="2324"/>
            <w:vAlign w:val="top"/>
            <w:tcMar>
              <w:top w:w="70" w:type="dxa"/>
              <w:start w:w="80" w:type="dxa"/>
              <w:bottom w:w="70" w:type="dxa"/>
              <w:end w:w="80" w:type="dxa"/>
            </w:tcMar>
          </w:tcPr>
          <w:p>
            <w:pPr>
              <w:spacing w:before="0" w:after="0" w:line="240" w:lineRule="auto"/>
            </w:pPr>
            <w:r>
              <w:rPr>
                <w:rFonts w:ascii="Arial" w:hAnsi="Arial"/>
                <w:b w:val="0"/>
                <w:sz w:val="16"/>
              </w:rPr>
              <w:t>Consent and suppression</w:t>
            </w:r>
          </w:p>
        </w:tc>
        <w:tc>
          <w:tcPr>
            <w:tcW w:type="dxa" w:w="6180"/>
            <w:vAlign w:val="top"/>
            <w:tcMar>
              <w:top w:w="70" w:type="dxa"/>
              <w:start w:w="80" w:type="dxa"/>
              <w:bottom w:w="70" w:type="dxa"/>
              <w:end w:w="80" w:type="dxa"/>
            </w:tcMar>
          </w:tcPr>
          <w:p>
            <w:pPr>
              <w:spacing w:before="0" w:after="0" w:line="240" w:lineRule="auto"/>
            </w:pPr>
            <w:r>
              <w:rPr>
                <w:rFonts w:ascii="Arial" w:hAnsi="Arial"/>
                <w:b w:val="0"/>
                <w:sz w:val="16"/>
              </w:rPr>
              <w:t>Verify opted-out or ineligible users are excluded from recovery audiences and cannot be inferred through reports or exports.</w:t>
            </w:r>
          </w:p>
        </w:tc>
      </w:tr>
    </w:tbl>
    <w:p>
      <w:pPr>
        <w:spacing w:after="20"/>
      </w:pPr>
    </w:p>
    <w:p>
      <w:pPr>
        <w:pStyle w:val="Heading1"/>
        <w:keepNext/>
      </w:pPr>
      <w:r>
        <w:t>23. Requirements Traceability to the PRD</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891"/>
            <w:shd w:fill="1F4E78"/>
            <w:tcMar>
              <w:top w:w="70" w:type="dxa"/>
              <w:start w:w="80" w:type="dxa"/>
              <w:bottom w:w="70" w:type="dxa"/>
              <w:end w:w="80" w:type="dxa"/>
            </w:tcMar>
          </w:tcPr>
          <w:p>
            <w:pPr>
              <w:spacing w:before="0" w:after="0" w:line="240" w:lineRule="auto"/>
              <w:jc w:val="left"/>
            </w:pPr>
            <w:r>
              <w:rPr>
                <w:rFonts w:ascii="Arial" w:hAnsi="Arial"/>
                <w:b/>
                <w:color w:val="FFFFFF"/>
                <w:sz w:val="16"/>
              </w:rPr>
              <w:t>PRD Source</w:t>
            </w:r>
          </w:p>
        </w:tc>
        <w:tc>
          <w:tcPr>
            <w:tcW w:type="dxa" w:w="2721"/>
            <w:shd w:fill="1F4E78"/>
            <w:tcMar>
              <w:top w:w="70" w:type="dxa"/>
              <w:start w:w="80" w:type="dxa"/>
              <w:bottom w:w="70" w:type="dxa"/>
              <w:end w:w="80" w:type="dxa"/>
            </w:tcMar>
          </w:tcPr>
          <w:p>
            <w:pPr>
              <w:spacing w:before="0" w:after="0" w:line="240" w:lineRule="auto"/>
              <w:jc w:val="left"/>
            </w:pPr>
            <w:r>
              <w:rPr>
                <w:rFonts w:ascii="Arial" w:hAnsi="Arial"/>
                <w:b/>
                <w:color w:val="FFFFFF"/>
                <w:sz w:val="16"/>
              </w:rPr>
              <w:t>SRS Requirement Area</w:t>
            </w:r>
          </w:p>
        </w:tc>
        <w:tc>
          <w:tcPr>
            <w:tcW w:type="dxa" w:w="4025"/>
            <w:shd w:fill="1F4E78"/>
            <w:tcMar>
              <w:top w:w="70" w:type="dxa"/>
              <w:start w:w="80" w:type="dxa"/>
              <w:bottom w:w="70" w:type="dxa"/>
              <w:end w:w="80" w:type="dxa"/>
            </w:tcMar>
          </w:tcPr>
          <w:p>
            <w:pPr>
              <w:spacing w:before="0" w:after="0" w:line="240" w:lineRule="auto"/>
              <w:jc w:val="left"/>
            </w:pPr>
            <w:r>
              <w:rPr>
                <w:rFonts w:ascii="Arial" w:hAnsi="Arial"/>
                <w:b/>
                <w:color w:val="FFFFFF"/>
                <w:sz w:val="16"/>
              </w:rPr>
              <w:t>Coverage</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Provider Portal – Provider analytics</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ANL-PROV, ANL-FRM, ANL-WKF, ANL-CHT, ANL-NTF, ANL-SRC, ANL-CON</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Provider-specific dashboards, funnels, operations, messaging, notifications, discovery and connectors.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PRD: Administration and Analytics Services</w:t>
            </w:r>
          </w:p>
        </w:tc>
        <w:tc>
          <w:tcPr>
            <w:tcW w:type="dxa" w:w="2721"/>
            <w:vAlign w:val="top"/>
            <w:tcMar>
              <w:top w:w="70" w:type="dxa"/>
              <w:start w:w="80" w:type="dxa"/>
              <w:bottom w:w="70" w:type="dxa"/>
              <w:end w:w="80" w:type="dxa"/>
            </w:tcMar>
            <w:shd w:fill="F7F9FB"/>
          </w:tcPr>
          <w:p>
            <w:pPr>
              <w:spacing w:before="0" w:after="0" w:line="240" w:lineRule="auto"/>
            </w:pPr>
            <w:r>
              <w:rPr>
                <w:rFonts w:ascii="Arial" w:hAnsi="Arial"/>
                <w:b w:val="0"/>
                <w:sz w:val="16"/>
              </w:rPr>
              <w:t>ANL-ADM, ANL-OPS</w:t>
            </w:r>
          </w:p>
        </w:tc>
        <w:tc>
          <w:tcPr>
            <w:tcW w:type="dxa" w:w="4025"/>
            <w:vAlign w:val="top"/>
            <w:tcMar>
              <w:top w:w="70" w:type="dxa"/>
              <w:start w:w="80" w:type="dxa"/>
              <w:bottom w:w="70" w:type="dxa"/>
              <w:end w:w="80" w:type="dxa"/>
            </w:tcMar>
            <w:shd w:fill="F7F9FB"/>
          </w:tcPr>
          <w:p>
            <w:pPr>
              <w:spacing w:before="0" w:after="0" w:line="240" w:lineRule="auto"/>
            </w:pPr>
            <w:r>
              <w:rPr>
                <w:rFonts w:ascii="Arial" w:hAnsi="Arial"/>
                <w:b w:val="0"/>
                <w:sz w:val="16"/>
              </w:rPr>
              <w:t>Global platform, provider cohorts and operational analytics.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Telemetry APIs</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ANL-API, ANL-DAT</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Versioned event ingestion, metric APIs, quality and lineage.</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PRD: Form submission tracking and workflow states</w:t>
            </w:r>
          </w:p>
        </w:tc>
        <w:tc>
          <w:tcPr>
            <w:tcW w:type="dxa" w:w="2721"/>
            <w:vAlign w:val="top"/>
            <w:tcMar>
              <w:top w:w="70" w:type="dxa"/>
              <w:start w:w="80" w:type="dxa"/>
              <w:bottom w:w="70" w:type="dxa"/>
              <w:end w:w="80" w:type="dxa"/>
            </w:tcMar>
            <w:shd w:fill="F7F9FB"/>
          </w:tcPr>
          <w:p>
            <w:pPr>
              <w:spacing w:before="0" w:after="0" w:line="240" w:lineRule="auto"/>
            </w:pPr>
            <w:r>
              <w:rPr>
                <w:rFonts w:ascii="Arial" w:hAnsi="Arial"/>
                <w:b w:val="0"/>
                <w:sz w:val="16"/>
              </w:rPr>
              <w:t>ANL-FRM, ANL-WKF</w:t>
            </w:r>
          </w:p>
        </w:tc>
        <w:tc>
          <w:tcPr>
            <w:tcW w:type="dxa" w:w="4025"/>
            <w:vAlign w:val="top"/>
            <w:tcMar>
              <w:top w:w="70" w:type="dxa"/>
              <w:start w:w="80" w:type="dxa"/>
              <w:bottom w:w="70" w:type="dxa"/>
              <w:end w:w="80" w:type="dxa"/>
            </w:tcMar>
            <w:shd w:fill="F7F9FB"/>
          </w:tcPr>
          <w:p>
            <w:pPr>
              <w:spacing w:before="0" w:after="0" w:line="240" w:lineRule="auto"/>
            </w:pPr>
            <w:r>
              <w:rPr>
                <w:rFonts w:ascii="Arial" w:hAnsi="Arial"/>
                <w:b w:val="0"/>
                <w:sz w:val="16"/>
              </w:rPr>
              <w:t>Form funnel, submissions, backlog, turnaround and SLA.</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Messaging telemetry logging</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ANL-CHT, ANL-PRV</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Message/conversation metadata analytics excluding message content.</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PRD: Notification services and success metrics</w:t>
            </w:r>
          </w:p>
        </w:tc>
        <w:tc>
          <w:tcPr>
            <w:tcW w:type="dxa" w:w="2721"/>
            <w:vAlign w:val="top"/>
            <w:tcMar>
              <w:top w:w="70" w:type="dxa"/>
              <w:start w:w="80" w:type="dxa"/>
              <w:bottom w:w="70" w:type="dxa"/>
              <w:end w:w="80" w:type="dxa"/>
            </w:tcMar>
            <w:shd w:fill="F7F9FB"/>
          </w:tcPr>
          <w:p>
            <w:pPr>
              <w:spacing w:before="0" w:after="0" w:line="240" w:lineRule="auto"/>
            </w:pPr>
            <w:r>
              <w:rPr>
                <w:rFonts w:ascii="Arial" w:hAnsi="Arial"/>
                <w:b w:val="0"/>
                <w:sz w:val="16"/>
              </w:rPr>
              <w:t>ANL-NTF, KPI-029 to KPI-031</w:t>
            </w:r>
          </w:p>
        </w:tc>
        <w:tc>
          <w:tcPr>
            <w:tcW w:type="dxa" w:w="4025"/>
            <w:vAlign w:val="top"/>
            <w:tcMar>
              <w:top w:w="70" w:type="dxa"/>
              <w:start w:w="80" w:type="dxa"/>
              <w:bottom w:w="70" w:type="dxa"/>
              <w:end w:w="80" w:type="dxa"/>
            </w:tcMar>
            <w:shd w:fill="F7F9FB"/>
          </w:tcPr>
          <w:p>
            <w:pPr>
              <w:spacing w:before="0" w:after="0" w:line="240" w:lineRule="auto"/>
            </w:pPr>
            <w:r>
              <w:rPr>
                <w:rFonts w:ascii="Arial" w:hAnsi="Arial"/>
                <w:b w:val="0"/>
                <w:sz w:val="16"/>
              </w:rPr>
              <w:t>Delivery, failure, open and action measurement.</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Connector APIs and ecosystem</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ANL-CON</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Connector provisioning, usage, success, latency and errors.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PRD: Advertising campaign analytics</w:t>
            </w:r>
          </w:p>
        </w:tc>
        <w:tc>
          <w:tcPr>
            <w:tcW w:type="dxa" w:w="2721"/>
            <w:vAlign w:val="top"/>
            <w:tcMar>
              <w:top w:w="70" w:type="dxa"/>
              <w:start w:w="80" w:type="dxa"/>
              <w:bottom w:w="70" w:type="dxa"/>
              <w:end w:w="80" w:type="dxa"/>
            </w:tcMar>
            <w:shd w:fill="F7F9FB"/>
          </w:tcPr>
          <w:p>
            <w:pPr>
              <w:spacing w:before="0" w:after="0" w:line="240" w:lineRule="auto"/>
            </w:pPr>
            <w:r>
              <w:rPr>
                <w:rFonts w:ascii="Arial" w:hAnsi="Arial"/>
                <w:b w:val="0"/>
                <w:sz w:val="16"/>
              </w:rPr>
              <w:t>ANL-ADV, KPI-037 to KPI-042</w:t>
            </w:r>
          </w:p>
        </w:tc>
        <w:tc>
          <w:tcPr>
            <w:tcW w:type="dxa" w:w="4025"/>
            <w:vAlign w:val="top"/>
            <w:tcMar>
              <w:top w:w="70" w:type="dxa"/>
              <w:start w:w="80" w:type="dxa"/>
              <w:bottom w:w="70" w:type="dxa"/>
              <w:end w:w="80" w:type="dxa"/>
            </w:tcMar>
            <w:shd w:fill="F7F9FB"/>
          </w:tcPr>
          <w:p>
            <w:pPr>
              <w:spacing w:before="0" w:after="0" w:line="240" w:lineRule="auto"/>
            </w:pPr>
            <w:r>
              <w:rPr>
                <w:rFonts w:ascii="Arial" w:hAnsi="Arial"/>
                <w:b w:val="0"/>
                <w:sz w:val="16"/>
              </w:rPr>
              <w:t>Impressions, viewability, clicks, conversions and invalid traffic.</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Observability and Monitoring</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ANL-OPS, ANL-NFR-021 to 025</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Availability, latency, traffic, errors, saturation, traces and pipeline monitoring.</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PRD: Privacy-first architecture</w:t>
            </w:r>
          </w:p>
        </w:tc>
        <w:tc>
          <w:tcPr>
            <w:tcW w:type="dxa" w:w="2721"/>
            <w:vAlign w:val="top"/>
            <w:tcMar>
              <w:top w:w="70" w:type="dxa"/>
              <w:start w:w="80" w:type="dxa"/>
              <w:bottom w:w="70" w:type="dxa"/>
              <w:end w:w="80" w:type="dxa"/>
            </w:tcMar>
            <w:shd w:fill="F7F9FB"/>
          </w:tcPr>
          <w:p>
            <w:pPr>
              <w:spacing w:before="0" w:after="0" w:line="240" w:lineRule="auto"/>
            </w:pPr>
            <w:r>
              <w:rPr>
                <w:rFonts w:ascii="Arial" w:hAnsi="Arial"/>
                <w:b w:val="0"/>
                <w:sz w:val="16"/>
              </w:rPr>
              <w:t>ANL-SEC, ANL-PRV, ANL-DAT</w:t>
            </w:r>
          </w:p>
        </w:tc>
        <w:tc>
          <w:tcPr>
            <w:tcW w:type="dxa" w:w="4025"/>
            <w:vAlign w:val="top"/>
            <w:tcMar>
              <w:top w:w="70" w:type="dxa"/>
              <w:start w:w="80" w:type="dxa"/>
              <w:bottom w:w="70" w:type="dxa"/>
              <w:end w:w="80" w:type="dxa"/>
            </w:tcMar>
            <w:shd w:fill="F7F9FB"/>
          </w:tcPr>
          <w:p>
            <w:pPr>
              <w:spacing w:before="0" w:after="0" w:line="240" w:lineRule="auto"/>
            </w:pPr>
            <w:r>
              <w:rPr>
                <w:rFonts w:ascii="Arial" w:hAnsi="Arial"/>
                <w:b w:val="0"/>
                <w:sz w:val="16"/>
              </w:rPr>
              <w:t>Realm isolation, minimisation, pseudonymisation and prohibited-content rules.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Success Metrics</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KPI-001 to KPI-053</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Expanded governed metric catalogue covering PRD success measures and supporting diagnostics.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PRD: Performance, scalability, reliability and maintainability</w:t>
            </w:r>
          </w:p>
        </w:tc>
        <w:tc>
          <w:tcPr>
            <w:tcW w:type="dxa" w:w="2721"/>
            <w:vAlign w:val="top"/>
            <w:tcMar>
              <w:top w:w="70" w:type="dxa"/>
              <w:start w:w="80" w:type="dxa"/>
              <w:bottom w:w="70" w:type="dxa"/>
              <w:end w:w="80" w:type="dxa"/>
            </w:tcMar>
            <w:shd w:fill="F7F9FB"/>
          </w:tcPr>
          <w:p>
            <w:pPr>
              <w:spacing w:before="0" w:after="0" w:line="240" w:lineRule="auto"/>
            </w:pPr>
            <w:r>
              <w:rPr>
                <w:rFonts w:ascii="Arial" w:hAnsi="Arial"/>
                <w:b w:val="0"/>
                <w:sz w:val="16"/>
              </w:rPr>
              <w:t>ANL-NFR</w:t>
            </w:r>
          </w:p>
        </w:tc>
        <w:tc>
          <w:tcPr>
            <w:tcW w:type="dxa" w:w="4025"/>
            <w:vAlign w:val="top"/>
            <w:tcMar>
              <w:top w:w="70" w:type="dxa"/>
              <w:start w:w="80" w:type="dxa"/>
              <w:bottom w:w="70" w:type="dxa"/>
              <w:end w:w="80" w:type="dxa"/>
            </w:tcMar>
            <w:shd w:fill="F7F9FB"/>
          </w:tcPr>
          <w:p>
            <w:pPr>
              <w:spacing w:before="0" w:after="0" w:line="240" w:lineRule="auto"/>
            </w:pPr>
            <w:r>
              <w:rPr>
                <w:rFonts w:ascii="Arial" w:hAnsi="Arial"/>
                <w:b w:val="0"/>
                <w:sz w:val="16"/>
              </w:rPr>
              <w:t>Testable analytics non-functional requirements.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Stakeholder input: WhatsApp-style conversational and marketing analytics</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ANL-MKT, ANL-CAM, KPI-054 to KPI-066</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Delivery, read, click, reply, operational chat, conversation-to-sale, campaign ROI, revenue attribution and abandonment recovery.</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Stakeholder input: Google-style acquisition and full-funnel analytics</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ANL-ACQ, ANL-ATR, KPI-067 to KPI-087</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Traffic sources, funnel progression, commerce, product/channel revenue, attribution, predictive insights and revenue growth management.</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Messaging, notifications, connectors and advertising</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ANL-MKT, ANL-CAM, ANL-ADV</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Extends existing channel and campaign telemetry without removing prior requirements.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PRD: Future AI-assisted workflows and analytics</w:t>
            </w:r>
          </w:p>
        </w:tc>
        <w:tc>
          <w:tcPr>
            <w:tcW w:type="dxa" w:w="2721"/>
            <w:vAlign w:val="top"/>
            <w:tcMar>
              <w:top w:w="70" w:type="dxa"/>
              <w:start w:w="80" w:type="dxa"/>
              <w:bottom w:w="70" w:type="dxa"/>
              <w:end w:w="80" w:type="dxa"/>
            </w:tcMar>
          </w:tcPr>
          <w:p>
            <w:pPr>
              <w:spacing w:before="0" w:after="0" w:line="240" w:lineRule="auto"/>
            </w:pPr>
            <w:r>
              <w:rPr>
                <w:rFonts w:ascii="Arial" w:hAnsi="Arial"/>
                <w:b w:val="0"/>
                <w:sz w:val="16"/>
              </w:rPr>
              <w:t>ANL-AI, ANL-INS</w:t>
            </w:r>
          </w:p>
        </w:tc>
        <w:tc>
          <w:tcPr>
            <w:tcW w:type="dxa" w:w="4025"/>
            <w:vAlign w:val="top"/>
            <w:tcMar>
              <w:top w:w="70" w:type="dxa"/>
              <w:start w:w="80" w:type="dxa"/>
              <w:bottom w:w="70" w:type="dxa"/>
              <w:end w:w="80" w:type="dxa"/>
            </w:tcMar>
          </w:tcPr>
          <w:p>
            <w:pPr>
              <w:spacing w:before="0" w:after="0" w:line="240" w:lineRule="auto"/>
            </w:pPr>
            <w:r>
              <w:rPr>
                <w:rFonts w:ascii="Arial" w:hAnsi="Arial"/>
                <w:b w:val="0"/>
                <w:sz w:val="16"/>
              </w:rPr>
              <w:t>Introduces governed predictive indicators, explanations, model monitoring and human oversight.</w:t>
            </w:r>
          </w:p>
        </w:tc>
      </w:tr>
    </w:tbl>
    <w:p>
      <w:pPr>
        <w:spacing w:after="20"/>
      </w:pPr>
    </w:p>
    <w:p>
      <w:pPr>
        <w:pStyle w:val="Heading1"/>
        <w:keepNext/>
      </w:pPr>
      <w:r>
        <w:t>24. Assumptions, Constraints and Dependencies</w:t>
      </w:r>
    </w:p>
    <w:p>
      <w:pPr>
        <w:pStyle w:val="Heading2"/>
        <w:keepNext/>
      </w:pPr>
      <w:r>
        <w:t>24.1 Assumptions</w:t>
      </w:r>
    </w:p>
    <w:p>
      <w:pPr>
        <w:pStyle w:val="ListBullet"/>
        <w:spacing w:before="0" w:after="40" w:line="252" w:lineRule="auto"/>
      </w:pPr>
      <w:r>
        <w:rPr>
          <w:rFonts w:ascii="Arial" w:hAnsi="Arial"/>
          <w:sz w:val="20"/>
        </w:rPr>
        <w:t>All production services can emit or expose the governed events required for their metrics.</w:t>
      </w:r>
    </w:p>
    <w:p>
      <w:pPr>
        <w:pStyle w:val="ListBullet"/>
        <w:spacing w:before="0" w:after="40" w:line="252" w:lineRule="auto"/>
      </w:pPr>
      <w:r>
        <w:rPr>
          <w:rFonts w:ascii="Arial" w:hAnsi="Arial"/>
          <w:sz w:val="20"/>
        </w:rPr>
        <w:t>Provider Take-On establishes a unique provider realm and provider user access model.</w:t>
      </w:r>
    </w:p>
    <w:p>
      <w:pPr>
        <w:pStyle w:val="ListBullet"/>
        <w:spacing w:before="0" w:after="40" w:line="252" w:lineRule="auto"/>
      </w:pPr>
      <w:r>
        <w:rPr>
          <w:rFonts w:ascii="Arial" w:hAnsi="Arial"/>
          <w:sz w:val="20"/>
        </w:rPr>
        <w:t>Provider organisational structures and form access criteria are available to the Analytics API for row-level filtering.</w:t>
      </w:r>
    </w:p>
    <w:p>
      <w:pPr>
        <w:pStyle w:val="ListBullet"/>
        <w:spacing w:before="0" w:after="40" w:line="252" w:lineRule="auto"/>
      </w:pPr>
      <w:r>
        <w:rPr>
          <w:rFonts w:ascii="Arial" w:hAnsi="Arial"/>
          <w:sz w:val="20"/>
        </w:rPr>
        <w:t>Operational services provide stable identifiers and correlation references without exposing secrets.</w:t>
      </w:r>
    </w:p>
    <w:p>
      <w:pPr>
        <w:pStyle w:val="ListBullet"/>
        <w:spacing w:before="0" w:after="40" w:line="252" w:lineRule="auto"/>
      </w:pPr>
      <w:r>
        <w:rPr>
          <w:rFonts w:ascii="Arial" w:hAnsi="Arial"/>
          <w:sz w:val="20"/>
        </w:rPr>
        <w:t>Metric owners will approve definitions and targets before production use.</w:t>
      </w:r>
    </w:p>
    <w:p>
      <w:pPr>
        <w:pStyle w:val="ListBullet"/>
        <w:spacing w:before="0" w:after="40" w:line="252" w:lineRule="auto"/>
      </w:pPr>
      <w:r>
        <w:rPr>
          <w:rFonts w:ascii="Arial" w:hAnsi="Arial"/>
          <w:sz w:val="20"/>
        </w:rPr>
        <w:t>Provider contracts and privacy notices permit the approved analytics purposes and retention periods.</w:t>
      </w:r>
    </w:p>
    <w:p>
      <w:pPr>
        <w:pStyle w:val="ListBullet"/>
      </w:pPr>
      <w:r>
        <w:t>Providers using commerce and revenue analytics can supply stable product, cart, order, payment, refund and currency events or governed aggregates.</w:t>
      </w:r>
    </w:p>
    <w:p>
      <w:pPr>
        <w:pStyle w:val="ListBullet"/>
      </w:pPr>
      <w:r>
        <w:t>Supported messaging channels expose delivery and engagement callbacks according to their capabilities and provider configuration.</w:t>
      </w:r>
    </w:p>
    <w:p>
      <w:pPr>
        <w:pStyle w:val="ListBullet"/>
      </w:pPr>
      <w:r>
        <w:t>Campaign cost and channel-charge data is available when ROI or cost-per-acquisition metrics are required.</w:t>
      </w:r>
    </w:p>
    <w:p>
      <w:pPr>
        <w:pStyle w:val="ListBullet"/>
      </w:pPr>
      <w:r>
        <w:t>Predictive models are separately approved, validated and registered before their outputs are displayed in production analytics.</w:t>
      </w:r>
    </w:p>
    <w:p>
      <w:pPr>
        <w:pStyle w:val="Heading2"/>
        <w:keepNext/>
      </w:pPr>
      <w:r>
        <w:t>24.2 Constraints</w:t>
      </w:r>
    </w:p>
    <w:p>
      <w:pPr>
        <w:pStyle w:val="ListBullet"/>
        <w:spacing w:before="0" w:after="40" w:line="252" w:lineRule="auto"/>
      </w:pPr>
      <w:r>
        <w:rPr>
          <w:rFonts w:ascii="Arial" w:hAnsi="Arial"/>
          <w:sz w:val="20"/>
        </w:rPr>
        <w:t>The privacy-first model limits central retention of submission and communication content.</w:t>
      </w:r>
    </w:p>
    <w:p>
      <w:pPr>
        <w:pStyle w:val="ListBullet"/>
        <w:spacing w:before="0" w:after="40" w:line="252" w:lineRule="auto"/>
      </w:pPr>
      <w:r>
        <w:rPr>
          <w:rFonts w:ascii="Arial" w:hAnsi="Arial"/>
          <w:sz w:val="20"/>
        </w:rPr>
        <w:t>Offline mobile use may delay event delivery and require late-event correction.</w:t>
      </w:r>
    </w:p>
    <w:p>
      <w:pPr>
        <w:pStyle w:val="ListBullet"/>
        <w:spacing w:before="0" w:after="40" w:line="252" w:lineRule="auto"/>
      </w:pPr>
      <w:r>
        <w:rPr>
          <w:rFonts w:ascii="Arial" w:hAnsi="Arial"/>
          <w:sz w:val="20"/>
        </w:rPr>
        <w:t>Notification-open measurement may not be available for every channel or device; coverage must be disclosed.</w:t>
      </w:r>
    </w:p>
    <w:p>
      <w:pPr>
        <w:pStyle w:val="ListBullet"/>
        <w:spacing w:before="0" w:after="40" w:line="252" w:lineRule="auto"/>
      </w:pPr>
      <w:r>
        <w:rPr>
          <w:rFonts w:ascii="Arial" w:hAnsi="Arial"/>
          <w:sz w:val="20"/>
        </w:rPr>
        <w:t>Ad viewability may not be measurable for every placement; measurable impressions must be distinguished.</w:t>
      </w:r>
    </w:p>
    <w:p>
      <w:pPr>
        <w:pStyle w:val="ListBullet"/>
        <w:spacing w:before="0" w:after="40" w:line="252" w:lineRule="auto"/>
      </w:pPr>
      <w:r>
        <w:rPr>
          <w:rFonts w:ascii="Arial" w:hAnsi="Arial"/>
          <w:sz w:val="20"/>
        </w:rPr>
        <w:t>Provider-controlled systems may supply delayed or aggregated workflow outcomes.</w:t>
      </w:r>
    </w:p>
    <w:p>
      <w:pPr>
        <w:pStyle w:val="ListBullet"/>
        <w:spacing w:before="0" w:after="40" w:line="252" w:lineRule="auto"/>
      </w:pPr>
      <w:r>
        <w:rPr>
          <w:rFonts w:ascii="Arial" w:hAnsi="Arial"/>
          <w:sz w:val="20"/>
        </w:rPr>
        <w:t>Small cohort suppression may limit some geographic or demographic breakdowns.</w:t>
      </w:r>
    </w:p>
    <w:p>
      <w:pPr>
        <w:pStyle w:val="ListBullet"/>
      </w:pPr>
      <w:r>
        <w:t>Read receipts, link clicks and attribution coverage vary by channel, user settings, consent and technical availability.</w:t>
      </w:r>
    </w:p>
    <w:p>
      <w:pPr>
        <w:pStyle w:val="ListBullet"/>
      </w:pPr>
      <w:r>
        <w:t>Revenue attribution is an analytical model and may not establish causal impact unless a controlled incrementality method is used.</w:t>
      </w:r>
    </w:p>
    <w:p>
      <w:pPr>
        <w:pStyle w:val="ListBullet"/>
      </w:pPr>
      <w:r>
        <w:t>Cross-device and cross-channel journeys may remain partially unattributed where privacy-preserving identity linkage is unavailable.</w:t>
      </w:r>
    </w:p>
    <w:p>
      <w:pPr>
        <w:pStyle w:val="ListBullet"/>
      </w:pPr>
      <w:r>
        <w:t>Inventory and sale-out analytics depend on provider source quality, update frequency and consistent product identifiers.</w:t>
      </w:r>
    </w:p>
    <w:p>
      <w:pPr>
        <w:pStyle w:val="Heading2"/>
        <w:keepNext/>
      </w:pPr>
      <w:r>
        <w:t>24.3 Dependencies</w:t>
      </w:r>
    </w:p>
    <w:p>
      <w:pPr>
        <w:pStyle w:val="ListBullet"/>
        <w:spacing w:before="0" w:after="40" w:line="252" w:lineRule="auto"/>
      </w:pPr>
      <w:r>
        <w:rPr>
          <w:rFonts w:ascii="Arial" w:hAnsi="Arial"/>
          <w:sz w:val="20"/>
        </w:rPr>
        <w:t>Identity, RBAC and provider-realm claims.</w:t>
      </w:r>
    </w:p>
    <w:p>
      <w:pPr>
        <w:pStyle w:val="ListBullet"/>
        <w:spacing w:before="0" w:after="40" w:line="252" w:lineRule="auto"/>
      </w:pPr>
      <w:r>
        <w:rPr>
          <w:rFonts w:ascii="Arial" w:hAnsi="Arial"/>
          <w:sz w:val="20"/>
        </w:rPr>
        <w:t>Provider Take-On and organisational structure configuration.</w:t>
      </w:r>
    </w:p>
    <w:p>
      <w:pPr>
        <w:pStyle w:val="ListBullet"/>
        <w:spacing w:before="0" w:after="40" w:line="252" w:lineRule="auto"/>
      </w:pPr>
      <w:r>
        <w:rPr>
          <w:rFonts w:ascii="Arial" w:hAnsi="Arial"/>
          <w:sz w:val="20"/>
        </w:rPr>
        <w:t>Form, workflow, messaging, notification, connector, advertising and billing event instrumentation.</w:t>
      </w:r>
    </w:p>
    <w:p>
      <w:pPr>
        <w:pStyle w:val="ListBullet"/>
        <w:spacing w:before="0" w:after="40" w:line="252" w:lineRule="auto"/>
      </w:pPr>
      <w:r>
        <w:rPr>
          <w:rFonts w:ascii="Arial" w:hAnsi="Arial"/>
          <w:sz w:val="20"/>
        </w:rPr>
        <w:t>Central logging, telemetry and correlation standards.</w:t>
      </w:r>
    </w:p>
    <w:p>
      <w:pPr>
        <w:pStyle w:val="ListBullet"/>
        <w:spacing w:before="0" w:after="40" w:line="252" w:lineRule="auto"/>
      </w:pPr>
      <w:r>
        <w:rPr>
          <w:rFonts w:ascii="Arial" w:hAnsi="Arial"/>
          <w:sz w:val="20"/>
        </w:rPr>
        <w:t>Approved data retention, privacy, security and export policies.</w:t>
      </w:r>
    </w:p>
    <w:p>
      <w:pPr>
        <w:pStyle w:val="ListBullet"/>
        <w:spacing w:before="0" w:after="40" w:line="252" w:lineRule="auto"/>
      </w:pPr>
      <w:r>
        <w:rPr>
          <w:rFonts w:ascii="Arial" w:hAnsi="Arial"/>
          <w:sz w:val="20"/>
        </w:rPr>
        <w:t>Availability of provider/system control totals for reconciliation.</w:t>
      </w:r>
    </w:p>
    <w:p>
      <w:pPr>
        <w:pStyle w:val="ListBullet"/>
      </w:pPr>
      <w:r>
        <w:t>Messaging and WhatsApp connector callback integration.</w:t>
      </w:r>
    </w:p>
    <w:p>
      <w:pPr>
        <w:pStyle w:val="ListBullet"/>
      </w:pPr>
      <w:r>
        <w:t>Web, acquisition and referral event instrumentation.</w:t>
      </w:r>
    </w:p>
    <w:p>
      <w:pPr>
        <w:pStyle w:val="ListBullet"/>
      </w:pPr>
      <w:r>
        <w:t>Commerce, order management, payment-status, product catalogue and inventory integrations.</w:t>
      </w:r>
    </w:p>
    <w:p>
      <w:pPr>
        <w:pStyle w:val="ListBullet"/>
      </w:pPr>
      <w:r>
        <w:t>Campaign cost and channel billing data.</w:t>
      </w:r>
    </w:p>
    <w:p>
      <w:pPr>
        <w:pStyle w:val="ListBullet"/>
      </w:pPr>
      <w:r>
        <w:t>Attribution configuration, model registry, predictive serving and model monitoring services.</w:t>
      </w:r>
    </w:p>
    <w:p>
      <w:pPr>
        <w:pStyle w:val="Heading1"/>
        <w:keepNext/>
      </w:pPr>
      <w:r>
        <w:t>25. Standards and Industry Alignment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664"/>
            <w:shd w:fill="1F4E78"/>
            <w:tcMar>
              <w:top w:w="70" w:type="dxa"/>
              <w:start w:w="80" w:type="dxa"/>
              <w:bottom w:w="70" w:type="dxa"/>
              <w:end w:w="80" w:type="dxa"/>
            </w:tcMar>
          </w:tcPr>
          <w:p>
            <w:pPr>
              <w:spacing w:before="0" w:after="0" w:line="240" w:lineRule="auto"/>
              <w:jc w:val="left"/>
            </w:pPr>
            <w:r>
              <w:rPr>
                <w:rFonts w:ascii="Arial" w:hAnsi="Arial"/>
                <w:b/>
                <w:color w:val="FFFFFF"/>
                <w:sz w:val="16"/>
              </w:rPr>
              <w:t>Reference</w:t>
            </w:r>
          </w:p>
        </w:tc>
        <w:tc>
          <w:tcPr>
            <w:tcW w:type="dxa" w:w="2381"/>
            <w:shd w:fill="1F4E78"/>
            <w:tcMar>
              <w:top w:w="70" w:type="dxa"/>
              <w:start w:w="80" w:type="dxa"/>
              <w:bottom w:w="70" w:type="dxa"/>
              <w:end w:w="80" w:type="dxa"/>
            </w:tcMar>
          </w:tcPr>
          <w:p>
            <w:pPr>
              <w:spacing w:before="0" w:after="0" w:line="240" w:lineRule="auto"/>
              <w:jc w:val="left"/>
            </w:pPr>
            <w:r>
              <w:rPr>
                <w:rFonts w:ascii="Arial" w:hAnsi="Arial"/>
                <w:b/>
                <w:color w:val="FFFFFF"/>
                <w:sz w:val="16"/>
              </w:rPr>
              <w:t>Area</w:t>
            </w:r>
          </w:p>
        </w:tc>
        <w:tc>
          <w:tcPr>
            <w:tcW w:type="dxa" w:w="4592"/>
            <w:shd w:fill="1F4E78"/>
            <w:tcMar>
              <w:top w:w="70" w:type="dxa"/>
              <w:start w:w="80" w:type="dxa"/>
              <w:bottom w:w="70" w:type="dxa"/>
              <w:end w:w="80" w:type="dxa"/>
            </w:tcMar>
          </w:tcPr>
          <w:p>
            <w:pPr>
              <w:spacing w:before="0" w:after="0" w:line="240" w:lineRule="auto"/>
              <w:jc w:val="left"/>
            </w:pPr>
            <w:r>
              <w:rPr>
                <w:rFonts w:ascii="Arial" w:hAnsi="Arial"/>
                <w:b/>
                <w:color w:val="FFFFFF"/>
                <w:sz w:val="16"/>
              </w:rPr>
              <w:t>Application in this SRS</w:t>
            </w:r>
          </w:p>
        </w:tc>
      </w:tr>
      <w:tr>
        <w:trPr>
          <w:cantSplit/>
        </w:trPr>
        <w:tc>
          <w:tcPr>
            <w:tcW w:type="dxa" w:w="2664"/>
            <w:vAlign w:val="top"/>
            <w:tcMar>
              <w:top w:w="70" w:type="dxa"/>
              <w:start w:w="80" w:type="dxa"/>
              <w:bottom w:w="70" w:type="dxa"/>
              <w:end w:w="80" w:type="dxa"/>
            </w:tcMar>
          </w:tcPr>
          <w:p>
            <w:pPr>
              <w:spacing w:before="0" w:after="0" w:line="240" w:lineRule="auto"/>
            </w:pPr>
            <w:r>
              <w:rPr>
                <w:rFonts w:ascii="Arial" w:hAnsi="Arial"/>
                <w:b/>
                <w:sz w:val="16"/>
              </w:rPr>
              <w:t>ISO/IEC 25010:2023</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6"/>
              </w:rPr>
              <w:t>Product quality model</w:t>
            </w:r>
          </w:p>
        </w:tc>
        <w:tc>
          <w:tcPr>
            <w:tcW w:type="dxa" w:w="4592"/>
            <w:vAlign w:val="top"/>
            <w:tcMar>
              <w:top w:w="70" w:type="dxa"/>
              <w:start w:w="80" w:type="dxa"/>
              <w:bottom w:w="70" w:type="dxa"/>
              <w:end w:w="80" w:type="dxa"/>
            </w:tcMar>
          </w:tcPr>
          <w:p>
            <w:pPr>
              <w:spacing w:before="0" w:after="0" w:line="240" w:lineRule="auto"/>
            </w:pPr>
            <w:r>
              <w:rPr>
                <w:rFonts w:ascii="Arial" w:hAnsi="Arial"/>
                <w:b w:val="0"/>
                <w:sz w:val="16"/>
              </w:rPr>
              <w:t>Used to structure performance efficiency, reliability, security, maintainability, compatibility and interaction-quality requirements.</w:t>
            </w:r>
          </w:p>
        </w:tc>
      </w:tr>
      <w:tr>
        <w:trPr>
          <w:cantSplit/>
        </w:trPr>
        <w:tc>
          <w:tcPr>
            <w:tcW w:type="dxa" w:w="2664"/>
            <w:vAlign w:val="top"/>
            <w:tcMar>
              <w:top w:w="70" w:type="dxa"/>
              <w:start w:w="80" w:type="dxa"/>
              <w:bottom w:w="70" w:type="dxa"/>
              <w:end w:w="80" w:type="dxa"/>
            </w:tcMar>
            <w:shd w:fill="F7F9FB"/>
          </w:tcPr>
          <w:p>
            <w:pPr>
              <w:spacing w:before="0" w:after="0" w:line="240" w:lineRule="auto"/>
            </w:pPr>
            <w:r>
              <w:rPr>
                <w:rFonts w:ascii="Arial" w:hAnsi="Arial"/>
                <w:b/>
                <w:sz w:val="16"/>
              </w:rPr>
              <w:t>ISO/IEC 25012:2008</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6"/>
              </w:rPr>
              <w:t>Data quality model</w:t>
            </w:r>
          </w:p>
        </w:tc>
        <w:tc>
          <w:tcPr>
            <w:tcW w:type="dxa" w:w="4592"/>
            <w:vAlign w:val="top"/>
            <w:tcMar>
              <w:top w:w="70" w:type="dxa"/>
              <w:start w:w="80" w:type="dxa"/>
              <w:bottom w:w="70" w:type="dxa"/>
              <w:end w:w="80" w:type="dxa"/>
            </w:tcMar>
            <w:shd w:fill="F7F9FB"/>
          </w:tcPr>
          <w:p>
            <w:pPr>
              <w:spacing w:before="0" w:after="0" w:line="240" w:lineRule="auto"/>
            </w:pPr>
            <w:r>
              <w:rPr>
                <w:rFonts w:ascii="Arial" w:hAnsi="Arial"/>
                <w:b w:val="0"/>
                <w:sz w:val="16"/>
              </w:rPr>
              <w:t>Used to define analytics data quality concepts including accuracy/validity, completeness, consistency and related measures.</w:t>
            </w:r>
          </w:p>
        </w:tc>
      </w:tr>
      <w:tr>
        <w:trPr>
          <w:cantSplit/>
        </w:trPr>
        <w:tc>
          <w:tcPr>
            <w:tcW w:type="dxa" w:w="2664"/>
            <w:vAlign w:val="top"/>
            <w:tcMar>
              <w:top w:w="70" w:type="dxa"/>
              <w:start w:w="80" w:type="dxa"/>
              <w:bottom w:w="70" w:type="dxa"/>
              <w:end w:w="80" w:type="dxa"/>
            </w:tcMar>
          </w:tcPr>
          <w:p>
            <w:pPr>
              <w:spacing w:before="0" w:after="0" w:line="240" w:lineRule="auto"/>
            </w:pPr>
            <w:r>
              <w:rPr>
                <w:rFonts w:ascii="Arial" w:hAnsi="Arial"/>
                <w:b/>
                <w:sz w:val="16"/>
              </w:rPr>
              <w:t>ISO/IEC 27001:2022</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6"/>
              </w:rPr>
              <w:t>Information security management systems</w:t>
            </w:r>
          </w:p>
        </w:tc>
        <w:tc>
          <w:tcPr>
            <w:tcW w:type="dxa" w:w="4592"/>
            <w:vAlign w:val="top"/>
            <w:tcMar>
              <w:top w:w="70" w:type="dxa"/>
              <w:start w:w="80" w:type="dxa"/>
              <w:bottom w:w="70" w:type="dxa"/>
              <w:end w:w="80" w:type="dxa"/>
            </w:tcMar>
          </w:tcPr>
          <w:p>
            <w:pPr>
              <w:spacing w:before="0" w:after="0" w:line="240" w:lineRule="auto"/>
            </w:pPr>
            <w:r>
              <w:rPr>
                <w:rFonts w:ascii="Arial" w:hAnsi="Arial"/>
                <w:b w:val="0"/>
                <w:sz w:val="16"/>
              </w:rPr>
              <w:t>Used as a reference for risk-based information security controls and governance.</w:t>
            </w:r>
          </w:p>
        </w:tc>
      </w:tr>
      <w:tr>
        <w:trPr>
          <w:cantSplit/>
        </w:trPr>
        <w:tc>
          <w:tcPr>
            <w:tcW w:type="dxa" w:w="2664"/>
            <w:vAlign w:val="top"/>
            <w:tcMar>
              <w:top w:w="70" w:type="dxa"/>
              <w:start w:w="80" w:type="dxa"/>
              <w:bottom w:w="70" w:type="dxa"/>
              <w:end w:w="80" w:type="dxa"/>
            </w:tcMar>
            <w:shd w:fill="F7F9FB"/>
          </w:tcPr>
          <w:p>
            <w:pPr>
              <w:spacing w:before="0" w:after="0" w:line="240" w:lineRule="auto"/>
            </w:pPr>
            <w:r>
              <w:rPr>
                <w:rFonts w:ascii="Arial" w:hAnsi="Arial"/>
                <w:b/>
                <w:sz w:val="16"/>
              </w:rPr>
              <w:t>WCAG 2.2 / ISO/IEC 40500:2025</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6"/>
              </w:rPr>
              <w:t>Web accessibility</w:t>
            </w:r>
          </w:p>
        </w:tc>
        <w:tc>
          <w:tcPr>
            <w:tcW w:type="dxa" w:w="4592"/>
            <w:vAlign w:val="top"/>
            <w:tcMar>
              <w:top w:w="70" w:type="dxa"/>
              <w:start w:w="80" w:type="dxa"/>
              <w:bottom w:w="70" w:type="dxa"/>
              <w:end w:w="80" w:type="dxa"/>
            </w:tcMar>
            <w:shd w:fill="F7F9FB"/>
          </w:tcPr>
          <w:p>
            <w:pPr>
              <w:spacing w:before="0" w:after="0" w:line="240" w:lineRule="auto"/>
            </w:pPr>
            <w:r>
              <w:rPr>
                <w:rFonts w:ascii="Arial" w:hAnsi="Arial"/>
                <w:b w:val="0"/>
                <w:sz w:val="16"/>
              </w:rPr>
              <w:t>Analytics screens target Level AA accessibility and accessible alternatives to charts.</w:t>
            </w:r>
          </w:p>
        </w:tc>
      </w:tr>
      <w:tr>
        <w:trPr>
          <w:cantSplit/>
        </w:trPr>
        <w:tc>
          <w:tcPr>
            <w:tcW w:type="dxa" w:w="2664"/>
            <w:vAlign w:val="top"/>
            <w:tcMar>
              <w:top w:w="70" w:type="dxa"/>
              <w:start w:w="80" w:type="dxa"/>
              <w:bottom w:w="70" w:type="dxa"/>
              <w:end w:w="80" w:type="dxa"/>
            </w:tcMar>
          </w:tcPr>
          <w:p>
            <w:pPr>
              <w:spacing w:before="0" w:after="0" w:line="240" w:lineRule="auto"/>
            </w:pPr>
            <w:r>
              <w:rPr>
                <w:rFonts w:ascii="Arial" w:hAnsi="Arial"/>
                <w:b/>
                <w:sz w:val="16"/>
              </w:rPr>
              <w:t>OpenTelemetry Semantic Conventions</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6"/>
              </w:rPr>
              <w:t>Telemetry naming</w:t>
            </w:r>
          </w:p>
        </w:tc>
        <w:tc>
          <w:tcPr>
            <w:tcW w:type="dxa" w:w="4592"/>
            <w:vAlign w:val="top"/>
            <w:tcMar>
              <w:top w:w="70" w:type="dxa"/>
              <w:start w:w="80" w:type="dxa"/>
              <w:bottom w:w="70" w:type="dxa"/>
              <w:end w:w="80" w:type="dxa"/>
            </w:tcMar>
          </w:tcPr>
          <w:p>
            <w:pPr>
              <w:spacing w:before="0" w:after="0" w:line="240" w:lineRule="auto"/>
            </w:pPr>
            <w:r>
              <w:rPr>
                <w:rFonts w:ascii="Arial" w:hAnsi="Arial"/>
                <w:b w:val="0"/>
                <w:sz w:val="16"/>
              </w:rPr>
              <w:t>Used as the preferred basis for consistent names and attributes across traces, metrics, logs and resources.</w:t>
            </w:r>
          </w:p>
        </w:tc>
      </w:tr>
      <w:tr>
        <w:trPr>
          <w:cantSplit/>
        </w:trPr>
        <w:tc>
          <w:tcPr>
            <w:tcW w:type="dxa" w:w="2664"/>
            <w:vAlign w:val="top"/>
            <w:tcMar>
              <w:top w:w="70" w:type="dxa"/>
              <w:start w:w="80" w:type="dxa"/>
              <w:bottom w:w="70" w:type="dxa"/>
              <w:end w:w="80" w:type="dxa"/>
            </w:tcMar>
            <w:shd w:fill="F7F9FB"/>
          </w:tcPr>
          <w:p>
            <w:pPr>
              <w:spacing w:before="0" w:after="0" w:line="240" w:lineRule="auto"/>
            </w:pPr>
            <w:r>
              <w:rPr>
                <w:rFonts w:ascii="Arial" w:hAnsi="Arial"/>
                <w:b/>
                <w:sz w:val="16"/>
              </w:rPr>
              <w:t>Google Site Reliability Engineering practices</w:t>
            </w:r>
          </w:p>
        </w:tc>
        <w:tc>
          <w:tcPr>
            <w:tcW w:type="dxa" w:w="2381"/>
            <w:vAlign w:val="top"/>
            <w:tcMar>
              <w:top w:w="70" w:type="dxa"/>
              <w:start w:w="80" w:type="dxa"/>
              <w:bottom w:w="70" w:type="dxa"/>
              <w:end w:w="80" w:type="dxa"/>
            </w:tcMar>
            <w:shd w:fill="F7F9FB"/>
          </w:tcPr>
          <w:p>
            <w:pPr>
              <w:spacing w:before="0" w:after="0" w:line="240" w:lineRule="auto"/>
            </w:pPr>
            <w:r>
              <w:rPr>
                <w:rFonts w:ascii="Arial" w:hAnsi="Arial"/>
                <w:b w:val="0"/>
                <w:sz w:val="16"/>
              </w:rPr>
              <w:t>SLIs/SLOs and golden signals</w:t>
            </w:r>
          </w:p>
        </w:tc>
        <w:tc>
          <w:tcPr>
            <w:tcW w:type="dxa" w:w="4592"/>
            <w:vAlign w:val="top"/>
            <w:tcMar>
              <w:top w:w="70" w:type="dxa"/>
              <w:start w:w="80" w:type="dxa"/>
              <w:bottom w:w="70" w:type="dxa"/>
              <w:end w:w="80" w:type="dxa"/>
            </w:tcMar>
            <w:shd w:fill="F7F9FB"/>
          </w:tcPr>
          <w:p>
            <w:pPr>
              <w:spacing w:before="0" w:after="0" w:line="240" w:lineRule="auto"/>
            </w:pPr>
            <w:r>
              <w:rPr>
                <w:rFonts w:ascii="Arial" w:hAnsi="Arial"/>
                <w:b w:val="0"/>
                <w:sz w:val="16"/>
              </w:rPr>
              <w:t>Used for availability, latency, traffic, errors, saturation, SLO and error-budget reporting.</w:t>
            </w:r>
          </w:p>
        </w:tc>
      </w:tr>
      <w:tr>
        <w:trPr>
          <w:cantSplit/>
        </w:trPr>
        <w:tc>
          <w:tcPr>
            <w:tcW w:type="dxa" w:w="2664"/>
            <w:vAlign w:val="top"/>
            <w:tcMar>
              <w:top w:w="70" w:type="dxa"/>
              <w:start w:w="80" w:type="dxa"/>
              <w:bottom w:w="70" w:type="dxa"/>
              <w:end w:w="80" w:type="dxa"/>
            </w:tcMar>
          </w:tcPr>
          <w:p>
            <w:pPr>
              <w:spacing w:before="0" w:after="0" w:line="240" w:lineRule="auto"/>
            </w:pPr>
            <w:r>
              <w:rPr>
                <w:rFonts w:ascii="Arial" w:hAnsi="Arial"/>
                <w:b/>
                <w:sz w:val="16"/>
              </w:rPr>
              <w:t>IAB / MRC Digital Measurement Guidelines</w:t>
            </w:r>
          </w:p>
        </w:tc>
        <w:tc>
          <w:tcPr>
            <w:tcW w:type="dxa" w:w="2381"/>
            <w:vAlign w:val="top"/>
            <w:tcMar>
              <w:top w:w="70" w:type="dxa"/>
              <w:start w:w="80" w:type="dxa"/>
              <w:bottom w:w="70" w:type="dxa"/>
              <w:end w:w="80" w:type="dxa"/>
            </w:tcMar>
          </w:tcPr>
          <w:p>
            <w:pPr>
              <w:spacing w:before="0" w:after="0" w:line="240" w:lineRule="auto"/>
            </w:pPr>
            <w:r>
              <w:rPr>
                <w:rFonts w:ascii="Arial" w:hAnsi="Arial"/>
                <w:b w:val="0"/>
                <w:sz w:val="16"/>
              </w:rPr>
              <w:t>Digital advertising measurement</w:t>
            </w:r>
          </w:p>
        </w:tc>
        <w:tc>
          <w:tcPr>
            <w:tcW w:type="dxa" w:w="4592"/>
            <w:vAlign w:val="top"/>
            <w:tcMar>
              <w:top w:w="70" w:type="dxa"/>
              <w:start w:w="80" w:type="dxa"/>
              <w:bottom w:w="70" w:type="dxa"/>
              <w:end w:w="80" w:type="dxa"/>
            </w:tcMar>
          </w:tcPr>
          <w:p>
            <w:pPr>
              <w:spacing w:before="0" w:after="0" w:line="240" w:lineRule="auto"/>
            </w:pPr>
            <w:r>
              <w:rPr>
                <w:rFonts w:ascii="Arial" w:hAnsi="Arial"/>
                <w:b w:val="0"/>
                <w:sz w:val="16"/>
              </w:rPr>
              <w:t>Used for impression, click, viewability and invalid-traffic measurement concepts.</w:t>
            </w:r>
          </w:p>
        </w:tc>
      </w:tr>
    </w:tbl>
    <w:p>
      <w:pPr>
        <w:spacing w:after="20"/>
      </w:pPr>
    </w:p>
    <w:tbl>
      <w:tblPr>
        <w:tblW w:type="auto" w:w="0"/>
        <w:jc w:val="center"/>
        <w:tblLayout w:type="autofit"/>
        <w:tblLook w:firstColumn="1" w:firstRow="1" w:lastColumn="0" w:lastRow="0" w:noHBand="0" w:noVBand="1" w:val="04A0"/>
      </w:tblPr>
      <w:tblGrid>
        <w:gridCol w:w="9752"/>
      </w:tblGrid>
      <w:tr>
        <w:trPr>
          <w:tblHeader/>
          <w:cantSplit/>
        </w:trPr>
        <w:tc>
          <w:tcPr>
            <w:tcW w:type="dxa" w:w="9752"/>
            <w:shd w:fill="FFF2CC"/>
            <w:tcMar>
              <w:top w:w="100" w:type="dxa"/>
              <w:start w:w="120" w:type="dxa"/>
              <w:bottom w:w="100" w:type="dxa"/>
              <w:end w:w="120" w:type="dxa"/>
            </w:tcMar>
          </w:tcPr>
          <w:p>
            <w:r>
              <w:rPr>
                <w:rFonts w:ascii="Arial" w:hAnsi="Arial"/>
                <w:b/>
                <w:color w:val="17365D"/>
                <w:sz w:val="19"/>
              </w:rPr>
              <w:t xml:space="preserve">Interpretation: </w:t>
            </w:r>
            <w:r>
              <w:rPr>
                <w:rFonts w:ascii="Arial" w:hAnsi="Arial"/>
                <w:sz w:val="19"/>
              </w:rPr>
              <w:t>Industry alignment does not imply certification or accreditation. Any claim of formal compliance shall require a separate assessment against the complete applicable standard and the implemented measurement methodology.</w:t>
            </w:r>
          </w:p>
        </w:tc>
      </w:tr>
    </w:tbl>
    <w:p>
      <w:pPr>
        <w:spacing w:after="20"/>
      </w:pPr>
    </w:p>
    <w:p>
      <w:pPr>
        <w:pStyle w:val="Heading1"/>
        <w:keepNext/>
      </w:pPr>
      <w:r>
        <w:t>26. Glossary</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438"/>
            <w:shd w:fill="1F4E78"/>
            <w:tcMar>
              <w:top w:w="70" w:type="dxa"/>
              <w:start w:w="80" w:type="dxa"/>
              <w:bottom w:w="70" w:type="dxa"/>
              <w:end w:w="80" w:type="dxa"/>
            </w:tcMar>
          </w:tcPr>
          <w:p>
            <w:pPr>
              <w:spacing w:before="0" w:after="0" w:line="240" w:lineRule="auto"/>
              <w:jc w:val="left"/>
            </w:pPr>
            <w:r>
              <w:rPr>
                <w:rFonts w:ascii="Arial" w:hAnsi="Arial"/>
                <w:b/>
                <w:color w:val="FFFFFF"/>
                <w:sz w:val="16"/>
              </w:rPr>
              <w:t>Term</w:t>
            </w:r>
          </w:p>
        </w:tc>
        <w:tc>
          <w:tcPr>
            <w:tcW w:type="dxa" w:w="7200"/>
            <w:shd w:fill="1F4E78"/>
            <w:tcMar>
              <w:top w:w="70" w:type="dxa"/>
              <w:start w:w="80" w:type="dxa"/>
              <w:bottom w:w="70" w:type="dxa"/>
              <w:end w:w="80" w:type="dxa"/>
            </w:tcMar>
          </w:tcPr>
          <w:p>
            <w:pPr>
              <w:spacing w:before="0" w:after="0" w:line="240" w:lineRule="auto"/>
              <w:jc w:val="left"/>
            </w:pPr>
            <w:r>
              <w:rPr>
                <w:rFonts w:ascii="Arial" w:hAnsi="Arial"/>
                <w:b/>
                <w:color w:val="FFFFFF"/>
                <w:sz w:val="16"/>
              </w:rPr>
              <w:t>Definition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Active User</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distinct pseudonymous user who performs at least one approved qualifying event in the stated period.</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Aggregate</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A value calculated from multiple lower-level events or records.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Cohort</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group of providers or users sharing a governed characteristic or start period.</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Comparison Period</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The baseline period against which current-period change is calculated.</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Conversion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Completion of a defined target action following an eligible preceding action.</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Data Freshness</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Elapsed time between source activity and availability of complete analytics data.</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Dimension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An approved attribute used to group, filter or segment a metric.</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Drill-Down</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Navigation from a summary metric to lower-level contributing categories or authorised detail.</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Event</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An immutable, time-stamped record that a governed action or state change occurred.</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Event Taxonomy</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The controlled list of event names, versions, attributes and meanings.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Metric Catalogue</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The governed repository of metric definitions, formulas, sources, owners and versions.</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Provider Realm</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The provider-scoped security and tenancy boundary established during Provider Take-On.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Pseudonymisation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Processing that replaces direct identifiers with tokens so data cannot be attributed without separately controlled information.</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SLA</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Service Level Agreement or policy defining a required service outcome or time.</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SLI</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Service Level Indicator: a quantitative measure of a service characteristic.</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SLO</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Service Level Objective: a target value or range for an SLI.</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Suppression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Withholding a result because volume is too low or access is not authorised.</w:t>
            </w:r>
          </w:p>
        </w:tc>
      </w:tr>
      <w:tr>
        <w:trPr>
          <w:cantSplit/>
        </w:trPr>
        <w:tc>
          <w:tcPr>
            <w:tcW w:type="dxa" w:w="2438"/>
            <w:vAlign w:val="top"/>
            <w:tcMar>
              <w:top w:w="70" w:type="dxa"/>
              <w:start w:w="80" w:type="dxa"/>
              <w:bottom w:w="70" w:type="dxa"/>
              <w:end w:w="80" w:type="dxa"/>
            </w:tcMar>
            <w:shd w:fill="F7F9FB"/>
          </w:tcPr>
          <w:p>
            <w:pPr>
              <w:spacing w:before="0" w:after="0" w:line="240" w:lineRule="auto"/>
            </w:pPr>
            <w:r>
              <w:rPr>
                <w:rFonts w:ascii="Arial" w:hAnsi="Arial"/>
                <w:b/>
                <w:sz w:val="16"/>
              </w:rPr>
              <w:t>Viewable Impression</w:t>
            </w:r>
          </w:p>
        </w:tc>
        <w:tc>
          <w:tcPr>
            <w:tcW w:type="dxa" w:w="7200"/>
            <w:vAlign w:val="top"/>
            <w:tcMar>
              <w:top w:w="70" w:type="dxa"/>
              <w:start w:w="80" w:type="dxa"/>
              <w:bottom w:w="70" w:type="dxa"/>
              <w:end w:w="80" w:type="dxa"/>
            </w:tcMar>
            <w:shd w:fill="F7F9FB"/>
          </w:tcPr>
          <w:p>
            <w:pPr>
              <w:spacing w:before="0" w:after="0" w:line="240" w:lineRule="auto"/>
            </w:pPr>
            <w:r>
              <w:rPr>
                <w:rFonts w:ascii="Arial" w:hAnsi="Arial"/>
                <w:b w:val="0"/>
                <w:sz w:val="16"/>
              </w:rPr>
              <w:t>An ad impression satisfying the configured viewability measurement rule.</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Workflow Turnaround Time</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Elapsed time between governed workflow start and completion states, subject to pause rules.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Acquisition Source / Medium</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Governed classifications identifying where a journey originated and the mechanism used to reach lulaFi or a provider service.</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Assisted Conversion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conversion in which a touchpoint contributed to the journey but did not receive direct or final attribution credit.</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Attribution Model</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versioned rule for assigning conversion or revenue credit to eligible touchpoints within a stated lookback window.</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Cart Abandonment</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governed cart or checkout journey that does not reach completion within the configured threshold.</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Conversational Campaign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campaign delivered through a messaging channel and measured using delivery, read, click, reply, conversion and opt-out events where supported.</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Incremental Lift</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The change in outcome estimated relative to an approved baseline or control, rather than simple attribution.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Prediction Confidence</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 model-provided uncertainty, reliability or confidence measure associated with a prediction.</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Revenue Attribution</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Analytical allocation of governed revenue to eligible campaign, channel, conversation, form, connector or acquisition touchpoints.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Revenue Growth Management</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Use of demand, price, campaign, product, inventory, sale-out and user-action analytics to support revenue and availability decisions.</w:t>
            </w:r>
          </w:p>
        </w:tc>
      </w:tr>
      <w:tr>
        <w:trPr>
          <w:cantSplit/>
        </w:trPr>
        <w:tc>
          <w:tcPr>
            <w:tcW w:type="dxa" w:w="2438"/>
            <w:vAlign w:val="top"/>
            <w:tcMar>
              <w:top w:w="70" w:type="dxa"/>
              <w:start w:w="80" w:type="dxa"/>
              <w:bottom w:w="70" w:type="dxa"/>
              <w:end w:w="80" w:type="dxa"/>
            </w:tcMar>
          </w:tcPr>
          <w:p>
            <w:pPr>
              <w:spacing w:before="0" w:after="0" w:line="240" w:lineRule="auto"/>
            </w:pPr>
            <w:r>
              <w:rPr>
                <w:rFonts w:ascii="Arial" w:hAnsi="Arial"/>
                <w:b/>
                <w:sz w:val="16"/>
              </w:rPr>
              <w:t>Unattributed Revenue</w:t>
            </w:r>
          </w:p>
        </w:tc>
        <w:tc>
          <w:tcPr>
            <w:tcW w:type="dxa" w:w="7200"/>
            <w:vAlign w:val="top"/>
            <w:tcMar>
              <w:top w:w="70" w:type="dxa"/>
              <w:start w:w="80" w:type="dxa"/>
              <w:bottom w:w="70" w:type="dxa"/>
              <w:end w:w="80" w:type="dxa"/>
            </w:tcMar>
          </w:tcPr>
          <w:p>
            <w:pPr>
              <w:spacing w:before="0" w:after="0" w:line="240" w:lineRule="auto"/>
            </w:pPr>
            <w:r>
              <w:rPr>
                <w:rFonts w:ascii="Arial" w:hAnsi="Arial"/>
                <w:b w:val="0"/>
                <w:sz w:val="16"/>
              </w:rPr>
              <w:t>Revenue for which the selected attribution model cannot assign eligible touchpoint credit.</w:t>
            </w:r>
          </w:p>
        </w:tc>
      </w:tr>
    </w:tbl>
    <w:p>
      <w:pPr>
        <w:spacing w:after="20"/>
      </w:pPr>
    </w:p>
    <w:p>
      <w:pPr>
        <w:pStyle w:val="Heading1"/>
        <w:keepNext/>
      </w:pPr>
      <w:r>
        <w:t>27. References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963"/>
            <w:shd w:fill="1F4E78"/>
            <w:tcMar>
              <w:top w:w="70" w:type="dxa"/>
              <w:start w:w="80" w:type="dxa"/>
              <w:bottom w:w="70" w:type="dxa"/>
              <w:end w:w="80" w:type="dxa"/>
            </w:tcMar>
          </w:tcPr>
          <w:p>
            <w:pPr>
              <w:spacing w:before="0" w:after="0" w:line="240" w:lineRule="auto"/>
              <w:jc w:val="left"/>
            </w:pPr>
            <w:r>
              <w:rPr>
                <w:rFonts w:ascii="Arial" w:hAnsi="Arial"/>
                <w:b/>
                <w:color w:val="FFFFFF"/>
                <w:sz w:val="16"/>
              </w:rPr>
              <w:t>Ref</w:t>
            </w:r>
          </w:p>
        </w:tc>
        <w:tc>
          <w:tcPr>
            <w:tcW w:type="dxa" w:w="8675"/>
            <w:shd w:fill="1F4E78"/>
            <w:tcMar>
              <w:top w:w="70" w:type="dxa"/>
              <w:start w:w="80" w:type="dxa"/>
              <w:bottom w:w="70" w:type="dxa"/>
              <w:end w:w="80" w:type="dxa"/>
            </w:tcMar>
          </w:tcPr>
          <w:p>
            <w:pPr>
              <w:spacing w:before="0" w:after="0" w:line="240" w:lineRule="auto"/>
              <w:jc w:val="left"/>
            </w:pPr>
            <w:r>
              <w:rPr>
                <w:rFonts w:ascii="Arial" w:hAnsi="Arial"/>
                <w:b/>
                <w:color w:val="FFFFFF"/>
                <w:sz w:val="16"/>
              </w:rPr>
              <w:t>Reference</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6"/>
              </w:rPr>
              <w:t>R1</w:t>
            </w:r>
          </w:p>
        </w:tc>
        <w:tc>
          <w:tcPr>
            <w:tcW w:type="dxa" w:w="8675"/>
            <w:vAlign w:val="top"/>
            <w:tcMar>
              <w:top w:w="70" w:type="dxa"/>
              <w:start w:w="80" w:type="dxa"/>
              <w:bottom w:w="70" w:type="dxa"/>
              <w:end w:w="80" w:type="dxa"/>
            </w:tcMar>
          </w:tcPr>
          <w:p>
            <w:pPr>
              <w:spacing w:before="0" w:after="0" w:line="240" w:lineRule="auto"/>
            </w:pPr>
            <w:r>
              <w:rPr>
                <w:rFonts w:ascii="Arial" w:hAnsi="Arial"/>
                <w:b w:val="0"/>
                <w:sz w:val="16"/>
              </w:rPr>
              <w:t>lulaFi Requirements – Product Requirements Document (PRD), Document Number PRD v0.2, Version 0.2, dated 18 May 2026.</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6"/>
              </w:rPr>
              <w:t>R2</w:t>
            </w:r>
          </w:p>
        </w:tc>
        <w:tc>
          <w:tcPr>
            <w:tcW w:type="dxa" w:w="8675"/>
            <w:vAlign w:val="top"/>
            <w:tcMar>
              <w:top w:w="70" w:type="dxa"/>
              <w:start w:w="80" w:type="dxa"/>
              <w:bottom w:w="70" w:type="dxa"/>
              <w:end w:w="80" w:type="dxa"/>
            </w:tcMar>
            <w:shd w:fill="F7F9FB"/>
          </w:tcPr>
          <w:p>
            <w:pPr>
              <w:spacing w:before="0" w:after="0" w:line="240" w:lineRule="auto"/>
            </w:pPr>
            <w:r>
              <w:rPr>
                <w:rFonts w:ascii="Arial" w:hAnsi="Arial"/>
                <w:b w:val="0"/>
                <w:sz w:val="16"/>
              </w:rPr>
              <w:t>ISO/IEC 25010:2023, Systems and software engineering — Systems and software Quality Requirements and Evaluation (SQuaRE) — Product quality model.</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6"/>
              </w:rPr>
              <w:t>R3</w:t>
            </w:r>
          </w:p>
        </w:tc>
        <w:tc>
          <w:tcPr>
            <w:tcW w:type="dxa" w:w="8675"/>
            <w:vAlign w:val="top"/>
            <w:tcMar>
              <w:top w:w="70" w:type="dxa"/>
              <w:start w:w="80" w:type="dxa"/>
              <w:bottom w:w="70" w:type="dxa"/>
              <w:end w:w="80" w:type="dxa"/>
            </w:tcMar>
          </w:tcPr>
          <w:p>
            <w:pPr>
              <w:spacing w:before="0" w:after="0" w:line="240" w:lineRule="auto"/>
            </w:pPr>
            <w:r>
              <w:rPr>
                <w:rFonts w:ascii="Arial" w:hAnsi="Arial"/>
                <w:b w:val="0"/>
                <w:sz w:val="16"/>
              </w:rPr>
              <w:t>ISO/IEC 25012:2008, Software engineering — Software product Quality Requirements and Evaluation (SQuaRE) — Data quality model; reviewed and confirmed current in 2025.</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6"/>
              </w:rPr>
              <w:t>R4</w:t>
            </w:r>
          </w:p>
        </w:tc>
        <w:tc>
          <w:tcPr>
            <w:tcW w:type="dxa" w:w="8675"/>
            <w:vAlign w:val="top"/>
            <w:tcMar>
              <w:top w:w="70" w:type="dxa"/>
              <w:start w:w="80" w:type="dxa"/>
              <w:bottom w:w="70" w:type="dxa"/>
              <w:end w:w="80" w:type="dxa"/>
            </w:tcMar>
            <w:shd w:fill="F7F9FB"/>
          </w:tcPr>
          <w:p>
            <w:pPr>
              <w:spacing w:before="0" w:after="0" w:line="240" w:lineRule="auto"/>
            </w:pPr>
            <w:r>
              <w:rPr>
                <w:rFonts w:ascii="Arial" w:hAnsi="Arial"/>
                <w:b w:val="0"/>
                <w:sz w:val="16"/>
              </w:rPr>
              <w:t>ISO/IEC 27001:2022, Information security, cybersecurity and privacy protection — Information security management systems — Requirements.</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6"/>
              </w:rPr>
              <w:t>R5</w:t>
            </w:r>
          </w:p>
        </w:tc>
        <w:tc>
          <w:tcPr>
            <w:tcW w:type="dxa" w:w="8675"/>
            <w:vAlign w:val="top"/>
            <w:tcMar>
              <w:top w:w="70" w:type="dxa"/>
              <w:start w:w="80" w:type="dxa"/>
              <w:bottom w:w="70" w:type="dxa"/>
              <w:end w:w="80" w:type="dxa"/>
            </w:tcMar>
          </w:tcPr>
          <w:p>
            <w:pPr>
              <w:spacing w:before="0" w:after="0" w:line="240" w:lineRule="auto"/>
            </w:pPr>
            <w:r>
              <w:rPr>
                <w:rFonts w:ascii="Arial" w:hAnsi="Arial"/>
                <w:b w:val="0"/>
                <w:sz w:val="16"/>
              </w:rPr>
              <w:t>W3C, Web Content Accessibility Guidelines (WCAG) 2.2; approved as ISO/IEC 40500:2025.</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6"/>
              </w:rPr>
              <w:t>R6</w:t>
            </w:r>
          </w:p>
        </w:tc>
        <w:tc>
          <w:tcPr>
            <w:tcW w:type="dxa" w:w="8675"/>
            <w:vAlign w:val="top"/>
            <w:tcMar>
              <w:top w:w="70" w:type="dxa"/>
              <w:start w:w="80" w:type="dxa"/>
              <w:bottom w:w="70" w:type="dxa"/>
              <w:end w:w="80" w:type="dxa"/>
            </w:tcMar>
            <w:shd w:fill="F7F9FB"/>
          </w:tcPr>
          <w:p>
            <w:pPr>
              <w:spacing w:before="0" w:after="0" w:line="240" w:lineRule="auto"/>
            </w:pPr>
            <w:r>
              <w:rPr>
                <w:rFonts w:ascii="Arial" w:hAnsi="Arial"/>
                <w:b w:val="0"/>
                <w:sz w:val="16"/>
              </w:rPr>
              <w:t>OpenTelemetry, Semantic Conventions for traces, metrics, logs, profiles and resources.</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6"/>
              </w:rPr>
              <w:t>R7</w:t>
            </w:r>
          </w:p>
        </w:tc>
        <w:tc>
          <w:tcPr>
            <w:tcW w:type="dxa" w:w="8675"/>
            <w:vAlign w:val="top"/>
            <w:tcMar>
              <w:top w:w="70" w:type="dxa"/>
              <w:start w:w="80" w:type="dxa"/>
              <w:bottom w:w="70" w:type="dxa"/>
              <w:end w:w="80" w:type="dxa"/>
            </w:tcMar>
          </w:tcPr>
          <w:p>
            <w:pPr>
              <w:spacing w:before="0" w:after="0" w:line="240" w:lineRule="auto"/>
            </w:pPr>
            <w:r>
              <w:rPr>
                <w:rFonts w:ascii="Arial" w:hAnsi="Arial"/>
                <w:b w:val="0"/>
                <w:sz w:val="16"/>
              </w:rPr>
              <w:t>Google Site Reliability Engineering, Service Level Objectives and Monitoring Distributed Systems.</w:t>
            </w:r>
          </w:p>
        </w:tc>
      </w:tr>
      <w:tr>
        <w:trPr>
          <w:cantSplit/>
        </w:trPr>
        <w:tc>
          <w:tcPr>
            <w:tcW w:type="dxa" w:w="963"/>
            <w:vAlign w:val="top"/>
            <w:tcMar>
              <w:top w:w="70" w:type="dxa"/>
              <w:start w:w="80" w:type="dxa"/>
              <w:bottom w:w="70" w:type="dxa"/>
              <w:end w:w="80" w:type="dxa"/>
            </w:tcMar>
            <w:shd w:fill="F7F9FB"/>
          </w:tcPr>
          <w:p>
            <w:pPr>
              <w:spacing w:before="0" w:after="0" w:line="240" w:lineRule="auto"/>
            </w:pPr>
            <w:r>
              <w:rPr>
                <w:rFonts w:ascii="Arial" w:hAnsi="Arial"/>
                <w:b/>
                <w:sz w:val="16"/>
              </w:rPr>
              <w:t>R8</w:t>
            </w:r>
          </w:p>
        </w:tc>
        <w:tc>
          <w:tcPr>
            <w:tcW w:type="dxa" w:w="8675"/>
            <w:vAlign w:val="top"/>
            <w:tcMar>
              <w:top w:w="70" w:type="dxa"/>
              <w:start w:w="80" w:type="dxa"/>
              <w:bottom w:w="70" w:type="dxa"/>
              <w:end w:w="80" w:type="dxa"/>
            </w:tcMar>
            <w:shd w:fill="F7F9FB"/>
          </w:tcPr>
          <w:p>
            <w:pPr>
              <w:spacing w:before="0" w:after="0" w:line="240" w:lineRule="auto"/>
            </w:pPr>
            <w:r>
              <w:rPr>
                <w:rFonts w:ascii="Arial" w:hAnsi="Arial"/>
                <w:b w:val="0"/>
                <w:sz w:val="16"/>
              </w:rPr>
              <w:t>Interactive Advertising Bureau and Media Rating Council, Ad Impression, Click Measurement and Viewable Impression Guidelines.</w:t>
            </w:r>
          </w:p>
        </w:tc>
      </w:tr>
      <w:tr>
        <w:trPr>
          <w:cantSplit/>
        </w:trPr>
        <w:tc>
          <w:tcPr>
            <w:tcW w:type="dxa" w:w="963"/>
            <w:vAlign w:val="top"/>
            <w:tcMar>
              <w:top w:w="70" w:type="dxa"/>
              <w:start w:w="80" w:type="dxa"/>
              <w:bottom w:w="70" w:type="dxa"/>
              <w:end w:w="80" w:type="dxa"/>
            </w:tcMar>
          </w:tcPr>
          <w:p>
            <w:pPr>
              <w:spacing w:before="0" w:after="0" w:line="240" w:lineRule="auto"/>
            </w:pPr>
            <w:r>
              <w:rPr>
                <w:rFonts w:ascii="Arial" w:hAnsi="Arial"/>
                <w:b/>
                <w:sz w:val="16"/>
              </w:rPr>
              <w:t>R9</w:t>
            </w:r>
          </w:p>
        </w:tc>
        <w:tc>
          <w:tcPr>
            <w:tcW w:type="dxa" w:w="8675"/>
            <w:vAlign w:val="top"/>
            <w:tcMar>
              <w:top w:w="70" w:type="dxa"/>
              <w:start w:w="80" w:type="dxa"/>
              <w:bottom w:w="70" w:type="dxa"/>
              <w:end w:w="80" w:type="dxa"/>
            </w:tcMar>
          </w:tcPr>
          <w:p>
            <w:pPr>
              <w:spacing w:before="0" w:after="0" w:line="240" w:lineRule="auto"/>
            </w:pPr>
            <w:r>
              <w:rPr>
                <w:rFonts w:ascii="Arial" w:hAnsi="Arial"/>
                <w:b w:val="0"/>
                <w:sz w:val="16"/>
              </w:rPr>
              <w:t>Stakeholder-supplied comparative analytics requirements covering WhatsApp-style conversational and marketing analytics and Google-style advertising, acquisition, commerce, predictive and full-funnel analytics, received July 2026.</w:t>
            </w:r>
          </w:p>
        </w:tc>
      </w:tr>
    </w:tbl>
    <w:p>
      <w:pPr>
        <w:spacing w:after="20"/>
      </w:pPr>
    </w:p>
    <w:p>
      <w:pPr>
        <w:pStyle w:val="Heading1"/>
        <w:keepNext/>
      </w:pPr>
      <w:r>
        <w:t>Appendix A – Metric Definition Record Template</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91"/>
            <w:shd w:fill="1F4E78"/>
            <w:tcMar>
              <w:top w:w="70" w:type="dxa"/>
              <w:start w:w="80" w:type="dxa"/>
              <w:bottom w:w="70" w:type="dxa"/>
              <w:end w:w="80" w:type="dxa"/>
            </w:tcMar>
          </w:tcPr>
          <w:p>
            <w:pPr>
              <w:spacing w:before="0" w:after="0" w:line="240" w:lineRule="auto"/>
              <w:jc w:val="left"/>
            </w:pPr>
            <w:r>
              <w:rPr>
                <w:rFonts w:ascii="Arial" w:hAnsi="Arial"/>
                <w:b/>
                <w:color w:val="FFFFFF"/>
                <w:sz w:val="16"/>
              </w:rPr>
              <w:t>Field</w:t>
            </w:r>
          </w:p>
        </w:tc>
        <w:tc>
          <w:tcPr>
            <w:tcW w:type="dxa" w:w="6747"/>
            <w:shd w:fill="1F4E78"/>
            <w:tcMar>
              <w:top w:w="70" w:type="dxa"/>
              <w:start w:w="80" w:type="dxa"/>
              <w:bottom w:w="70" w:type="dxa"/>
              <w:end w:w="80" w:type="dxa"/>
            </w:tcMar>
          </w:tcPr>
          <w:p>
            <w:pPr>
              <w:spacing w:before="0" w:after="0" w:line="240" w:lineRule="auto"/>
              <w:jc w:val="left"/>
            </w:pPr>
            <w:r>
              <w:rPr>
                <w:rFonts w:ascii="Arial" w:hAnsi="Arial"/>
                <w:b/>
                <w:color w:val="FFFFFF"/>
                <w:sz w:val="16"/>
              </w:rPr>
              <w:t>Required Content</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Metric ID</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Unique identifier, for example KPI-013</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Metric Name</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Start-to-Submission Conversion</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Business Purpose</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Decision or behaviour the metric supports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Business Definition</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Unambiguous plain-language meaning</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Formula</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Numerator, denominator, aggregation and multiplication factor</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Unit</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Count, percentage, seconds, currency, rate or ratio</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Source Events / Tables</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Governed event names and source entities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Qualifying Rules</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What is included</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Exclusions</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Bots, internal tests, duplicates, invalid traffic, cancelled operations or other exclusions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Dimensions</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Approved breakdowns and filters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Time Basis</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Event time or processing time; time zone; attribution window</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Refresh Frequency</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Near real time, hourly, daily or other</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Correction Window</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Period during which late events recalculate the metric</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Minimum Volume / Suppression</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Thresholds for display</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Owner</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Business owner and technical steward</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Access Classification</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Provider, global, operational, commercial, sensitive</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Version / Effective Date</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Definition version and effective date</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Quality Checks</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Completeness, validity and reconciliation controls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Target / Threshold</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Optional target, warning and critical ranges</w:t>
            </w:r>
          </w:p>
        </w:tc>
      </w:tr>
      <w:tr>
        <w:trPr>
          <w:cantSplit/>
        </w:trPr>
        <w:tc>
          <w:tcPr>
            <w:tcW w:type="dxa" w:w="2891"/>
            <w:vAlign w:val="top"/>
            <w:tcMar>
              <w:top w:w="70" w:type="dxa"/>
              <w:start w:w="80" w:type="dxa"/>
              <w:bottom w:w="70" w:type="dxa"/>
              <w:end w:w="80" w:type="dxa"/>
            </w:tcMar>
            <w:shd w:fill="F7F9FB"/>
          </w:tcPr>
          <w:p>
            <w:pPr>
              <w:spacing w:before="0" w:after="0" w:line="240" w:lineRule="auto"/>
            </w:pPr>
            <w:r>
              <w:rPr>
                <w:rFonts w:ascii="Arial" w:hAnsi="Arial"/>
                <w:b/>
                <w:sz w:val="16"/>
              </w:rPr>
              <w:t>Known Limitations</w:t>
            </w:r>
          </w:p>
        </w:tc>
        <w:tc>
          <w:tcPr>
            <w:tcW w:type="dxa" w:w="6747"/>
            <w:vAlign w:val="top"/>
            <w:tcMar>
              <w:top w:w="70" w:type="dxa"/>
              <w:start w:w="80" w:type="dxa"/>
              <w:bottom w:w="70" w:type="dxa"/>
              <w:end w:w="80" w:type="dxa"/>
            </w:tcMar>
            <w:shd w:fill="F7F9FB"/>
          </w:tcPr>
          <w:p>
            <w:pPr>
              <w:spacing w:before="0" w:after="0" w:line="240" w:lineRule="auto"/>
            </w:pPr>
            <w:r>
              <w:rPr>
                <w:rFonts w:ascii="Arial" w:hAnsi="Arial"/>
                <w:b w:val="0"/>
                <w:sz w:val="16"/>
              </w:rPr>
              <w:t>Coverage gaps, measurement limitations and caveats</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Attribution Model</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Model ID/version, credit method, touchpoint eligibility, lookback window, conversion event and adjustment rules where applicable</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Monetary Basis</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Currency, gross/net basis, tax/discount/refund handling, source system and reconciliation rule</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Prediction / Estimation Basis</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Model ID/version, feature set, training and validation window, score interpretation, confidence and expiry</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Observed Outcome Feedback</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Outcome event, evaluation window, calibration or lift measure and date last evaluated</w:t>
            </w:r>
          </w:p>
        </w:tc>
      </w:tr>
      <w:tr>
        <w:trPr>
          <w:cantSplit/>
        </w:trPr>
        <w:tc>
          <w:tcPr>
            <w:tcW w:type="dxa" w:w="2891"/>
            <w:vAlign w:val="top"/>
            <w:tcMar>
              <w:top w:w="70" w:type="dxa"/>
              <w:start w:w="80" w:type="dxa"/>
              <w:bottom w:w="70" w:type="dxa"/>
              <w:end w:w="80" w:type="dxa"/>
            </w:tcMar>
          </w:tcPr>
          <w:p>
            <w:pPr>
              <w:spacing w:before="0" w:after="0" w:line="240" w:lineRule="auto"/>
            </w:pPr>
            <w:r>
              <w:rPr>
                <w:rFonts w:ascii="Arial" w:hAnsi="Arial"/>
                <w:b/>
                <w:sz w:val="16"/>
              </w:rPr>
              <w:t>Consent and Communication Rules</w:t>
            </w:r>
          </w:p>
        </w:tc>
        <w:tc>
          <w:tcPr>
            <w:tcW w:type="dxa" w:w="6747"/>
            <w:vAlign w:val="top"/>
            <w:tcMar>
              <w:top w:w="70" w:type="dxa"/>
              <w:start w:w="80" w:type="dxa"/>
              <w:bottom w:w="70" w:type="dxa"/>
              <w:end w:w="80" w:type="dxa"/>
            </w:tcMar>
          </w:tcPr>
          <w:p>
            <w:pPr>
              <w:spacing w:before="0" w:after="0" w:line="240" w:lineRule="auto"/>
            </w:pPr>
            <w:r>
              <w:rPr>
                <w:rFonts w:ascii="Arial" w:hAnsi="Arial"/>
                <w:b w:val="0"/>
                <w:sz w:val="16"/>
              </w:rPr>
              <w:t>Purpose, channel permission, opt-out, suppression and frequency-cap requirements</w:t>
            </w:r>
          </w:p>
        </w:tc>
      </w:tr>
    </w:tbl>
    <w:p>
      <w:pPr>
        <w:spacing w:after="20"/>
      </w:pPr>
    </w:p>
    <w:p>
      <w:pPr>
        <w:pStyle w:val="Heading1"/>
        <w:keepNext/>
      </w:pPr>
      <w:r>
        <w:t>Appendix B – Event Naming and Attribute Rules</w:t>
      </w:r>
    </w:p>
    <w:p>
      <w:pPr>
        <w:pStyle w:val="ListBullet"/>
        <w:spacing w:before="0" w:after="40" w:line="252" w:lineRule="auto"/>
      </w:pPr>
      <w:r>
        <w:rPr>
          <w:rFonts w:ascii="Arial" w:hAnsi="Arial"/>
          <w:sz w:val="20"/>
        </w:rPr>
        <w:t>Use lower-case domain.action names, for example form.started and connector.request.failed.</w:t>
      </w:r>
    </w:p>
    <w:p>
      <w:pPr>
        <w:pStyle w:val="ListBullet"/>
        <w:spacing w:before="0" w:after="40" w:line="252" w:lineRule="auto"/>
      </w:pPr>
      <w:r>
        <w:rPr>
          <w:rFonts w:ascii="Arial" w:hAnsi="Arial"/>
          <w:sz w:val="20"/>
        </w:rPr>
        <w:t>Use past-tense actions for completed events and explicit state-change events for transitions.</w:t>
      </w:r>
    </w:p>
    <w:p>
      <w:pPr>
        <w:pStyle w:val="ListBullet"/>
        <w:spacing w:before="0" w:after="40" w:line="252" w:lineRule="auto"/>
      </w:pPr>
      <w:r>
        <w:rPr>
          <w:rFonts w:ascii="Arial" w:hAnsi="Arial"/>
          <w:sz w:val="20"/>
        </w:rPr>
        <w:t>Do not include provider names, form names or identifiers in the event name; use approved attributes.</w:t>
      </w:r>
    </w:p>
    <w:p>
      <w:pPr>
        <w:pStyle w:val="ListBullet"/>
        <w:spacing w:before="0" w:after="40" w:line="252" w:lineRule="auto"/>
      </w:pPr>
      <w:r>
        <w:rPr>
          <w:rFonts w:ascii="Arial" w:hAnsi="Arial"/>
          <w:sz w:val="20"/>
        </w:rPr>
        <w:t>Every event must carry event_id, event_version, occurred_at_utc, source_component, environment and result where applicable.</w:t>
      </w:r>
    </w:p>
    <w:p>
      <w:pPr>
        <w:pStyle w:val="ListBullet"/>
        <w:spacing w:before="0" w:after="40" w:line="252" w:lineRule="auto"/>
      </w:pPr>
      <w:r>
        <w:rPr>
          <w:rFonts w:ascii="Arial" w:hAnsi="Arial"/>
          <w:sz w:val="20"/>
        </w:rPr>
        <w:t>Identifiers must use stable IDs or pseudonymous tokens rather than display names or personal values.</w:t>
      </w:r>
    </w:p>
    <w:p>
      <w:pPr>
        <w:pStyle w:val="ListBullet"/>
        <w:spacing w:before="0" w:after="40" w:line="252" w:lineRule="auto"/>
      </w:pPr>
      <w:r>
        <w:rPr>
          <w:rFonts w:ascii="Arial" w:hAnsi="Arial"/>
          <w:sz w:val="20"/>
        </w:rPr>
        <w:t>Free-text attributes are prohibited unless specifically approved and protected by validation/redaction.</w:t>
      </w:r>
    </w:p>
    <w:p>
      <w:pPr>
        <w:pStyle w:val="ListBullet"/>
        <w:spacing w:before="0" w:after="40" w:line="252" w:lineRule="auto"/>
      </w:pPr>
      <w:r>
        <w:rPr>
          <w:rFonts w:ascii="Arial" w:hAnsi="Arial"/>
          <w:sz w:val="20"/>
        </w:rPr>
        <w:t>Numeric durations use milliseconds; byte sizes use bytes; currency includes ISO currency code.</w:t>
      </w:r>
    </w:p>
    <w:p>
      <w:pPr>
        <w:pStyle w:val="ListBullet"/>
        <w:spacing w:before="0" w:after="40" w:line="252" w:lineRule="auto"/>
      </w:pPr>
      <w:r>
        <w:rPr>
          <w:rFonts w:ascii="Arial" w:hAnsi="Arial"/>
          <w:sz w:val="20"/>
        </w:rPr>
        <w:t>Event producers must not retry with a new event_id for the same logical event.</w:t>
      </w:r>
    </w:p>
    <w:p>
      <w:pPr>
        <w:pStyle w:val="ListBullet"/>
        <w:spacing w:before="0" w:after="40" w:line="252" w:lineRule="auto"/>
      </w:pPr>
      <w:r>
        <w:rPr>
          <w:rFonts w:ascii="Arial" w:hAnsi="Arial"/>
          <w:sz w:val="20"/>
        </w:rPr>
        <w:t>Schema changes must follow compatibility and deprecation rules and be registered before production deployment.</w:t>
      </w:r>
    </w:p>
    <w:p>
      <w:pPr>
        <w:pStyle w:val="ListBullet"/>
      </w:pPr>
      <w:r>
        <w:t>Campaign events must identify channel capability so unavailable read or click states are not recorded as failures or zero.</w:t>
      </w:r>
    </w:p>
    <w:p>
      <w:pPr>
        <w:pStyle w:val="ListBullet"/>
      </w:pPr>
      <w:r>
        <w:t>Monetary values must include ISO currency code and use integer minor units or an approved fixed-precision representation.</w:t>
      </w:r>
    </w:p>
    <w:p>
      <w:pPr>
        <w:pStyle w:val="ListBullet"/>
      </w:pPr>
      <w:r>
        <w:t>Cart, order, conversation and journey identifiers must be pseudonymous and must not contain phone numbers, email addresses or payment references.</w:t>
      </w:r>
    </w:p>
    <w:p>
      <w:pPr>
        <w:pStyle w:val="ListBullet"/>
      </w:pPr>
      <w:r>
        <w:t>Attribution events must record the model ID, version, lookback window, conversion event, calculation time and adjustment state.</w:t>
      </w:r>
    </w:p>
    <w:p>
      <w:pPr>
        <w:pStyle w:val="ListBullet"/>
      </w:pPr>
      <w:r>
        <w:t>Prediction events must record model ID/version, score or band, confidence, generation and expiry times, explanation class and quality state.</w:t>
      </w:r>
    </w:p>
    <w:p>
      <w:pPr>
        <w:pStyle w:val="Heading1"/>
        <w:keepNext/>
      </w:pPr>
      <w:r>
        <w:t>Appendix C – Indicative Analytics Permission Matrix</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cantSplit/>
        </w:trPr>
        <w:tc>
          <w:tcPr>
            <w:tcW w:type="dxa" w:w="2835"/>
            <w:shd w:fill="1F4E78"/>
            <w:tcMar>
              <w:top w:w="70" w:type="dxa"/>
              <w:start w:w="80" w:type="dxa"/>
              <w:bottom w:w="70" w:type="dxa"/>
              <w:end w:w="80" w:type="dxa"/>
            </w:tcMar>
          </w:tcPr>
          <w:p>
            <w:pPr>
              <w:spacing w:before="0" w:after="0" w:line="240" w:lineRule="auto"/>
              <w:jc w:val="left"/>
            </w:pPr>
            <w:r>
              <w:rPr>
                <w:rFonts w:ascii="Arial" w:hAnsi="Arial"/>
                <w:b/>
                <w:color w:val="FFFFFF"/>
                <w:sz w:val="13"/>
              </w:rPr>
              <w:t>Capability</w:t>
            </w:r>
          </w:p>
        </w:tc>
        <w:tc>
          <w:tcPr>
            <w:tcW w:type="dxa" w:w="1134"/>
            <w:shd w:fill="1F4E78"/>
            <w:tcMar>
              <w:top w:w="70" w:type="dxa"/>
              <w:start w:w="80" w:type="dxa"/>
              <w:bottom w:w="70" w:type="dxa"/>
              <w:end w:w="80" w:type="dxa"/>
            </w:tcMar>
          </w:tcPr>
          <w:p>
            <w:pPr>
              <w:spacing w:before="0" w:after="0" w:line="240" w:lineRule="auto"/>
              <w:jc w:val="left"/>
            </w:pPr>
            <w:r>
              <w:rPr>
                <w:rFonts w:ascii="Arial" w:hAnsi="Arial"/>
                <w:b/>
                <w:color w:val="FFFFFF"/>
                <w:sz w:val="13"/>
              </w:rPr>
              <w:t>Provider Viewer</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3"/>
              </w:rPr>
              <w:t>Provider Analyst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3"/>
              </w:rPr>
              <w:t>Provider Admin</w:t>
            </w:r>
          </w:p>
        </w:tc>
        <w:tc>
          <w:tcPr>
            <w:tcW w:type="dxa" w:w="1247"/>
            <w:shd w:fill="1F4E78"/>
            <w:tcMar>
              <w:top w:w="70" w:type="dxa"/>
              <w:start w:w="80" w:type="dxa"/>
              <w:bottom w:w="70" w:type="dxa"/>
              <w:end w:w="80" w:type="dxa"/>
            </w:tcMar>
          </w:tcPr>
          <w:p>
            <w:pPr>
              <w:spacing w:before="0" w:after="0" w:line="240" w:lineRule="auto"/>
              <w:jc w:val="left"/>
            </w:pPr>
            <w:r>
              <w:rPr>
                <w:rFonts w:ascii="Arial" w:hAnsi="Arial"/>
                <w:b/>
                <w:color w:val="FFFFFF"/>
                <w:sz w:val="13"/>
              </w:rPr>
              <w:t>Provider Executive</w:t>
            </w:r>
          </w:p>
        </w:tc>
        <w:tc>
          <w:tcPr>
            <w:tcW w:type="dxa" w:w="1020"/>
            <w:shd w:fill="1F4E78"/>
            <w:tcMar>
              <w:top w:w="70" w:type="dxa"/>
              <w:start w:w="80" w:type="dxa"/>
              <w:bottom w:w="70" w:type="dxa"/>
              <w:end w:w="80" w:type="dxa"/>
            </w:tcMar>
          </w:tcPr>
          <w:p>
            <w:pPr>
              <w:spacing w:before="0" w:after="0" w:line="240" w:lineRule="auto"/>
              <w:jc w:val="left"/>
            </w:pPr>
            <w:r>
              <w:rPr>
                <w:rFonts w:ascii="Arial" w:hAnsi="Arial"/>
                <w:b/>
                <w:color w:val="FFFFFF"/>
                <w:sz w:val="13"/>
              </w:rPr>
              <w:t>Support</w:t>
            </w:r>
          </w:p>
        </w:tc>
        <w:tc>
          <w:tcPr>
            <w:tcW w:type="dxa" w:w="1190"/>
            <w:shd w:fill="1F4E78"/>
            <w:tcMar>
              <w:top w:w="70" w:type="dxa"/>
              <w:start w:w="80" w:type="dxa"/>
              <w:bottom w:w="70" w:type="dxa"/>
              <w:end w:w="80" w:type="dxa"/>
            </w:tcMar>
          </w:tcPr>
          <w:p>
            <w:pPr>
              <w:spacing w:before="0" w:after="0" w:line="240" w:lineRule="auto"/>
              <w:jc w:val="left"/>
            </w:pPr>
            <w:r>
              <w:rPr>
                <w:rFonts w:ascii="Arial" w:hAnsi="Arial"/>
                <w:b/>
                <w:color w:val="FFFFFF"/>
                <w:sz w:val="13"/>
              </w:rPr>
              <w:t>lulaFi Admin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View provider executive dashboard</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 only</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Global aggregate</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3"/>
              </w:rPr>
              <w:t>View provider operational detail</w:t>
            </w:r>
          </w:p>
        </w:tc>
        <w:tc>
          <w:tcPr>
            <w:tcW w:type="dxa" w:w="1134"/>
            <w:vAlign w:val="top"/>
            <w:tcMar>
              <w:top w:w="70" w:type="dxa"/>
              <w:start w:w="80" w:type="dxa"/>
              <w:bottom w:w="70" w:type="dxa"/>
              <w:end w:w="80" w:type="dxa"/>
            </w:tcMar>
            <w:shd w:fill="F7F9FB"/>
          </w:tcPr>
          <w:p>
            <w:pPr>
              <w:spacing w:before="0" w:after="0" w:line="240" w:lineRule="auto"/>
            </w:pPr>
            <w:r>
              <w:rPr>
                <w:rFonts w:ascii="Arial" w:hAnsi="Arial"/>
                <w:b w:val="0"/>
                <w:sz w:val="13"/>
              </w:rPr>
              <w:t>No/Assigned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shd w:fill="F7F9FB"/>
          </w:tcPr>
          <w:p>
            <w:pPr>
              <w:spacing w:before="0" w:after="0" w:line="240" w:lineRule="auto"/>
            </w:pPr>
            <w:r>
              <w:rPr>
                <w:rFonts w:ascii="Arial" w:hAnsi="Arial"/>
                <w:b w:val="0"/>
                <w:sz w:val="13"/>
              </w:rPr>
              <w:t>Assigned</w:t>
            </w:r>
          </w:p>
        </w:tc>
        <w:tc>
          <w:tcPr>
            <w:tcW w:type="dxa" w:w="1020"/>
            <w:vAlign w:val="top"/>
            <w:tcMar>
              <w:top w:w="70" w:type="dxa"/>
              <w:start w:w="80" w:type="dxa"/>
              <w:bottom w:w="70" w:type="dxa"/>
              <w:end w:w="80" w:type="dxa"/>
            </w:tcMar>
            <w:shd w:fill="F7F9FB"/>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With provider-detail permission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View pseudonymous record metadata</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With sensitive-detail permission</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3"/>
              </w:rPr>
              <w:t>Export provider analytics</w:t>
            </w:r>
          </w:p>
        </w:tc>
        <w:tc>
          <w:tcPr>
            <w:tcW w:type="dxa" w:w="1134"/>
            <w:vAlign w:val="top"/>
            <w:tcMar>
              <w:top w:w="70" w:type="dxa"/>
              <w:start w:w="80" w:type="dxa"/>
              <w:bottom w:w="70" w:type="dxa"/>
              <w:end w:w="80" w:type="dxa"/>
            </w:tcMar>
            <w:shd w:fill="F7F9FB"/>
          </w:tcPr>
          <w:p>
            <w:pPr>
              <w:spacing w:before="0" w:after="0" w:line="240" w:lineRule="auto"/>
            </w:pPr>
            <w:r>
              <w:rPr>
                <w:rFonts w:ascii="Arial" w:hAnsi="Arial"/>
                <w:b w:val="0"/>
                <w:sz w:val="13"/>
              </w:rPr>
              <w:t>No/Optional</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shd w:fill="F7F9FB"/>
          </w:tcPr>
          <w:p>
            <w:pPr>
              <w:spacing w:before="0" w:after="0" w:line="240" w:lineRule="auto"/>
            </w:pPr>
            <w:r>
              <w:rPr>
                <w:rFonts w:ascii="Arial" w:hAnsi="Arial"/>
                <w:b w:val="0"/>
                <w:sz w:val="13"/>
              </w:rPr>
              <w:t>Optional</w:t>
            </w:r>
          </w:p>
        </w:tc>
        <w:tc>
          <w:tcPr>
            <w:tcW w:type="dxa" w:w="1020"/>
            <w:vAlign w:val="top"/>
            <w:tcMar>
              <w:top w:w="70" w:type="dxa"/>
              <w:start w:w="80" w:type="dxa"/>
              <w:bottom w:w="70" w:type="dxa"/>
              <w:end w:w="80" w:type="dxa"/>
            </w:tcMar>
            <w:shd w:fill="F7F9FB"/>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With export permission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Publish provider saved views</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3"/>
              </w:rPr>
              <w:t>Schedule provider reports</w:t>
            </w:r>
          </w:p>
        </w:tc>
        <w:tc>
          <w:tcPr>
            <w:tcW w:type="dxa" w:w="1134"/>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Optional</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shd w:fill="F7F9FB"/>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View cross-provider cohorts</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3"/>
              </w:rPr>
              <w:t>View provider rankings</w:t>
            </w:r>
          </w:p>
        </w:tc>
        <w:tc>
          <w:tcPr>
            <w:tcW w:type="dxa" w:w="1134"/>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247"/>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Restricted</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Configure KPI catalogue</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Platform Admin only</w:t>
            </w:r>
          </w:p>
        </w:tc>
      </w:tr>
      <w:tr>
        <w:trPr>
          <w:cantSplit/>
        </w:trPr>
        <w:tc>
          <w:tcPr>
            <w:tcW w:type="dxa" w:w="2835"/>
            <w:vAlign w:val="top"/>
            <w:tcMar>
              <w:top w:w="70" w:type="dxa"/>
              <w:start w:w="80" w:type="dxa"/>
              <w:bottom w:w="70" w:type="dxa"/>
              <w:end w:w="80" w:type="dxa"/>
            </w:tcMar>
            <w:shd w:fill="F7F9FB"/>
          </w:tcPr>
          <w:p>
            <w:pPr>
              <w:spacing w:before="0" w:after="0" w:line="240" w:lineRule="auto"/>
            </w:pPr>
            <w:r>
              <w:rPr>
                <w:rFonts w:ascii="Arial" w:hAnsi="Arial"/>
                <w:b/>
                <w:sz w:val="13"/>
              </w:rPr>
              <w:t>View operational SLOs</w:t>
            </w:r>
          </w:p>
        </w:tc>
        <w:tc>
          <w:tcPr>
            <w:tcW w:type="dxa" w:w="1134"/>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Optional summary</w:t>
            </w:r>
          </w:p>
        </w:tc>
        <w:tc>
          <w:tcPr>
            <w:tcW w:type="dxa" w:w="1247"/>
            <w:vAlign w:val="top"/>
            <w:tcMar>
              <w:top w:w="70" w:type="dxa"/>
              <w:start w:w="80" w:type="dxa"/>
              <w:bottom w:w="70" w:type="dxa"/>
              <w:end w:w="80" w:type="dxa"/>
            </w:tcMar>
            <w:shd w:fill="F7F9FB"/>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c>
          <w:tcPr>
            <w:tcW w:type="dxa" w:w="1190"/>
            <w:vAlign w:val="top"/>
            <w:tcMar>
              <w:top w:w="70" w:type="dxa"/>
              <w:start w:w="80" w:type="dxa"/>
              <w:bottom w:w="70" w:type="dxa"/>
              <w:end w:w="80" w:type="dxa"/>
            </w:tcMar>
            <w:shd w:fill="F7F9FB"/>
          </w:tcPr>
          <w:p>
            <w:pPr>
              <w:spacing w:before="0" w:after="0" w:line="240" w:lineRule="auto"/>
            </w:pPr>
            <w:r>
              <w:rPr>
                <w:rFonts w:ascii="Arial" w:hAnsi="Arial"/>
                <w:b w:val="0"/>
                <w:sz w:val="13"/>
              </w:rPr>
              <w:t>Yes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Access logs/traces</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Platform operations only</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View campaign engagement analytics</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Optional</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Summary</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View revenue and commerce analytics</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With permission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Summary</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Restricted</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Configure attribution model</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Provider policy only</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Platform / authorised Admin</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View predictive scores</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With permission</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Summary</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Assigned</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Restricted</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Approve or retire model</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Model Governance only</w:t>
            </w:r>
          </w:p>
        </w:tc>
      </w:tr>
      <w:tr>
        <w:trPr>
          <w:cantSplit/>
        </w:trPr>
        <w:tc>
          <w:tcPr>
            <w:tcW w:type="dxa" w:w="2835"/>
            <w:vAlign w:val="top"/>
            <w:tcMar>
              <w:top w:w="70" w:type="dxa"/>
              <w:start w:w="80" w:type="dxa"/>
              <w:bottom w:w="70" w:type="dxa"/>
              <w:end w:w="80" w:type="dxa"/>
            </w:tcMar>
          </w:tcPr>
          <w:p>
            <w:pPr>
              <w:spacing w:before="0" w:after="0" w:line="240" w:lineRule="auto"/>
            </w:pPr>
            <w:r>
              <w:rPr>
                <w:rFonts w:ascii="Arial" w:hAnsi="Arial"/>
                <w:b/>
                <w:sz w:val="13"/>
              </w:rPr>
              <w:t>Create recovery audience/action</w:t>
            </w:r>
          </w:p>
        </w:tc>
        <w:tc>
          <w:tcPr>
            <w:tcW w:type="dxa" w:w="1134"/>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With permission</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Yes</w:t>
            </w:r>
          </w:p>
        </w:tc>
        <w:tc>
          <w:tcPr>
            <w:tcW w:type="dxa" w:w="1247"/>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020"/>
            <w:vAlign w:val="top"/>
            <w:tcMar>
              <w:top w:w="70" w:type="dxa"/>
              <w:start w:w="80" w:type="dxa"/>
              <w:bottom w:w="70" w:type="dxa"/>
              <w:end w:w="80" w:type="dxa"/>
            </w:tcMar>
          </w:tcPr>
          <w:p>
            <w:pPr>
              <w:spacing w:before="0" w:after="0" w:line="240" w:lineRule="auto"/>
            </w:pPr>
            <w:r>
              <w:rPr>
                <w:rFonts w:ascii="Arial" w:hAnsi="Arial"/>
                <w:b w:val="0"/>
                <w:sz w:val="13"/>
              </w:rPr>
              <w:t>No</w:t>
            </w:r>
          </w:p>
        </w:tc>
        <w:tc>
          <w:tcPr>
            <w:tcW w:type="dxa" w:w="1190"/>
            <w:vAlign w:val="top"/>
            <w:tcMar>
              <w:top w:w="70" w:type="dxa"/>
              <w:start w:w="80" w:type="dxa"/>
              <w:bottom w:w="70" w:type="dxa"/>
              <w:end w:w="80" w:type="dxa"/>
            </w:tcMar>
          </w:tcPr>
          <w:p>
            <w:pPr>
              <w:spacing w:before="0" w:after="0" w:line="240" w:lineRule="auto"/>
            </w:pPr>
            <w:r>
              <w:rPr>
                <w:rFonts w:ascii="Arial" w:hAnsi="Arial"/>
                <w:b w:val="0"/>
                <w:sz w:val="13"/>
              </w:rPr>
              <w:t>Restricted</w:t>
            </w:r>
          </w:p>
        </w:tc>
      </w:tr>
    </w:tbl>
    <w:p>
      <w:pPr>
        <w:spacing w:after="20"/>
      </w:pPr>
    </w:p>
    <w:p>
      <w:pPr>
        <w:pStyle w:val="Heading1"/>
        <w:keepNext/>
      </w:pPr>
      <w:r>
        <w:t>End of Document</w:t>
      </w:r>
    </w:p>
    <w:p>
      <w:pPr>
        <w:spacing w:before="0" w:after="120" w:line="259" w:lineRule="auto"/>
      </w:pPr>
      <w:r>
        <w:rPr>
          <w:rFonts w:ascii="Arial" w:hAnsi="Arial"/>
          <w:i/>
          <w:sz w:val="20"/>
        </w:rPr>
        <w:t>This document is controlled. Printed or exported copies are uncontrolled unless explicitly marked otherwise.</w:t>
      </w:r>
    </w:p>
    <w:sectPr w:rsidR="00FC693F" w:rsidRPr="0006063C" w:rsidSect="00034616">
      <w:headerReference w:type="default" r:id="rId9"/>
      <w:footerReference w:type="default" r:id="rId10"/>
      <w:headerReference w:type="first" r:id="rId11"/>
      <w:footerReference w:type="first" r:id="rId12"/>
      <w:pgSz w:w="11906" w:h="16838"/>
      <w:pgMar w:top="1020" w:right="102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50"/>
      <w:gridCol w:w="3250"/>
      <w:gridCol w:w="3250"/>
    </w:tblGrid>
    <w:tr>
      <w:tc>
        <w:tcPr>
          <w:tcW w:type="dxa" w:w="3250"/>
          <w:tcMar>
            <w:top w:w="20" w:type="dxa"/>
            <w:start w:w="20" w:type="dxa"/>
            <w:bottom w:w="20" w:type="dxa"/>
            <w:end w:w="20" w:type="dxa"/>
          </w:tcMar>
        </w:tcPr>
        <w:p>
          <w:r>
            <w:rPr>
              <w:rFonts w:ascii="Arial" w:hAnsi="Arial"/>
              <w:color w:val="404040"/>
              <w:sz w:val="15"/>
            </w:rPr>
            <w:t>Confidential</w:t>
          </w:r>
        </w:p>
      </w:tc>
      <w:tc>
        <w:tcPr>
          <w:tcW w:type="dxa" w:w="3250"/>
          <w:tcMar>
            <w:top w:w="20" w:type="dxa"/>
            <w:start w:w="20" w:type="dxa"/>
            <w:bottom w:w="20" w:type="dxa"/>
            <w:end w:w="20" w:type="dxa"/>
          </w:tcMar>
        </w:tcPr>
        <w:p>
          <w:pPr>
            <w:jc w:val="center"/>
          </w:pPr>
          <w:r>
            <w:rPr>
              <w:rFonts w:ascii="Arial" w:hAnsi="Arial"/>
              <w:color w:val="404040"/>
              <w:sz w:val="15"/>
            </w:rPr>
            <w:t>LULAFI-SRS-ANL-001</w:t>
          </w:r>
        </w:p>
      </w:tc>
      <w:tc>
        <w:tcPr>
          <w:tcW w:type="dxa" w:w="3250"/>
          <w:tcMar>
            <w:top w:w="20" w:type="dxa"/>
            <w:start w:w="20" w:type="dxa"/>
            <w:bottom w:w="20" w:type="dxa"/>
            <w:end w:w="20" w:type="dxa"/>
          </w:tcMar>
        </w:tcPr>
        <w:p>
          <w:pPr>
            <w:jc w:val="right"/>
          </w:pPr>
          <w:r>
            <w:rPr>
              <w:rFonts w:ascii="Arial" w:hAnsi="Arial"/>
              <w:color w:val="404040"/>
              <w:sz w:val="15"/>
            </w:rPr>
            <w:t xml:space="preserve">Page </w:t>
            <w:fldChar w:fldCharType="begin"/>
            <w:instrText xml:space="preserve">PAGE</w:instrText>
            <w:fldChar w:fldCharType="end"/>
          </w:r>
          <w:r>
            <w:rPr>
              <w:rFonts w:ascii="Arial" w:hAnsi="Arial"/>
              <w:color w:val="404040"/>
              <w:sz w:val="15"/>
            </w:rPr>
            <w:t xml:space="preserve"> of </w:t>
            <w:fldChar w:fldCharType="begin"/>
            <w:instrText xml:space="preserve">NUMPAGES</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6"/>
      </w:rPr>
      <w:t>NDT  |  lulaFi Analytics SRS  |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rial" w:hAnsi="Arial"/>
      <w:b/>
      <w:bCs/>
      <w:i/>
      <w:iCs/>
      <w:color w:val="40404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DTCaption">
    <w:name w:val="NDT Caption"/>
    <w:pPr>
      <w:jc w:val="center"/>
    </w:pPr>
    <w:rPr>
      <w:rFonts w:ascii="Arial" w:hAnsi="Arial"/>
      <w:i/>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lulaFi Analytics System Requirements Specification</dc:title>
  <dc:subject>Provider, platform, conversational, marketing, acquisition, commerce, revenue attribution and predictive analytics requirements</dc:subject>
  <dc:creator>New Dawn Technologies (NDT)</dc:creator>
  <cp:keywords>lulaFi, analytics, SRS, provider analytics, global analytics, KPI, drill-down</cp:keywords>
  <dc:description>Version 1.1 upgraded with stakeholder-supplied WhatsApp and Google analytics patterns.</dc:description>
  <cp:lastModifiedBy/>
  <cp:revision>1</cp:revision>
  <dcterms:created xsi:type="dcterms:W3CDTF">2013-12-23T23:15:00Z</dcterms:created>
  <dcterms:modified xsi:type="dcterms:W3CDTF">2013-12-23T23:15:00Z</dcterms:modified>
  <cp:category/>
  <cp:version>1.1</cp:version>
</cp:coreProperties>
</file>