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Reg</w:t>
      </w:r>
      <w:r>
        <w:rPr>
          <w:rFonts w:ascii="Arial" w:cs="Arial" w:eastAsia="Arial" w:hAnsi="Arial"/>
          <w:b/>
          <w:bCs/>
          <w:color w:val="047857"/>
          <w:sz w:val="64"/>
          <w:szCs w:val="64"/>
        </w:rPr>
        <w:t xml:space="preserve">Engine</w:t>
      </w:r>
    </w:p>
    <w:p>
      <w:pPr>
        <w:spacing w:after="60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Investor Outreach &amp; Fundraising Memo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VC &amp; PE Target List  |  Competitor Analysis  |  Draft Outreach Emails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Prepared: April 14,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Christopher Sellers, Founder</w:t>
      </w:r>
    </w:p>
    <w:p>
      <w:pPr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1@christophersellers.com  |  regengine.co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RegEngine is the API-first compliance infrastructure platform for FSMA 204 food traceability. It is the only production-ready, developer-first SaaS that automates the full FDA food traceability mandate across 188,000+ affected entities in a $570M/year compliance market. The platform is live at regengine.co with 50+ REST API endpoints, 7 CTE types fully implemented, multi-tenant isolation, and FDA-ready export generation.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RegEngine positions as "The Stripe for Food Traceability" — every compliance feature is an API call first, a dashboard second. No incumbent offers this. The July 2028 hard deadline creates a forced-compliance wave with zero optionality for the 188,000+ entities on the FDA’s Food Traceability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$570M/yr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TAM (FDA est.)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188,000+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Affected Entities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July 2028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50+ APIs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Production Live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Competitor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FSMA 204 compliance market is fragmented across legacy, UI-first enterprise vendors with opaque pricing and 3–6 month deployment cycles. No current player occupies the API-first, developer-experience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200"/>
        <w:gridCol w:w="1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API-First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Trustwell (FoodLogiQ)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Opaque pricing, slow deploy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TraceGains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Complex supplier onboarding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iFoodDS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Enterprise-only focus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SafetyChain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Legacy ERP-era UX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FoodReady AI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SMB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Limited CTE coverage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RegEngine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API-first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$199-2,500/mo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Minutes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Pre-revenue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RegEngine’s Differentiation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API-first architecture: 50+ REST endpoints with OpenAPI docs. Developers integrate in hours, not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Transparent pricing: $199/mo SMB → $2,500/mo Enterprise. Free tier for farms. No procurement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Multi-format ingestion: Webhook, CSV, XLSX, EDI X12, EPCIS 2.0, QR/GS1, manual entry. Meets companies where they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CTE coverage: All 7 FSMA 204 Critical Tracking Events in production with complete KDE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24-second FDA response: Sortable spreadsheet export generated instantly vs. the 24-hour mandate.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Cryptographic audit trail: SHA-256 hash chain with Merkle verification. Tamper-evident by design.</w:t>
      </w:r>
    </w:p>
    <w:p>
      <w:r>
        <w:br w:type="page"/>
      </w:r>
    </w:p>
    <w:p>
      <w:pPr>
        <w:pStyle w:val="Heading1"/>
      </w:pPr>
      <w:r>
        <w:t xml:space="preserve">3. VC &amp; PE Target List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firms are actively investing in food/ag technology, regulatory technology, or compliance infrastructure at the pre-seed through Series A stage. Accelerators, incubators, and firms that explicitly require revenue traction have been excluded.</w:t>
      </w:r>
    </w:p>
    <w:p>
      <w:pPr>
        <w:pStyle w:val="Heading2"/>
      </w:pPr>
      <w:r>
        <w:t xml:space="preserve">Tier 1: Food &amp; Agriculture Technology Specialists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S2G Investments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Growth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$25M+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Chicago, 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crk8bv1yfk1dk84ytrl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s2ginvestments.com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AgFunder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$500K - $5M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info@agfunder.com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mi9tuoyff0nyewnh-rc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agfunder.com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Acre Venture Partners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$5.6M avg Seed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Santa Monica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Lucas Mann,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werqrtnwznwhsyr9kgk6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acre.vc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Better Food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$2M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Menlo Park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info@betterfoodventures.com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8cg_o6koep1c7c7eo2f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betterfoodventures.com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Congruent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$5M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0caa29n7r2keelc21irs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congruentvc.com</w:t>
              </w:r>
            </w:hyperlink>
          </w:p>
        </w:tc>
      </w:tr>
    </w:tbl>
    <w:p>
      <w:pPr>
        <w:spacing w:before="300"/>
      </w:pPr>
    </w:p>
    <w:p>
      <w:pPr>
        <w:pStyle w:val="Heading2"/>
      </w:pPr>
      <w:r>
        <w:t xml:space="preserve">Tier 2: RegTech &amp; Compliance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QED Investors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$2M - $50M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Alexandria, VA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Amias Gerety (RegTech)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02swmdoohogvjbzxopr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qedinvestors.com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Anthemis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£1M - £10M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London / NYC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7upn_7tp2mx9em1vslc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anthemis.com</w:t>
              </w:r>
            </w:hyperlink>
          </w:p>
        </w:tc>
      </w:tr>
    </w:tbl>
    <w:p>
      <w:pPr>
        <w:spacing w:before="300"/>
      </w:pPr>
    </w:p>
    <w:p>
      <w:pPr>
        <w:pStyle w:val="Heading2"/>
      </w:pPr>
      <w:r>
        <w:t xml:space="preserve">Tier 3: Generalist Seed-Stage (API/Infra/Vertical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Craft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$4.8M avg Seed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David Sacks,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ggowbwgwoyibcnx89qd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craftventures.com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Initialized Capital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- 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$500K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Charles Hudson,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xjhhdbed-uatnnenqsv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initialized.com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Precursor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$500K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Charles Hudson,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93dla9f3euhhnkwxh86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precursorvc.com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Lerer Hippeau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$500K - $2M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York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dtpviww79x0ukpdhbmvk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lererhippeau.com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Bessemer Venture Partners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Growth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$100M+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Redwood City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Atlas Portal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i1gsyahszzxzc4nyff3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bvp.com/atlas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4. Investor Thesis Alignment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firm was selected based on explicit thesis alignment with RegEngine’s positioning: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S2G Investments: </w:t>
      </w:r>
      <w:r>
        <w:rPr>
          <w:rFonts w:ascii="Arial" w:cs="Arial" w:eastAsia="Arial" w:hAnsi="Arial"/>
          <w:sz w:val="22"/>
          <w:szCs w:val="22"/>
        </w:rPr>
        <w:t xml:space="preserve">Largest dedicated food/ag fund. Invested in SafeTraces (food safety). Food safety technology is a named thesis area. Multi-stage allows follow-on.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AgFunder: </w:t>
      </w:r>
      <w:r>
        <w:rPr>
          <w:rFonts w:ascii="Arial" w:cs="Arial" w:eastAsia="Arial" w:hAnsi="Arial"/>
          <w:sz w:val="22"/>
          <w:szCs w:val="22"/>
        </w:rPr>
        <w:t xml:space="preserve">$170M AUM focused on digitizing food systems. Invests pre-seed to Series A with $500K-$5M checks. Published supply chain tech landscape research.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Acre Venture Partners: </w:t>
      </w:r>
      <w:r>
        <w:rPr>
          <w:rFonts w:ascii="Arial" w:cs="Arial" w:eastAsia="Arial" w:hAnsi="Arial"/>
          <w:sz w:val="22"/>
          <w:szCs w:val="22"/>
        </w:rPr>
        <w:t xml:space="preserve">$140M Fund III targeting AI/ML in agriculture. Sam Kass (former White House food policy advisor) is Partner — regulatory credibility built 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 Food Ventures: </w:t>
      </w:r>
      <w:r>
        <w:rPr>
          <w:rFonts w:ascii="Arial" w:cs="Arial" w:eastAsia="Arial" w:hAnsi="Arial"/>
          <w:sz w:val="22"/>
          <w:szCs w:val="22"/>
        </w:rPr>
        <w:t xml:space="preserve">Thesis explicitly covers supply chain transparency and food system digitization. Seed-focused. Published the Food Supply Chain Tech Landscape analysis.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QED Investors: </w:t>
      </w:r>
      <w:r>
        <w:rPr>
          <w:rFonts w:ascii="Arial" w:cs="Arial" w:eastAsia="Arial" w:hAnsi="Arial"/>
          <w:sz w:val="22"/>
          <w:szCs w:val="22"/>
        </w:rPr>
        <w:t xml:space="preserve">Dedicated RegTech partner (Amias Gerety). Compliance automation is a named investment category. Data-driven, unit-economics approach fits API-usage model.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Craft Ventures: </w:t>
      </w:r>
      <w:r>
        <w:rPr>
          <w:rFonts w:ascii="Arial" w:cs="Arial" w:eastAsia="Arial" w:hAnsi="Arial"/>
          <w:sz w:val="22"/>
          <w:szCs w:val="22"/>
        </w:rPr>
        <w:t xml:space="preserve">$1.1B Fund III focused on SaaS and marketplaces. Dedicated regulatory affairs team (Chris Massey). Developer-first infra is core thesis.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Bessemer: </w:t>
      </w:r>
      <w:r>
        <w:rPr>
          <w:rFonts w:ascii="Arial" w:cs="Arial" w:eastAsia="Arial" w:hAnsi="Arial"/>
          <w:sz w:val="22"/>
          <w:szCs w:val="22"/>
        </w:rPr>
        <w:t xml:space="preserve">Invested in Lumachain (food supply chain tracking, farm-to-fork). Atlas portal accepts cold submissions. Cloud/SaaS thesis aligns.</w:t>
      </w:r>
    </w:p>
    <w:p>
      <w:r>
        <w:br w:type="page"/>
      </w:r>
    </w:p>
    <w:p>
      <w:pPr>
        <w:pStyle w:val="Heading1"/>
      </w:pPr>
      <w:r>
        <w:t xml:space="preserve">5. Draft Outreach Emails</w:t>
      </w:r>
    </w:p>
    <w:p>
      <w:pPr>
        <w:pStyle w:val="Heading2"/>
      </w:pPr>
      <w:r>
        <w:t xml:space="preserve">Email A: Food/Ag Technology Specialist (S2G, AgFunder, Acre, Better Food)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RegEngine — API infrastructure for FSMA 204 compliance ($570M market, July 2028 deadline)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I’m Christopher Sellers, founder of RegEngine. We’re building the compliance infrastructure layer for FDA food traceability — the Stripe for FSMA 204.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problem is straightforward: the FDA requires 188,000+ food businesses to digitally trace 20+ high-risk food categories through their supply chains by July 2028. The total compliance cost is $570M/year. Every incumbent (Trustwell, TraceGains, iFoodDS) is enterprise-only, UI-first, and requires 3–6 month deployments with opaque pricing.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RegEngine is the opposite. We’re API-first with 50+ production endpoints, transparent pricing ($199/mo for SMBs), and minutes-to-first-value. The platform handles all 7 FSMA 204 Critical Tracking Events, generates FDA-ready exports in 24 seconds (vs. the 24-hour mandate), and maintains a cryptographic audit trail.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We’re production-live at regengine.co with multi-tenant isolation, EPCIS 2.0 interoperability, and retailer-specific exports for Walmart, Kroger, and Costco.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I’d welcome 20 minutes to walk you through the product and our path to first revenue. Would [specific day] work for a quick call?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r>
        <w:br w:type="page"/>
      </w:r>
    </w:p>
    <w:p>
      <w:pPr>
        <w:pStyle w:val="Heading2"/>
      </w:pPr>
      <w:r>
        <w:t xml:space="preserve">Email B: RegTech &amp; Compliance Infrastructure (QED, Anthemis)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Regulatory compliance infrastructure for food safety — 188K entities, hard deadline, no API player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I’m reaching out because [Firm]’s work in regulatory technology aligns directly with what we’re building at RegEngine.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FDA’s FSMA 204 rule mandates digital food traceability for 188,000+ entities by July 2028. This creates a $570M/year compliance market with zero optionality — every affected business must comply or face enforcement. Despite this, no platform serves the space with API-first infrastructure and transparent pricing.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RegEngine fills this gap. We’re a multi-tenant compliance platform with 50+ REST endpoints, automated CTE/KDE validation, cryptographic audit trails, and FDA-ready export generation. Our architecture mirrors what companies like Vanta and Drata built for SOC 2 — but for food safety regulations instead of infosec frameworks.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differentiation: while incumbents require 3–6 month enterprise deployments, RegEngine delivers time-to-compliance in minutes via self-serve onboarding and API-first design.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Would you have 20 minutes this week to discuss? Happy to share a product demo.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pPr>
        <w:spacing w:before="400"/>
      </w:pPr>
    </w:p>
    <w:p>
      <w:pPr>
        <w:pStyle w:val="Heading2"/>
      </w:pPr>
      <w:r>
        <w:t xml:space="preserve">Email C: Generalist Seed / Vertical SaaS (Craft, Initialized, Precursor, Bessemer)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Developer infrastructure for a $570M compliance market with a hard federal deadline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would Stripe look like if payments were mandated by federal law and 188,000 businesses had to adopt by a fixed deadline?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That’s the FSMA 204 food traceability market. The FDA requires every food business handling high-risk products to digitally trace them through the supply chain by July 2028. The total compliance cost is $570M/year. And the infrastructure layer — the developer-first, API-driven platform — doesn’t exist yet.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RegEngine is building it. We’re live in production with 50+ REST endpoints, multi-tenant isolation, real-time compliance scoring, and FDA-ready export generation. Our architecture is API-first (every feature is an API call before it’s a dashboard click), with transparent pricing and self-serve onboarding.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incumbents are enterprise-only, UI-first vendors charging six figures with 3–6 month deployments. We’re targeting the underserved long tail of 188K entities at $199–$2,500/mo with minutes-to-value.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I’d love 20 minutes to show you the product. Would [specific day] work?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r>
        <w:br w:type="page"/>
      </w:r>
    </w:p>
    <w:p>
      <w:pPr>
        <w:pStyle w:val="Heading1"/>
      </w:pPr>
      <w:r>
        <w:t xml:space="preserve">6. Outreach Execution Playbook</w:t>
      </w:r>
    </w:p>
    <w:p>
      <w:pPr>
        <w:pStyle w:val="Heading2"/>
      </w:pPr>
      <w:r>
        <w:t xml:space="preserve">Submission Channels by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Submit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S2G Investments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contact form at s2ginvestments.com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Mention food safety tech thesis explicitly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AgFunder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deck to info@agfunder.com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email accepted. Attach 1-pager + deck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Acre Venture Partners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contact at acre.vc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Reference Sam Kass food policy angle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Better Food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deck to info@betterfoodventures.com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Rob Trice is sole GP. Direct email works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QED Investors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Pitch form at qedinvestors.com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Tag for Amias Gerety (RegTech focus)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Craft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at craftventures.com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SaaS + regulatory compliance is core thesis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Bessemer (BVP)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Atlas portal at bvp.com/atlas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Accepts cold submissions. Ref Lumachain comp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Precursor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at precursorvc.com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focus. $250K-$500K checks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Recommended Outreach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Submit to all Tier 1 firms (food/ag specialists) — highest thesis alignment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Submit to Bessemer Atlas portal (always-open, no timing dependency)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Submit to Tier 2 (RegTech firms) with compliance-focused messaging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Submit to Craft Ventures and Initialized (generalist SaaS thesis)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Follow up on all Week 1 submissions with a short, value-add note (e.g., new feature shipped, design partner signed)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Submit to Precursor and Lerer Hippeau (pre-seed/seed generalists)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4: Second follow-up on non-responses. Shift messaging to urgency of July 2028 deadline.</w:t>
      </w:r>
    </w:p>
    <w:p>
      <w:r>
        <w:br w:type="page"/>
      </w:r>
    </w:p>
    <w:p>
      <w:pPr>
        <w:pStyle w:val="Heading1"/>
      </w:pPr>
      <w:r>
        <w:t xml:space="preserve">7. Excluded Firms &amp; Rationale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categories were explicitly excluded per requirements: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Accelerators/Incubators (Y Combinator, Techstars, Plug and Play Food): Excluded per directive. These require program participation, dilutive equity, and batch timelines.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Revenue-gated funds: Firms like a16z Growth, Tiger Global, and late-stage PE firms were excluded because they require demonstrated revenue/ARR for entry.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Fintech-only RegTech: Firms like Accel’s compliance practice focus exclusively on financial services regulatory technology (AML/KYC), not food safety.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Corporate VCs with conflict potential: Strategic investors from food companies (e.g., ADM Ventures, Cargill Ventures) excluded to preserve strategic flexibility.</w:t>
      </w:r>
    </w:p>
    <w:p>
      <w:pPr>
        <w:spacing w:before="400"/>
      </w:pPr>
    </w:p>
    <w:p>
      <w:pPr>
        <w:pStyle w:val="Heading1"/>
      </w:pPr>
      <w:r>
        <w:t xml:space="preserve">8. Automated Monitoring &amp; Next Steps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twice-daily automated search task has been configured to run at 12:00 AM and 12:00 PM PST. Each run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new VC/PE firms announcing food safety, regulatory technology, or supply chain compliance investments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newly announced funds with relevant thesis overlap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any competitor funding rounds or M&amp;A activity in the FSMA 204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new partner hires or thesis updates at target firms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 findings into an updated memo with draft outreach copy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will be updated with each search run. New investor targets, updated contact information, and refined outreach copy will be appended as discovered.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Page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334155"/>
        <w:sz w:val="16"/>
        <w:szCs w:val="16"/>
      </w:rPr>
      <w:t xml:space="preserve">RegEngine Investor Outreach Memo</w:t>
    </w:r>
    <w: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478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crk8bv1yfk1dk84ytrlv" Type="http://schemas.openxmlformats.org/officeDocument/2006/relationships/hyperlink" Target="https://www.s2ginvestments.com" TargetMode="External"/><Relationship Id="rIdzmi9tuoyff0nyewnh-rcq" Type="http://schemas.openxmlformats.org/officeDocument/2006/relationships/hyperlink" Target="https://agfunder.com" TargetMode="External"/><Relationship Id="rIdawerqrtnwznwhsyr9kgk6" Type="http://schemas.openxmlformats.org/officeDocument/2006/relationships/hyperlink" Target="https://acre.vc" TargetMode="External"/><Relationship Id="rIdz8cg_o6koep1c7c7eo2f0" Type="http://schemas.openxmlformats.org/officeDocument/2006/relationships/hyperlink" Target="https://betterfoodventures.com" TargetMode="External"/><Relationship Id="rIdx0caa29n7r2keelc21irs" Type="http://schemas.openxmlformats.org/officeDocument/2006/relationships/hyperlink" Target="https://www.congruentvc.com" TargetMode="External"/><Relationship Id="rIdx02swmdoohogvjbzxoprg" Type="http://schemas.openxmlformats.org/officeDocument/2006/relationships/hyperlink" Target="https://www.qedinvestors.com" TargetMode="External"/><Relationship Id="rIdp7upn_7tp2mx9em1vslcg" Type="http://schemas.openxmlformats.org/officeDocument/2006/relationships/hyperlink" Target="https://www.anthemis.com" TargetMode="External"/><Relationship Id="rIdmggowbwgwoyibcnx89qdp" Type="http://schemas.openxmlformats.org/officeDocument/2006/relationships/hyperlink" Target="https://www.craftventures.com" TargetMode="External"/><Relationship Id="rId1xjhhdbed-uatnnenqsvw" Type="http://schemas.openxmlformats.org/officeDocument/2006/relationships/hyperlink" Target="https://initialized.com" TargetMode="External"/><Relationship Id="rIdnd93dla9f3euhhnkwxh86" Type="http://schemas.openxmlformats.org/officeDocument/2006/relationships/hyperlink" Target="https://precursorvc.com" TargetMode="External"/><Relationship Id="rIdxdtpviww79x0ukpdhbmvk" Type="http://schemas.openxmlformats.org/officeDocument/2006/relationships/hyperlink" Target="https://www.lererhippeau.com" TargetMode="External"/><Relationship Id="rIdri1gsyahszzxzc4nyff3a" Type="http://schemas.openxmlformats.org/officeDocument/2006/relationships/hyperlink" Target="https://www.bvp.com/atla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2026-04-14T08:33:56.133Z</dcterms:created>
  <dcterms:modified xsi:type="dcterms:W3CDTF">2026-04-14T08:33:56.133Z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