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REGENGINE</w:t>
      </w:r>
    </w:p>
    <w:p>
      <w:pPr>
        <w:pBdr>
          <w:bottom w:val="single" w:color="3B7DD8" w:sz="6" w:space="8"/>
        </w:pBdr>
        <w:spacing w:after="80"/>
        <w:jc w:val="center"/>
      </w:pPr>
      <w:r>
        <w:rPr>
          <w:rFonts w:ascii="Arial" w:cs="Arial" w:eastAsia="Arial" w:hAnsi="Arial"/>
          <w:color w:val="2E5090"/>
          <w:sz w:val="36"/>
          <w:szCs w:val="36"/>
        </w:rPr>
        <w:t xml:space="preserve">Sales Enablement Kit</w:t>
      </w:r>
    </w:p>
    <w:p>
      <w:pPr>
        <w:spacing w:before="200"/>
        <w:jc w:val="center"/>
      </w:pPr>
      <w:r>
        <w:rPr>
          <w:rFonts w:ascii="Arial" w:cs="Arial" w:eastAsia="Arial" w:hAnsi="Arial"/>
          <w:color w:val="555555"/>
          <w:sz w:val="24"/>
          <w:szCs w:val="24"/>
        </w:rPr>
        <w:t xml:space="preserve">FSMA 204 Go-to-Market Package</w:t>
      </w:r>
    </w:p>
    <w:p>
      <w:pPr>
        <w:spacing w:before="600" w:after="100"/>
        <w:jc w:val="center"/>
      </w:pPr>
      <w:r>
        <w:rPr>
          <w:rFonts w:ascii="Arial" w:cs="Arial" w:eastAsia="Arial" w:hAnsi="Arial"/>
          <w:color w:val="555555"/>
          <w:sz w:val="20"/>
          <w:szCs w:val="20"/>
        </w:rPr>
        <w:t xml:space="preserve">Verified Claims Matrix  |  Multi-Channel SDR Playbook  |  Objection Handlers</w:t>
      </w:r>
    </w:p>
    <w:p>
      <w:pPr>
        <w:jc w:val="center"/>
      </w:pPr>
      <w:r>
        <w:rPr>
          <w:rFonts w:ascii="Arial" w:cs="Arial" w:eastAsia="Arial" w:hAnsi="Arial"/>
          <w:color w:val="555555"/>
          <w:sz w:val="20"/>
          <w:szCs w:val="20"/>
        </w:rPr>
        <w:t xml:space="preserve">Partner Contract Template  |  Demo Script  |  Pricing Reference</w:t>
      </w:r>
    </w:p>
    <w:p>
      <w:pPr>
        <w:spacing w:before="2000"/>
      </w:pPr>
    </w:p>
    <w:p>
      <w:pPr>
        <w:jc w:val="center"/>
      </w:pPr>
      <w:r>
        <w:rPr>
          <w:rFonts w:ascii="Arial" w:cs="Arial" w:eastAsia="Arial" w:hAnsi="Arial"/>
          <w:b/>
          <w:bCs/>
          <w:color w:val="C0392B"/>
          <w:sz w:val="20"/>
          <w:szCs w:val="20"/>
        </w:rPr>
        <w:t xml:space="preserve">Classification: CONFIDENTIAL  |  February 2026  |  Version 1.0</w:t>
      </w:r>
    </w:p>
    <w:p>
      <w:pPr>
        <w:sectPr>
          <w:pgSz w:w="12240" w:h="15840" w:orient="portrait"/>
          <w:pgMar w:top="1440" w:right="1440" w:bottom="1440" w:left="1440" w:header="708" w:footer="708" w:gutter="0"/>
          <w:pgNumType/>
          <w:docGrid w:linePitch="360"/>
        </w:sectPr>
      </w:pPr>
    </w:p>
    <w:p>
      <w:pPr>
        <w:pStyle w:val="Heading1"/>
      </w:pPr>
      <w:r>
        <w:t xml:space="preserve">A. Verified Claims Matrix</w:t>
      </w:r>
    </w:p>
    <w:p>
      <w:pPr>
        <w:spacing w:after="160"/>
      </w:pPr>
      <w:r>
        <w:rPr>
          <w:rFonts w:ascii="Arial" w:cs="Arial" w:eastAsia="Arial" w:hAnsi="Arial"/>
          <w:color w:val="333333"/>
          <w:sz w:val="22"/>
          <w:szCs w:val="22"/>
        </w:rPr>
        <w:t xml:space="preserve">Every claim below is traceable to the RegEngine Technical Due Diligence Defense Document (TDD v1.0, Feb 2026) and/or independently verifiable regulatory facts. Use this matrix in every sales deck, investor update, and partner presentation.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GTM Claim</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TDD Section / Source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Cryptographic compliance layer with SHA-256 hash chains and Merkle trees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§7 (Cryptographic Evidence Chain), §2 (Architecture Validation), kernel/evidence/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Neo4j knowledge graph traces TLCs and generates audit-ready FDA reports in seconds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§5.3 (Knowledge Graph), §3.1 (graph-service, port 8200), §8 (FDA 21 CFR Part 11)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FSMA Wizard with applicability, exemptions, and gap assessments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§3.1 (opportunity-api + graph-service FSMA routers, public endpoints, no auth)</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ingest KDEs, map to TLCs, Receiving/Transformation/Shipping CTEs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§5.1 (Ingestion Pipeline), plugins/fsma/ (23 FTL categories)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24-Hour electronic sortable spreadsheet guarantee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§8 (FDA 21 CFR Part 11 compliance), §5.3 (lineage traversal)</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static PDF assessments with continuously monitored kernel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§2 (kernel contains zero FSMA-specific code), §9 (Compiler Architecture)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Multi-tenant with white-label and co-branded reports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§6 (7-layer tenant isolation), §4.1 (scoped API keys + RLS)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Self-hostable via Docker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§2, §10 (docker-compose.prod.yml, pinned SHA images from ghcr.io)</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Independent verification SDK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§7.1 (tools/verification_sdk/verify_snapshot_chain.py)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Usage-based pricing from $0/mo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§2, PRICING.md (Developer $0, Professional $499, Enterprise custom)</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 — Verified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Key Differentiator for Sales Conversations</w:t>
            </w:r>
          </w:p>
          <w:p>
            <w:r>
              <w:rPr>
                <w:rFonts w:ascii="Arial" w:cs="Arial" w:eastAsia="Arial" w:hAnsi="Arial"/>
                <w:color w:val="333333"/>
                <w:sz w:val="20"/>
                <w:szCs w:val="20"/>
              </w:rPr>
              <w:t xml:space="preserve">RegEngine is the only FSMA 204 platform that provides cryptographic proof of compliance. The EvidenceEnvelopeV3 hash chain + Merkle tree proofs mean your customer can hand the FDA a JSON export and a standalone Python script—no backend access required—and mathematically prove nothing was tampered with. No competitor offers this.</w:t>
            </w:r>
          </w:p>
        </w:tc>
      </w:tr>
    </w:tbl>
    <w:p>
      <w:pPr>
        <w:pBdr>
          <w:bottom w:val="single" w:color="3B7DD8" w:sz="4" w:space="1"/>
        </w:pBdr>
        <w:spacing w:before="300" w:after="300"/>
      </w:pPr>
    </w:p>
    <w:p>
      <w:pPr>
        <w:pStyle w:val="Heading1"/>
      </w:pPr>
      <w:r>
        <w:t xml:space="preserve">B. Multi-Channel SDR Playbook</w:t>
      </w:r>
    </w:p>
    <w:p>
      <w:pPr>
        <w:spacing w:after="160"/>
      </w:pPr>
      <w:r>
        <w:rPr>
          <w:rFonts w:ascii="Arial" w:cs="Arial" w:eastAsia="Arial" w:hAnsi="Arial"/>
          <w:color w:val="333333"/>
          <w:sz w:val="22"/>
          <w:szCs w:val="22"/>
        </w:rPr>
        <w:t xml:space="preserve">All talk tracks reference verified capabilities. Do not ad-lib features that aren’t in the TDD.</w:t>
      </w:r>
    </w:p>
    <w:p>
      <w:pPr>
        <w:spacing w:after="100"/>
      </w:pPr>
    </w:p>
    <w:p>
      <w:pPr>
        <w:pStyle w:val="Heading2"/>
      </w:pPr>
      <w:r>
        <w:t xml:space="preserve">B.1 Cold-Call Script (90–120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Opening (15 sec)</w:t>
            </w:r>
          </w:p>
          <w:p>
            <w:r>
              <w:rPr>
                <w:rFonts w:ascii="Arial" w:cs="Arial" w:eastAsia="Arial" w:hAnsi="Arial"/>
                <w:color w:val="333333"/>
                <w:sz w:val="20"/>
                <w:szCs w:val="20"/>
              </w:rPr>
              <w:t xml:space="preserve">"Hi [Name], this is [Your Name] with RegEngine. Quick question—does [Company] ship [FTL item, e.g., fresh-cut leafy greens] to Walmart or Kroger?"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Hook (30 sec)</w:t>
            </w:r>
          </w:p>
          <w:p>
            <w:r>
              <w:rPr>
                <w:rFonts w:ascii="Arial" w:cs="Arial" w:eastAsia="Arial" w:hAnsi="Arial"/>
                <w:color w:val="333333"/>
                <w:sz w:val="20"/>
                <w:szCs w:val="20"/>
              </w:rPr>
              <w:t xml:space="preserve">"Got it. Even with FDA enforcement delayed to July 2028, those retailers are already rejecting loads without full Traceability Lot Codes and Key Data Elements on the ASN. We’re seeing suppliers lose shelf space right now."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Value Prop (30 sec)</w:t>
            </w:r>
          </w:p>
          <w:p>
            <w:r>
              <w:rPr>
                <w:rFonts w:ascii="Arial" w:cs="Arial" w:eastAsia="Arial" w:hAnsi="Arial"/>
                <w:color w:val="333333"/>
                <w:sz w:val="20"/>
                <w:szCs w:val="20"/>
              </w:rPr>
              <w:t xml:space="preserve">"RegEngine’s production FSMA 204 vertical wraps every record in an EvidenceEnvelopeV3 SHA-256 hash chain inside a Neo4j knowledge graph—so you generate the exact 24-hour electronic sortable spreadsheet the FDA requires, in seconds. We also give away the same applicability and gap detection the big consultants charge $10k–30k for."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Close (15 sec)</w:t>
            </w:r>
          </w:p>
          <w:p>
            <w:r>
              <w:rPr>
                <w:rFonts w:ascii="Arial" w:cs="Arial" w:eastAsia="Arial" w:hAnsi="Arial"/>
                <w:color w:val="333333"/>
                <w:sz w:val="20"/>
                <w:szCs w:val="20"/>
              </w:rPr>
              <w:t xml:space="preserve">"Open to a 15-minute screen share next week to see your live obligation-coverage score and cryptographic vault?"</w:t>
            </w:r>
          </w:p>
        </w:tc>
      </w:tr>
    </w:tbl>
    <w:p>
      <w:r>
        <w:br w:type="page"/>
      </w:r>
    </w:p>
    <w:p>
      <w:pPr>
        <w:pStyle w:val="Heading2"/>
      </w:pPr>
      <w:r>
        <w:t xml:space="preserve">B.2 LinkedIn Voice Note (Day 1, 30 sec)</w:t>
      </w:r>
    </w:p>
    <w:p>
      <w:pPr>
        <w:spacing w:after="160"/>
      </w:pPr>
      <w:r>
        <w:rPr>
          <w:rFonts w:ascii="Arial" w:cs="Arial" w:eastAsia="Arial" w:hAnsi="Arial"/>
          <w:i/>
          <w:iCs/>
          <w:color w:val="333333"/>
          <w:sz w:val="22"/>
          <w:szCs w:val="22"/>
        </w:rPr>
        <w:t xml:space="preserve">"Hi [Name], [Your Name] from RegEngine. Left a quick voicemail. Retailers like Kroger and Walmart are enforcing FSMA 204 KDEs on ASNs today. Our free applicability tool—powered by the same graph-service the consultants use—maps your exact gaps in 90 seconds. I’ll drop the link. Run it and if it flags anything, let’s talk."</w:t>
      </w:r>
    </w:p>
    <w:p>
      <w:pPr>
        <w:pStyle w:val="Heading2"/>
      </w:pPr>
      <w:r>
        <w:t xml:space="preserve">B.3 Day 3 Email (Consultant-Killer Template)</w:t>
      </w:r>
    </w:p>
    <w:p>
      <w:pPr>
        <w:spacing w:after="60"/>
      </w:pPr>
      <w:r>
        <w:rPr>
          <w:rFonts w:ascii="Arial" w:cs="Arial" w:eastAsia="Arial" w:hAnsi="Arial"/>
          <w:b/>
          <w:bCs/>
          <w:color w:val="1B2A4A"/>
          <w:sz w:val="22"/>
          <w:szCs w:val="22"/>
        </w:rPr>
        <w:t xml:space="preserve">Subject: </w:t>
      </w:r>
      <w:r>
        <w:rPr>
          <w:rFonts w:ascii="Arial" w:cs="Arial" w:eastAsia="Arial" w:hAnsi="Arial"/>
          <w:color w:val="333333"/>
          <w:sz w:val="22"/>
          <w:szCs w:val="22"/>
        </w:rPr>
        <w:t xml:space="preserve">24-Hour FDA Turnaround for [Company]’s [FTL Item]</w:t>
      </w:r>
    </w:p>
    <w:p>
      <w:pPr>
        <w:spacing w:after="160"/>
      </w:pPr>
      <w:r>
        <w:rPr>
          <w:rFonts w:ascii="Arial" w:cs="Arial" w:eastAsia="Arial" w:hAnsi="Arial"/>
          <w:color w:val="333333"/>
          <w:sz w:val="22"/>
          <w:szCs w:val="22"/>
        </w:rPr>
        <w:t xml:space="preserve">Hi [Name],</w:t>
      </w:r>
    </w:p>
    <w:p>
      <w:pPr>
        <w:spacing w:after="160"/>
      </w:pPr>
      <w:r>
        <w:rPr>
          <w:rFonts w:ascii="Arial" w:cs="Arial" w:eastAsia="Arial" w:hAnsi="Arial"/>
          <w:color w:val="333333"/>
          <w:sz w:val="22"/>
          <w:szCs w:val="22"/>
        </w:rPr>
        <w:t xml:space="preserve">Major retailers are no longer waiting for the FDA’s 2028 extension on FSMA 204. They are requiring suppliers to pass Traceability Lot Codes and full Key Data Elements right now to maintain contracts.</w:t>
      </w:r>
    </w:p>
    <w:p>
      <w:pPr>
        <w:spacing w:after="160"/>
      </w:pPr>
      <w:r>
        <w:rPr>
          <w:rFonts w:ascii="Arial" w:cs="Arial" w:eastAsia="Arial" w:hAnsi="Arial"/>
          <w:color w:val="333333"/>
          <w:sz w:val="22"/>
          <w:szCs w:val="22"/>
        </w:rPr>
        <w:t xml:space="preserve">[Company] distributes [FTL Item], triggering mandatory Critical Tracking Events. RegEngine’s production FSMA 204 vertical (kernel/evidence + graph-service) automatically ingests KDEs, seals them in SHA-256 EvidenceEnvelopeV3 chains, and lets you export the FDA-required electronic sortable spreadsheet in seconds.</w:t>
      </w:r>
    </w:p>
    <w:p>
      <w:pPr>
        <w:spacing w:after="160"/>
      </w:pPr>
      <w:r>
        <w:rPr>
          <w:rFonts w:ascii="Arial" w:cs="Arial" w:eastAsia="Arial" w:hAnsi="Arial"/>
          <w:color w:val="333333"/>
          <w:sz w:val="22"/>
          <w:szCs w:val="22"/>
        </w:rPr>
        <w:t xml:space="preserve">P.S. Run your operation through our free applicability tool first: [LINK]</w:t>
      </w:r>
    </w:p>
    <w:p>
      <w:pPr>
        <w:spacing w:after="160"/>
      </w:pPr>
      <w:r>
        <w:rPr>
          <w:rFonts w:ascii="Arial" w:cs="Arial" w:eastAsia="Arial" w:hAnsi="Arial"/>
          <w:color w:val="333333"/>
          <w:sz w:val="22"/>
          <w:szCs w:val="22"/>
        </w:rPr>
        <w:t xml:space="preserve">Open to 15 minutes next week?</w:t>
      </w:r>
    </w:p>
    <w:p>
      <w:pPr>
        <w:spacing w:after="160"/>
      </w:pPr>
      <w:r>
        <w:rPr>
          <w:rFonts w:ascii="Arial" w:cs="Arial" w:eastAsia="Arial" w:hAnsi="Arial"/>
          <w:color w:val="333333"/>
          <w:sz w:val="22"/>
          <w:szCs w:val="22"/>
        </w:rPr>
        <w:t xml:space="preserve">Best,
[Your Name]</w:t>
      </w:r>
    </w:p>
    <w:p>
      <w:pPr>
        <w:pStyle w:val="Heading2"/>
      </w:pPr>
      <w:r>
        <w:t xml:space="preserve">B.4 Day 7 Follow-Up Email</w:t>
      </w:r>
    </w:p>
    <w:p>
      <w:pPr>
        <w:spacing w:after="60"/>
      </w:pPr>
      <w:r>
        <w:rPr>
          <w:rFonts w:ascii="Arial" w:cs="Arial" w:eastAsia="Arial" w:hAnsi="Arial"/>
          <w:b/>
          <w:bCs/>
          <w:color w:val="1B2A4A"/>
          <w:sz w:val="22"/>
          <w:szCs w:val="22"/>
        </w:rPr>
        <w:t xml:space="preserve">Subject: </w:t>
      </w:r>
      <w:r>
        <w:rPr>
          <w:rFonts w:ascii="Arial" w:cs="Arial" w:eastAsia="Arial" w:hAnsi="Arial"/>
          <w:color w:val="333333"/>
          <w:sz w:val="22"/>
          <w:szCs w:val="22"/>
        </w:rPr>
        <w:t xml:space="preserve">Re: 24-Hour FDA Turnaround for [Company]’s [FTL Item]</w:t>
      </w:r>
    </w:p>
    <w:p>
      <w:pPr>
        <w:spacing w:after="160"/>
      </w:pPr>
      <w:r>
        <w:rPr>
          <w:rFonts w:ascii="Arial" w:cs="Arial" w:eastAsia="Arial" w:hAnsi="Arial"/>
          <w:color w:val="333333"/>
          <w:sz w:val="22"/>
          <w:szCs w:val="22"/>
        </w:rPr>
        <w:t xml:space="preserve">Hi [Name],</w:t>
      </w:r>
    </w:p>
    <w:p>
      <w:pPr>
        <w:spacing w:after="160"/>
      </w:pPr>
      <w:r>
        <w:rPr>
          <w:rFonts w:ascii="Arial" w:cs="Arial" w:eastAsia="Arial" w:hAnsi="Arial"/>
          <w:color w:val="333333"/>
          <w:sz w:val="22"/>
          <w:szCs w:val="22"/>
        </w:rPr>
        <w:t xml:space="preserve">Following up on my note last week. I wanted to share one specific data point: Walmart began requiring GS1 EPCIS 2.0 traceability data on ASNs from suppliers of critical FTL items. Suppliers who can’t generate it are losing preferred vendor status.</w:t>
      </w:r>
    </w:p>
    <w:p>
      <w:pPr>
        <w:spacing w:after="160"/>
      </w:pPr>
      <w:r>
        <w:rPr>
          <w:rFonts w:ascii="Arial" w:cs="Arial" w:eastAsia="Arial" w:hAnsi="Arial"/>
          <w:color w:val="333333"/>
          <w:sz w:val="22"/>
          <w:szCs w:val="22"/>
        </w:rPr>
        <w:t xml:space="preserve">RegEngine exports natively in GS1 EPCIS 2.0 format—no middleware, no integration project. It’s a checkbox in the dashboard.</w:t>
      </w:r>
    </w:p>
    <w:p>
      <w:pPr>
        <w:spacing w:after="160"/>
      </w:pPr>
      <w:r>
        <w:rPr>
          <w:rFonts w:ascii="Arial" w:cs="Arial" w:eastAsia="Arial" w:hAnsi="Arial"/>
          <w:color w:val="333333"/>
          <w:sz w:val="22"/>
          <w:szCs w:val="22"/>
        </w:rPr>
        <w:t xml:space="preserve">Worth a 15-minute look?</w:t>
      </w:r>
    </w:p>
    <w:p>
      <w:pPr>
        <w:pBdr>
          <w:bottom w:val="single" w:color="3B7DD8" w:sz="4" w:space="1"/>
        </w:pBdr>
        <w:spacing w:before="300" w:after="300"/>
      </w:pPr>
    </w:p>
    <w:p>
      <w:pPr>
        <w:pStyle w:val="Heading1"/>
      </w:pPr>
      <w:r>
        <w:t xml:space="preserve">C. Objection Handlers (TDD-Backed)</w:t>
      </w:r>
    </w:p>
    <w:p>
      <w:pPr>
        <w:spacing w:after="160"/>
      </w:pPr>
      <w:r>
        <w:rPr>
          <w:rFonts w:ascii="Arial" w:cs="Arial" w:eastAsia="Arial" w:hAnsi="Arial"/>
          <w:color w:val="333333"/>
          <w:sz w:val="22"/>
          <w:szCs w:val="22"/>
        </w:rPr>
        <w:t xml:space="preserve">Every response below cites a verified capability. Train your SDRs to anchor on proof, not promises.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TDD Citation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waiting for 2028."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"FDA can’t enforce until July 20, 2028, but Walmart and Kroger already are. Our graph-service gives you the same 24-hour export retailers demand today."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§8 (FDA 21 CFR Part 11), §5.3 (lineage traversal)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 have an ERP."</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"Perfect—our ingestion pipeline sits on top and adds the cryptographic evidence chain without touching your ERP. Most customers go live in under 2 weeks."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§5.1 (Ingestion Pipeline), §7 (Evidence Chain)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 already did a gap assessment."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"Great—ours replaces the static PDF with live Neo4j monitoring. When regulations change, your gap analysis updates in real-time. Plus our independent verification SDK lets auditors verify without trusting 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§5.3 (Knowledge Graph), §7.1 (Verification SDK)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 use [Competitor]."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of our customers use [Competitor] for policy management and use RegEngine as the upstream intelligence layer. We provide machine-readable regulation with cryptographic proof; they handle downstream workflow."</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POSITIONING.md, TDD §2 (API-first)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seems expensive."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 tier is $499/mo. If your team spends even 10 hours/week on manual tracking, that’s $30k+/year in labor. ROI-positive in month one. And our free wizard does the gap assessment consultants charge $10k–30k for."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PRICING.md, TDD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do we know extractions are accurate?"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extraction includes provenance—source URL, document offset, page number, SHA-256 hash. You can verify any obligation in seconds. Plus we run hallucination detection on all LLM outputs before they reach the graph."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§5.2 (Hallucination Detection), §4 (Provenance)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 can build this internally."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"Some of our customers tried that. 18 months and 3 engineers for basic ingestion—before NLP, graph databases, and multi-jurisdiction normalization. Our kernel has been hardened through 29 engineering phases."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§10 (Production Maturity)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 you have SOC 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"Controls are mapped and attestation is in progress (target Q2 2026). In the meantime, our security architecture already implements the controls—RLS tenant isolation, SHA-256 key hashing, RBAC, structured audit logging. We can walk you through the TDD."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TDD §4 (Security), §8 (Compliance Readiness)</w:t>
            </w:r>
          </w:p>
        </w:tc>
      </w:tr>
    </w:tbl>
    <w:p>
      <w:pPr>
        <w:pBdr>
          <w:bottom w:val="single" w:color="3B7DD8" w:sz="4" w:space="1"/>
        </w:pBdr>
        <w:spacing w:before="300" w:after="300"/>
      </w:pPr>
    </w:p>
    <w:p>
      <w:r>
        <w:br w:type="page"/>
      </w:r>
    </w:p>
    <w:p>
      <w:pPr>
        <w:pStyle w:val="Heading1"/>
      </w:pPr>
      <w:r>
        <w:t xml:space="preserve">D. White-Label Partner Agreement Template</w:t>
      </w:r>
    </w:p>
    <w:p>
      <w:pPr>
        <w:spacing w:after="160"/>
      </w:pPr>
      <w:r>
        <w:rPr>
          <w:rFonts w:ascii="Arial" w:cs="Arial" w:eastAsia="Arial" w:hAnsi="Arial"/>
          <w:color w:val="333333"/>
          <w:sz w:val="22"/>
          <w:szCs w:val="22"/>
        </w:rPr>
        <w:t xml:space="preserve">This is a summary template. Full 8-page version with exhibits available from legal on request.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REGENGINE WHITE-LABEL PARTNER AGREEMENT</w:t>
            </w:r>
          </w:p>
          <w:p>
            <w:r>
              <w:rPr>
                <w:rFonts w:ascii="Arial" w:cs="Arial" w:eastAsia="Arial" w:hAnsi="Arial"/>
                <w:color w:val="333333"/>
                <w:sz w:val="20"/>
                <w:szCs w:val="20"/>
              </w:rPr>
              <w:t xml:space="preserve">Effective Date: [Date]  |  Parties: RegEngine, Inc. (“RegEngine”) and [Partner Name] (“Partner”)</w:t>
            </w:r>
          </w:p>
        </w:tc>
      </w:tr>
    </w:tbl>
    <w:p>
      <w:pPr>
        <w:spacing w:before="200"/>
      </w:pPr>
    </w:p>
    <w:p>
      <w:pPr>
        <w:pStyle w:val="Heading2"/>
      </w:pPr>
      <w:r>
        <w:t xml:space="preserve">1. License Grant</w:t>
      </w:r>
    </w:p>
    <w:p>
      <w:pPr>
        <w:spacing w:after="160"/>
      </w:pPr>
      <w:r>
        <w:rPr>
          <w:rFonts w:ascii="Arial" w:cs="Arial" w:eastAsia="Arial" w:hAnsi="Arial"/>
          <w:color w:val="333333"/>
          <w:sz w:val="22"/>
          <w:szCs w:val="22"/>
        </w:rPr>
        <w:t xml:space="preserve">RegEngine grants Partner a limited, non-exclusive, revocable license to resell and white-label the RegEngine platform under Partner’s branding solely for FSMA 204 compliance services. The underlying kernel, EvidenceEnvelopeV3 architecture, Neo4j graph engine, and vertical compiler remain RegEngine’s exclusive intellectual property (ref: TDD §2, §9).</w:t>
      </w:r>
    </w:p>
    <w:p>
      <w:pPr>
        <w:pStyle w:val="Heading2"/>
      </w:pPr>
      <w:r>
        <w:t xml:space="preserve">2. Revenue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Partner Revenue Share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RegEngine Retains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 (Standard)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active client licenses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of Net Recurring Revenue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 (Growth)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 active client licenses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 of Net Recurring Revenue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3 (Strategic)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Named strategic partners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of Net Recurring Revenue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r>
    </w:tbl>
    <w:p>
      <w:pPr>
        <w:spacing w:after="160"/>
      </w:pPr>
      <w:r>
        <w:rPr>
          <w:rFonts w:ascii="Arial" w:cs="Arial" w:eastAsia="Arial" w:hAnsi="Arial"/>
          <w:color w:val="333333"/>
          <w:sz w:val="22"/>
          <w:szCs w:val="22"/>
        </w:rPr>
        <w:t xml:space="preserve">Partner retains 100% of upfront consulting, gap-assessment, and professional services fees. Revenue share applies only to RegEngine software license fees originated by Partner.</w:t>
      </w:r>
    </w:p>
    <w:p>
      <w:pPr>
        <w:pStyle w:val="Heading2"/>
      </w:pPr>
      <w:r>
        <w:t xml:space="preserve">3. Multi-Tenancy &amp; Branding</w:t>
      </w:r>
    </w:p>
    <w:p>
      <w:pPr>
        <w:spacing w:after="160"/>
      </w:pPr>
      <w:r>
        <w:rPr>
          <w:rFonts w:ascii="Arial" w:cs="Arial" w:eastAsia="Arial" w:hAnsi="Arial"/>
          <w:color w:val="333333"/>
          <w:sz w:val="22"/>
          <w:szCs w:val="22"/>
        </w:rPr>
        <w:t xml:space="preserve">All client data is isolated via PostgreSQL Row-Level Security + TenantContextMiddleware (ref: TDD §6). Partner receives co-branded dashboards and compliance reports via the compliance-api. Partner may embed the FSMA applicability wizard on its own domain under Partner branding.</w:t>
      </w:r>
    </w:p>
    <w:p>
      <w:pPr>
        <w:pStyle w:val="Heading2"/>
      </w:pPr>
      <w:r>
        <w:t xml:space="preserve">4. Support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 Tier</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1: Regulatory interpretation, onboarding, client training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Partner</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2: Platform configuration, API integration, data mapping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(Partner leads, RegEngine assists)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 3: Kernel bugs, infrastructure, uptime, security patches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RegEngine</w:t>
            </w:r>
          </w:p>
        </w:tc>
      </w:tr>
    </w:tbl>
    <w:p>
      <w:pPr>
        <w:pStyle w:val="Heading2"/>
      </w:pPr>
      <w:r>
        <w:t xml:space="preserve">5. Intellectual Property &amp; Confidentiality</w:t>
      </w:r>
    </w:p>
    <w:p>
      <w:pPr>
        <w:spacing w:after="160"/>
      </w:pPr>
      <w:r>
        <w:rPr>
          <w:rFonts w:ascii="Arial" w:cs="Arial" w:eastAsia="Arial" w:hAnsi="Arial"/>
          <w:color w:val="333333"/>
          <w:sz w:val="22"/>
          <w:szCs w:val="22"/>
        </w:rPr>
        <w:t xml:space="preserve">The kernel/plugins separation is preserved (ref: TDD §2). Partner may not reverse-engineer, decompile, or attempt to extract the core engine, evidence chain, or compiler logic. All client data remains the property of the end client. Partner and RegEngine each maintain confidentiality of the other’s proprietary information.</w:t>
      </w:r>
    </w:p>
    <w:p>
      <w:pPr>
        <w:pStyle w:val="Heading2"/>
      </w:pPr>
      <w:r>
        <w:t xml:space="preserve">6. Term &amp; Termination</w:t>
      </w:r>
    </w:p>
    <w:p>
      <w:pPr>
        <w:spacing w:after="160"/>
      </w:pPr>
      <w:r>
        <w:rPr>
          <w:rFonts w:ascii="Arial" w:cs="Arial" w:eastAsia="Arial" w:hAnsi="Arial"/>
          <w:color w:val="333333"/>
          <w:sz w:val="22"/>
          <w:szCs w:val="22"/>
        </w:rPr>
        <w:t xml:space="preserve">Initial term: 12 months, auto-renewing. Either party may terminate with 30 days’ written notice. Immediate termination for material breach or IP misuse. Upon termination, Partner’s access to the platform and white-label license revokes within 30 days; existing client contracts are honored through their term.</w:t>
      </w:r>
    </w:p>
    <w:p>
      <w:pPr>
        <w:pStyle w:val="Heading2"/>
      </w:pPr>
      <w:r>
        <w:t xml:space="preserve">7. Signature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RegEngine, Inc.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[Partner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Signature: 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Signature: ____________________________</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________________________________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_________________________________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_________________________________</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_________________________________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_________________________________</w:t>
            </w:r>
          </w:p>
        </w:tc>
      </w:tr>
    </w:tbl>
    <w:p>
      <w:pPr>
        <w:pBdr>
          <w:bottom w:val="single" w:color="3B7DD8" w:sz="4" w:space="1"/>
        </w:pBdr>
        <w:spacing w:before="300" w:after="300"/>
      </w:pPr>
    </w:p>
    <w:p>
      <w:r>
        <w:br w:type="page"/>
      </w:r>
    </w:p>
    <w:p>
      <w:pPr>
        <w:pStyle w:val="Heading1"/>
      </w:pPr>
      <w:r>
        <w:t xml:space="preserve">E. 3-Minute Demo Video Script</w:t>
      </w:r>
    </w:p>
    <w:p>
      <w:pPr>
        <w:spacing w:after="160"/>
      </w:pPr>
      <w:r>
        <w:rPr>
          <w:rFonts w:ascii="Arial" w:cs="Arial" w:eastAsia="Arial" w:hAnsi="Arial"/>
          <w:color w:val="333333"/>
          <w:sz w:val="22"/>
          <w:szCs w:val="22"/>
        </w:rPr>
        <w:t xml:space="preserve">Record in Loom or Riverside. Share screen on the RegEngine dashboard. Total length: 3:00.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Talk Track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 dashboard (obligation-coverage 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are looking at your real-time FSMA 204 baseline—obligation coverage times control effectiveness times evidence freshness. This updates every time data flows through the system."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0:15–0:45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Simulate drift (pause a Kafka/ERP feed)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"Watch the Evidence Freshness score drop instantly. The graph-service flags drift before your next shift ends. No manual checks, no spreadsheets."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0:45–1:30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 into a specific lot code → EvidenceEnvelopeV3 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record is sealed in an EvidenceEnvelopeV3—SHA-256 hash chain with Merkle tree proof. Any change breaks the math. Export this JSON plus our standalone verification SDK and hand it to the FDA or Walmart auditor. No trust required."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1:30–2:30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 lineage traversal on the lot code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"Neo4j traces Receiving → Transformation → Shipping CTEs in milliseconds. Full forward and backward trace. This is the electronic sortable spreadsheet the FDA requires under 21 CFR Part 1 Subpart 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2:30–3:00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 “Generate Electronic Sortable Spreadsheet”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"FDA gives you 24 hours to produce this during a recall. With RegEngine it’s three seconds. That’s why we’re the only production FSMA 204 cryptographic kernel on the market. Your ERP integration is next."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single" w:color="3B7DD8" w:sz="6"/>
              <w:bottom w:val="single" w:color="CCCCCC" w:sz="1"/>
              <w:right w:val="single" w:color="CCCCCC" w:sz="1"/>
            </w:tcBorders>
            <w:shd w:fill="EAF0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Post-Demo CTA</w:t>
            </w:r>
          </w:p>
          <w:p>
            <w:r>
              <w:rPr>
                <w:rFonts w:ascii="Arial" w:cs="Arial" w:eastAsia="Arial" w:hAnsi="Arial"/>
                <w:color w:val="333333"/>
                <w:sz w:val="20"/>
                <w:szCs w:val="20"/>
              </w:rPr>
              <w:t xml:space="preserve">End screen: “Kernel is vertical-agnostic. Your ERP integration is next.” Include calendar link. Send follow-up email within 2 hours referencing the specific obligation-coverage score shown in the demo.</w:t>
            </w:r>
          </w:p>
        </w:tc>
      </w:tr>
    </w:tbl>
    <w:p>
      <w:pPr>
        <w:pBdr>
          <w:bottom w:val="single" w:color="3B7DD8" w:sz="4" w:space="1"/>
        </w:pBdr>
        <w:spacing w:before="300" w:after="300"/>
      </w:pPr>
    </w:p>
    <w:p>
      <w:pPr>
        <w:pStyle w:val="Heading1"/>
      </w:pPr>
      <w:r>
        <w:t xml:space="preserve">F. Pricing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 Calls/mo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Documents/mo</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jurisdictions, community support, self-hosted or cloud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$499/mo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 jurisdictions, email support, 99% SLA, 1-year retention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($2,500+)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jurisdictions, 4-hr support, 99.9% SLA, on-prem option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OEM/Platform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($50k+/yr)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White-label API, co-branding, revenue share, joint roadmap</w:t>
            </w:r>
          </w:p>
        </w:tc>
      </w:tr>
    </w:tbl>
    <w:p>
      <w:pPr>
        <w:spacing w:after="160"/>
      </w:pPr>
      <w:r>
        <w:rPr>
          <w:rFonts w:ascii="Arial" w:cs="Arial" w:eastAsia="Arial" w:hAnsi="Arial"/>
          <w:i/>
          <w:iCs/>
          <w:color w:val="555555"/>
          <w:sz w:val="22"/>
          <w:szCs w:val="22"/>
        </w:rPr>
        <w:t xml:space="preserve">Competitive reference: Compliance.ai starts at $25k/year (no API). Thomson Reuters is $200k+/year (limited API). LexisNexis is $150k+/year (no API). Internal build costs $500k+ in dev time. RegEngine is 10–50x cheaper with better API access.</w:t>
      </w:r>
    </w:p>
    <w:p>
      <w:pPr>
        <w:pBdr>
          <w:bottom w:val="single" w:color="3B7DD8" w:sz="4" w:space="1"/>
        </w:pBdr>
        <w:spacing w:before="300" w:after="300"/>
      </w:pPr>
    </w:p>
    <w:p>
      <w:pPr>
        <w:pStyle w:val="Heading1"/>
      </w:pPr>
      <w:r>
        <w:t xml:space="preserve">G. Appendix: External Market Facts</w:t>
      </w:r>
    </w:p>
    <w:p>
      <w:pPr>
        <w:spacing w:after="160"/>
      </w:pPr>
      <w:r>
        <w:rPr>
          <w:rFonts w:ascii="Arial" w:cs="Arial" w:eastAsia="Arial" w:hAnsi="Arial"/>
          <w:color w:val="333333"/>
          <w:sz w:val="22"/>
          <w:szCs w:val="22"/>
        </w:rPr>
        <w:t xml:space="preserve">These facts are independently verifiable and should be cited in all sales conversations:</w:t>
      </w:r>
    </w:p>
    <w:p>
      <w:pPr>
        <w:spacing w:after="100"/>
      </w:pPr>
    </w:p>
    <w:p>
      <w:pPr>
        <w:pStyle w:val="ListParagraph"/>
        <w:numPr>
          <w:ilvl w:val="0"/>
          <w:numId w:val="2"/>
        </w:numPr>
        <w:spacing w:after="80"/>
      </w:pPr>
      <w:r>
        <w:rPr>
          <w:rFonts w:ascii="Arial" w:cs="Arial" w:eastAsia="Arial" w:hAnsi="Arial"/>
          <w:b/>
          <w:bCs/>
          <w:color w:val="1B2A4A"/>
          <w:sz w:val="22"/>
          <w:szCs w:val="22"/>
        </w:rPr>
        <w:t xml:space="preserve">FDA FSMA 204 Enforcement: </w:t>
      </w:r>
      <w:r>
        <w:rPr>
          <w:rFonts w:ascii="Arial" w:cs="Arial" w:eastAsia="Arial" w:hAnsi="Arial"/>
          <w:color w:val="333333"/>
          <w:sz w:val="22"/>
          <w:szCs w:val="22"/>
        </w:rPr>
        <w:t xml:space="preserve">Delayed to July 20, 2028 (FDA final rule). However, the regulation is finalized and published.</w:t>
      </w:r>
    </w:p>
    <w:p>
      <w:pPr>
        <w:pStyle w:val="ListParagraph"/>
        <w:numPr>
          <w:ilvl w:val="0"/>
          <w:numId w:val="2"/>
        </w:numPr>
        <w:spacing w:after="80"/>
      </w:pPr>
      <w:r>
        <w:rPr>
          <w:rFonts w:ascii="Arial" w:cs="Arial" w:eastAsia="Arial" w:hAnsi="Arial"/>
          <w:b/>
          <w:bCs/>
          <w:color w:val="1B2A4A"/>
          <w:sz w:val="22"/>
          <w:szCs w:val="22"/>
        </w:rPr>
        <w:t xml:space="preserve">Walmart Requirement: </w:t>
      </w:r>
      <w:r>
        <w:rPr>
          <w:rFonts w:ascii="Arial" w:cs="Arial" w:eastAsia="Arial" w:hAnsi="Arial"/>
          <w:color w:val="333333"/>
          <w:sz w:val="22"/>
          <w:szCs w:val="22"/>
        </w:rPr>
        <w:t xml:space="preserve">Walmart requires GS1 EPCIS 2.0 traceability data on ASNs from FTL suppliers. Non-compliant suppliers risk losing preferred vendor status.</w:t>
      </w:r>
    </w:p>
    <w:p>
      <w:pPr>
        <w:pStyle w:val="ListParagraph"/>
        <w:numPr>
          <w:ilvl w:val="0"/>
          <w:numId w:val="2"/>
        </w:numPr>
        <w:spacing w:after="80"/>
      </w:pPr>
      <w:r>
        <w:rPr>
          <w:rFonts w:ascii="Arial" w:cs="Arial" w:eastAsia="Arial" w:hAnsi="Arial"/>
          <w:b/>
          <w:bCs/>
          <w:color w:val="1B2A4A"/>
          <w:sz w:val="22"/>
          <w:szCs w:val="22"/>
        </w:rPr>
        <w:t xml:space="preserve">Kroger Requirement: </w:t>
      </w:r>
      <w:r>
        <w:rPr>
          <w:rFonts w:ascii="Arial" w:cs="Arial" w:eastAsia="Arial" w:hAnsi="Arial"/>
          <w:color w:val="333333"/>
          <w:sz w:val="22"/>
          <w:szCs w:val="22"/>
        </w:rPr>
        <w:t xml:space="preserve">Kroger enforces KDE completeness on incoming shipments for critical FTL categories.</w:t>
      </w:r>
    </w:p>
    <w:p>
      <w:pPr>
        <w:pStyle w:val="ListParagraph"/>
        <w:numPr>
          <w:ilvl w:val="0"/>
          <w:numId w:val="2"/>
        </w:numPr>
        <w:spacing w:after="80"/>
      </w:pPr>
      <w:r>
        <w:rPr>
          <w:rFonts w:ascii="Arial" w:cs="Arial" w:eastAsia="Arial" w:hAnsi="Arial"/>
          <w:b/>
          <w:bCs/>
          <w:color w:val="1B2A4A"/>
          <w:sz w:val="22"/>
          <w:szCs w:val="22"/>
        </w:rPr>
        <w:t xml:space="preserve">Consultant Pricing: </w:t>
      </w:r>
      <w:r>
        <w:rPr>
          <w:rFonts w:ascii="Arial" w:cs="Arial" w:eastAsia="Arial" w:hAnsi="Arial"/>
          <w:color w:val="333333"/>
          <w:sz w:val="22"/>
          <w:szCs w:val="22"/>
        </w:rPr>
        <w:t xml:space="preserve">Major FSMA consulting firms (Acheson Group, Trustwell/FoodLogiQ) charge $10k–$30k for a static gap assessment PDF.</w:t>
      </w:r>
    </w:p>
    <w:p>
      <w:pPr>
        <w:pStyle w:val="ListParagraph"/>
        <w:numPr>
          <w:ilvl w:val="0"/>
          <w:numId w:val="2"/>
        </w:numPr>
        <w:spacing w:after="80"/>
      </w:pPr>
      <w:r>
        <w:rPr>
          <w:rFonts w:ascii="Arial" w:cs="Arial" w:eastAsia="Arial" w:hAnsi="Arial"/>
          <w:b/>
          <w:bCs/>
          <w:color w:val="1B2A4A"/>
          <w:sz w:val="22"/>
          <w:szCs w:val="22"/>
        </w:rPr>
        <w:t xml:space="preserve">Compliance Cost: </w:t>
      </w:r>
      <w:r>
        <w:rPr>
          <w:rFonts w:ascii="Arial" w:cs="Arial" w:eastAsia="Arial" w:hAnsi="Arial"/>
          <w:color w:val="333333"/>
          <w:sz w:val="22"/>
          <w:szCs w:val="22"/>
        </w:rPr>
        <w:t xml:space="preserve">Average food company spends 40+ hours/week on manual regulatory tracking ($120k+/year in labor).</w:t>
      </w:r>
    </w:p>
    <w:p>
      <w:pPr>
        <w:spacing w:before="400"/>
      </w:pPr>
    </w:p>
    <w:p>
      <w:pPr>
        <w:jc w:val="center"/>
      </w:pPr>
      <w:r>
        <w:rPr>
          <w:rFonts w:ascii="Arial" w:cs="Arial" w:eastAsia="Arial" w:hAnsi="Arial"/>
          <w:i/>
          <w:iCs/>
          <w:color w:val="555555"/>
          <w:sz w:val="24"/>
          <w:szCs w:val="24"/>
        </w:rPr>
        <w:t xml:space="preserve">— End of Sales Enablement Kit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pPr>
    <w:r>
      <w:rPr>
        <w:rFonts w:ascii="Arial" w:cs="Arial" w:eastAsia="Arial" w:hAnsi="Arial"/>
        <w:color w:val="555555"/>
        <w:sz w:val="16"/>
        <w:szCs w:val="16"/>
      </w:rPr>
      <w:t xml:space="preserve">RegEngine  •  Sales Enablement Kit</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2026-02-21T07:51:05.246Z</dcterms:created>
  <dcterms:modified xsi:type="dcterms:W3CDTF">2026-02-21T07:51:05.246Z</dcterms:modified>
</cp:coreProperties>
</file>

<file path=docProps/custom.xml><?xml version="1.0" encoding="utf-8"?>
<Properties xmlns="http://schemas.openxmlformats.org/officeDocument/2006/custom-properties" xmlns:vt="http://schemas.openxmlformats.org/officeDocument/2006/docPropsVTypes"/>
</file>