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9668"/>
          <w:sz w:val="44"/>
          <w:szCs w:val="44"/>
        </w:rPr>
        <w:t xml:space="preserve">RegEngine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Product Requirements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Investor Feedback Sprint — March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Based on two rounds of venture-grade teardown analysis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PRD captures every actionable item from two rounds of investor-grade teardown analysis of regengine.co. The analysis was conducted by an a16z-calibrated evaluation GPT and scored RegEngine at: urgency 9/10, product clarity 8/10, trust/transparency 8.5/10, but GTM proof 4/10, moat 4/10, and seed investability 6/10.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verdict: “Credible seed-stage wedge with a few dangerous precision gaps.” The narrative now matches the live site. The remaining work is about regulatory precision, maturity signaling, and proof — not copy cleanup.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Current Venture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668"/>
                <w:sz w:val="20"/>
                <w:szCs w:val="20"/>
              </w:rPr>
              <w:t xml:space="preserve">9/10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real regulatory forcing 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Clarity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668"/>
                <w:sz w:val="20"/>
                <w:szCs w:val="20"/>
              </w:rPr>
              <w:t xml:space="preserve">8/10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— tighten integration claims vs registry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/ Transparency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668"/>
                <w:sz w:val="20"/>
                <w:szCs w:val="20"/>
              </w:rPr>
              <w:t xml:space="preserve">8.5/10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— SOC 2 timeline, soften anti-SOC rhetoric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Precision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6/10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FSMA guide: 7 CTEs not 6, precise FDA language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Proof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5/10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tools rendering “Loading...” stubs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 Proof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4/10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customer logos, case studies, or before/after results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4/10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layer + early switching costs, not network effects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Investability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6/10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Plausible founder bet, not yet category-winner underwrite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Sprint 1: Compliance Precision (P0 — This Week)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investor explicitly flagged this as “the biggest live bug.” Your FSMA guide is a public educational page that FDA-regulated companies may rely on. It must be legally precise.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Fix FSMA Guide: 7 CTEs, Not 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Problem: </w:t>
      </w:r>
      <w:r>
        <w:rPr>
          <w:rFonts w:ascii="Arial" w:cs="Arial" w:eastAsia="Arial" w:hAnsi="Arial"/>
          <w:sz w:val="20"/>
          <w:szCs w:val="20"/>
        </w:rPr>
        <w:t xml:space="preserve">The guide says “Six events you need to track” but FDA’s FAQ lists seven CTEs: harvesting, cooling, initial packing, first land-based receiving, shipping, receiving, and transformation. Your own trust center says “7 CTE types.”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Update the FSMA 204 guide page to list all 7 CTEs with correct FDA terminology. Add “First Land-Based Receiving” as a distinct CTE type.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frontend/src/app/fsma-204/page.tsx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Fix FDA Enforcement Language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Problem: </w:t>
      </w:r>
      <w:r>
        <w:rPr>
          <w:rFonts w:ascii="Arial" w:cs="Arial" w:eastAsia="Arial" w:hAnsi="Arial"/>
          <w:sz w:val="20"/>
          <w:szCs w:val="20"/>
        </w:rPr>
        <w:t xml:space="preserve">The guide says FDA “extended” the deadline. The precise language is: FDA proposed an extension and Congress directed FDA not to enforce before July 20, 2028.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Update to: “FDA’s original compliance date was January 20, 2026. Congress directed FDA not to enforce the rule before July 20, 2028. The requirements themselves have not changed.”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frontend/src/app/fsma-204/page.tsx, frontend/src/lib/fsma-tools-data.ts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Align CTE Count Across All Pages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Audit: </w:t>
      </w:r>
      <w:r>
        <w:rPr>
          <w:rFonts w:ascii="Arial" w:cs="Arial" w:eastAsia="Arial" w:hAnsi="Arial"/>
          <w:sz w:val="20"/>
          <w:szCs w:val="20"/>
        </w:rPr>
        <w:t xml:space="preserve">Search for “6 CTE”, “six events”, “7 CTE” across the entire frontend. Every reference must say 7.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Sprint 2: Product Proof (P0 — This Week)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tools page is the biggest maturity risk on the site. Several pages render “Loading...” stubs. The fix is to cut the public surface down to what actually works.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Audit All Free Tools for Loading States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Problem: </w:t>
      </w:r>
      <w:r>
        <w:rPr>
          <w:rFonts w:ascii="Arial" w:cs="Arial" w:eastAsia="Arial" w:hAnsi="Arial"/>
          <w:sz w:val="20"/>
          <w:szCs w:val="20"/>
        </w:rPr>
        <w:t xml:space="preserve">ROI calculator shows “Loading calculator…”, CTE mapper shows “Loading mapper…”, knowledge graph shows “Loading graph builder…”, unified dashboard and data import hub show “Loading…”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For each tool: either make it fully functional (renders real content immediately) or remove it from the tools landing page. Do not show “Loading…” to crawlers or investors.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Target: </w:t>
      </w:r>
      <w:r>
        <w:rPr>
          <w:rFonts w:ascii="Arial" w:cs="Arial" w:eastAsia="Arial" w:hAnsi="Arial"/>
          <w:sz w:val="20"/>
          <w:szCs w:val="20"/>
        </w:rPr>
        <w:t xml:space="preserve">Reduce the public tools surface from ~15 advertised to the 8-10 that actually render completely.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Product Page Integration Claims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Problem: </w:t>
      </w:r>
      <w:r>
        <w:rPr>
          <w:rFonts w:ascii="Arial" w:cs="Arial" w:eastAsia="Arial" w:hAnsi="Arial"/>
          <w:sz w:val="20"/>
          <w:szCs w:val="20"/>
        </w:rPr>
        <w:t xml:space="preserve">Product page says “API, CSV, EDI 856, and supplier portal ingestion paths” and lists EDI 856 as “Built for production.” Integrations registry says EDI 856 is “Pilot / Custom Scoped.”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Update product page to match the integrations registry. Use: “API, CSV/XLSX, and SFTP ingestion paths. EDI 856 inbound in guided pilot.”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frontend/src/app/product/page.tsx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SOC 2 Rhetoric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Problem: </w:t>
      </w:r>
      <w:r>
        <w:rPr>
          <w:rFonts w:ascii="Arial" w:cs="Arial" w:eastAsia="Arial" w:hAnsi="Arial"/>
          <w:sz w:val="20"/>
          <w:szCs w:val="20"/>
        </w:rPr>
        <w:t xml:space="preserve">Security page says “Traditional compliance relies on SOC 2 attestations and auditor opinions. RegEngine gives you a SHA-256 hash.” Procurement teams read this as “we don’t have SOC 2.”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Change to: “RegEngine adds cryptographic verification on top of standard compliance controls. SHA-256 hashing lets you verify record integrity independently — whether or not you require a SOC 2 report.”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frontend/src/app/verify/page.tsx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Sprint 3: Proof Artifacts (P1 — Next 2 Weeks)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investor said: “Public proof is still mostly founder proof.” The next credibility layer requires one hard proof artifact that is not founder biography.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Create One Real Export Package Demo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What: </w:t>
      </w:r>
      <w:r>
        <w:rPr>
          <w:rFonts w:ascii="Arial" w:cs="Arial" w:eastAsia="Arial" w:hAnsi="Arial"/>
          <w:sz w:val="20"/>
          <w:szCs w:val="20"/>
        </w:rPr>
        <w:t xml:space="preserve">A downloadable sample FDA export package generated from the 60K+ events in the production database. Include: FDA sortable CSV, chain verification JSON, manifest with SHA-256 hash.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Where: </w:t>
      </w:r>
      <w:r>
        <w:rPr>
          <w:rFonts w:ascii="Arial" w:cs="Arial" w:eastAsia="Arial" w:hAnsi="Arial"/>
          <w:sz w:val="20"/>
          <w:szCs w:val="20"/>
        </w:rPr>
        <w:t xml:space="preserve">Link from the Product page, Verify page, and Retailer Readiness page.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 </w:t>
      </w:r>
      <w:r>
        <w:rPr>
          <w:rFonts w:ascii="Arial" w:cs="Arial" w:eastAsia="Arial" w:hAnsi="Arial"/>
          <w:sz w:val="20"/>
          <w:szCs w:val="20"/>
        </w:rPr>
        <w:t xml:space="preserve">This is the single strongest proof artifact you can ship without a customer testimonial. It shows the product actually produces the output it claims.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Create One Onboarding Case Study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What: </w:t>
      </w:r>
      <w:r>
        <w:rPr>
          <w:rFonts w:ascii="Arial" w:cs="Arial" w:eastAsia="Arial" w:hAnsi="Arial"/>
          <w:sz w:val="20"/>
          <w:szCs w:val="20"/>
        </w:rPr>
        <w:t xml:space="preserve">Document one design partner’s onboarding: time to first CTE, number of events ingested, compliance score improvement, export turnaround time.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Format: </w:t>
      </w:r>
      <w:r>
        <w:rPr>
          <w:rFonts w:ascii="Arial" w:cs="Arial" w:eastAsia="Arial" w:hAnsi="Arial"/>
          <w:sz w:val="20"/>
          <w:szCs w:val="20"/>
        </w:rPr>
        <w:t xml:space="preserve">Single page on the site (e.g., /case-studies/first-partner) with real numbers. Even anonymized data is more credible than no data.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Add Social Proof to Homepage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What: </w:t>
      </w:r>
      <w:r>
        <w:rPr>
          <w:rFonts w:ascii="Arial" w:cs="Arial" w:eastAsia="Arial" w:hAnsi="Arial"/>
          <w:sz w:val="20"/>
          <w:szCs w:val="20"/>
        </w:rPr>
        <w:t xml:space="preserve">Even “Built with input from food safety teams at [anonymized]” or partner logos with permission.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Where: </w:t>
      </w:r>
      <w:r>
        <w:rPr>
          <w:rFonts w:ascii="Arial" w:cs="Arial" w:eastAsia="Arial" w:hAnsi="Arial"/>
          <w:sz w:val="20"/>
          <w:szCs w:val="20"/>
        </w:rPr>
        <w:t xml:space="preserve">Homepage below the stats bar, pricing page above the comparison table.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Substantiate “20+ Years in Federal Compliance”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Problem: </w:t>
      </w:r>
      <w:r>
        <w:rPr>
          <w:rFonts w:ascii="Arial" w:cs="Arial" w:eastAsia="Arial" w:hAnsi="Arial"/>
          <w:sz w:val="20"/>
          <w:szCs w:val="20"/>
        </w:rPr>
        <w:t xml:space="preserve">Retailer page claims “20+ years in federal compliance” which is stronger than the About page substantiates.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Either add specific career history (Senate staff dates, AmeriCorps dates, compliance roles) or soften to “Decade of experience across federal compliance, policy, and food systems.”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Sprint 4: Competitive Positioning (P1 — Next 2 Weeks)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Source All Competitor Comparison Data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Problem: </w:t>
      </w:r>
      <w:r>
        <w:rPr>
          <w:rFonts w:ascii="Arial" w:cs="Arial" w:eastAsia="Arial" w:hAnsi="Arial"/>
          <w:sz w:val="20"/>
          <w:szCs w:val="20"/>
        </w:rPr>
        <w:t xml:space="preserve">ReposiTrak line is now sourced. FoodLogiQ and TraceGains rows still look like house estimates.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Either add source footnotes for every competitor row, or remove specific pricing/time claims for FoodLogiQ and TraceGains and replace with “Enterprise pricing” / “Contact Sales.”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Clarify the Moat Story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 positioning: </w:t>
      </w:r>
      <w:r>
        <w:rPr>
          <w:rFonts w:ascii="Arial" w:cs="Arial" w:eastAsia="Arial" w:hAnsi="Arial"/>
          <w:sz w:val="20"/>
          <w:szCs w:val="20"/>
        </w:rPr>
        <w:t xml:space="preserve">Straddles between “evidence layer” and “network/benchmarking.”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Recommended: </w:t>
      </w:r>
      <w:r>
        <w:rPr>
          <w:rFonts w:ascii="Arial" w:cs="Arial" w:eastAsia="Arial" w:hAnsi="Arial"/>
          <w:sz w:val="20"/>
          <w:szCs w:val="20"/>
        </w:rPr>
        <w:t xml:space="preserve">Drop the word “moat” entirely. Say: “Today we have a wedge and early workflow lock-in. Defensibility compounds through retailer-specific templates, supplier-quality benchmarks, and recall workflows that deepen with each onboarded customer.”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Sprint 5: GTM Proof (P2 — Next 30 Days)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the hardest sprint because it requires customer activity, not code. But the investor was explicit: “Show me proof and reduce bus factor.”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Quantify Self-Serve vs Founder-Assisted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Metric needed: </w:t>
      </w:r>
      <w:r>
        <w:rPr>
          <w:rFonts w:ascii="Arial" w:cs="Arial" w:eastAsia="Arial" w:hAnsi="Arial"/>
          <w:sz w:val="20"/>
          <w:szCs w:val="20"/>
        </w:rPr>
        <w:t xml:space="preserve">What % of onboarding is reusable product vs bespoke founder labor?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Target answer: </w:t>
      </w:r>
      <w:r>
        <w:rPr>
          <w:rFonts w:ascii="Arial" w:cs="Arial" w:eastAsia="Arial" w:hAnsi="Arial"/>
          <w:sz w:val="20"/>
          <w:szCs w:val="20"/>
        </w:rPr>
        <w:t xml:space="preserve">“80% self-serve via CSV bulk upload. 20% integration scoping we’re productizing.”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to prove it: </w:t>
      </w:r>
      <w:r>
        <w:rPr>
          <w:rFonts w:ascii="Arial" w:cs="Arial" w:eastAsia="Arial" w:hAnsi="Arial"/>
          <w:sz w:val="20"/>
          <w:szCs w:val="20"/>
        </w:rPr>
        <w:t xml:space="preserve">Track time-to-first-compliant-export for each design partner. Log onboarding hours. Publish the ratio.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Prepare Diligence Answers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Five questions investors will ask in the room: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How many customers are paying, not just design partners?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Who buys first — ops, QA, food safety, or IT?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Show one real tenant end-to-end: ingest, audit trail, export, verification.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How much is reusable product vs bespoke mapping?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What makes RegEngine sticky after deadline pressure fades?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First Two Hires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Investor concern: </w:t>
      </w:r>
      <w:r>
        <w:rPr>
          <w:rFonts w:ascii="Arial" w:cs="Arial" w:eastAsia="Arial" w:hAnsi="Arial"/>
          <w:sz w:val="20"/>
          <w:szCs w:val="20"/>
        </w:rPr>
        <w:t xml:space="preserve">Single-founder concentration risk. About page says you built every layer.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Answer needed: </w:t>
      </w:r>
      <w:r>
        <w:rPr>
          <w:rFonts w:ascii="Arial" w:cs="Arial" w:eastAsia="Arial" w:hAnsi="Arial"/>
          <w:sz w:val="20"/>
          <w:szCs w:val="20"/>
        </w:rPr>
        <w:t xml:space="preserve">Who are the first two hires? How fast do they de-risk key-person dependency? Have this answer ready for every investor meeting.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Already Completed (This Session)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items were flagged by the investor analysis and have been fixed on the live production site: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Overage pricing: $0.002 vs $0.001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Standardized to $0.002/CTE everywhere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pricing: “year one” vs “life of account”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to “life of account” everywhere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FAQ: “transition to GA pricing” contradiction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the question entirely; answer confirms locked for life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price: $999 vs $425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to $425/mo (partner) in comparison 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tools: 15 vs 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hardcoded numbers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page: Growth/Scale/Enterprise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to Base/Standard/Premium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ReposiTrak: $2,148/facility/yr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to “From $59/mo*” with honest footnote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Retailer page: “No spreadsheets”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to “API and CSV ingest”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Retailer FAQ: “Q1 2027 estimate”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real dates: Walmart Aug 2025, Kroger Jun 2025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center: “follow-on work”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Removed; production-ready language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bundle: “last_run_failed”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to active with real manifest hash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“See Live Merkle Chain” → /alpha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routes to /verify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/alpha conflicting terms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Redirects to /founding-design-partners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Jobs “Alpha release” banner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Removed; production copy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breaking all Vercel builds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Pinned to 15.5.12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Sprint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12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Precision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CTEs, FDA language fix, cross-page audit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Proof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loading stubs, fix integration claims, SOC 2 rhetoric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Artifacts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export, case study, social proof, credential audit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Next 2 weeks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all comparison data, clarify moat 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Next 2 weeks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 Proof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Quantify self-serve ratio, diligence answers, hiring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Next 30 days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Target outcome: </w:t>
      </w:r>
      <w:r>
        <w:rPr>
          <w:rFonts w:ascii="Arial" w:cs="Arial" w:eastAsia="Arial" w:hAnsi="Arial"/>
          <w:sz w:val="20"/>
          <w:szCs w:val="20"/>
        </w:rPr>
        <w:t xml:space="preserve">Move from “credible seed-stage wedge with precision gaps” (6/10 investability) to “clear founder bet with validated wedge and early proof” (7.5/10 investability) within 30 days.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RegEngine PRD — Investor Feedback Sprint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966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2026-03-19T05:02:05.426Z</dcterms:created>
  <dcterms:modified xsi:type="dcterms:W3CDTF">2026-03-19T05:02:05.426Z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