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2A4A"/>
          <w:sz w:val="56"/>
          <w:szCs w:val="56"/>
        </w:rPr>
        <w:t xml:space="preserve">REGENGINE</w:t>
      </w:r>
    </w:p>
    <w:p>
      <w:pPr>
        <w:pBdr>
          <w:bottom w:val="single" w:color="3B7DD8" w:sz="6" w:space="8"/>
        </w:pBdr>
        <w:spacing w:after="100"/>
        <w:jc w:val="center"/>
      </w:pPr>
      <w:r>
        <w:rPr>
          <w:rFonts w:ascii="Arial" w:cs="Arial" w:eastAsia="Arial" w:hAnsi="Arial"/>
          <w:color w:val="2E5090"/>
          <w:sz w:val="32"/>
          <w:szCs w:val="32"/>
        </w:rPr>
        <w:t xml:space="preserve">Technical Due Diligence Defense Document</w:t>
      </w:r>
    </w:p>
    <w:p>
      <w:pPr>
        <w:spacing w:before="600"/>
      </w:pPr>
    </w:p>
    <w:p>
      <w:pPr>
        <w:spacing w:after="100"/>
        <w:jc w:val="center"/>
      </w:pPr>
      <w:r>
        <w:rPr>
          <w:rFonts w:ascii="Arial" w:cs="Arial" w:eastAsia="Arial" w:hAnsi="Arial"/>
          <w:i/>
          <w:iCs/>
          <w:color w:val="555555"/>
          <w:sz w:val="22"/>
          <w:szCs w:val="22"/>
        </w:rPr>
        <w:t xml:space="preserve">Prepared for Enterprise Evaluators, Integration Partners &amp; Investors</w:t>
      </w:r>
    </w:p>
    <w:p>
      <w:pPr>
        <w:spacing w:after="100"/>
        <w:jc w:val="center"/>
      </w:pPr>
      <w:r>
        <w:rPr>
          <w:rFonts w:ascii="Arial" w:cs="Arial" w:eastAsia="Arial" w:hAnsi="Arial"/>
          <w:b/>
          <w:bCs/>
          <w:color w:val="C0392B"/>
          <w:sz w:val="22"/>
          <w:szCs w:val="22"/>
        </w:rPr>
        <w:t xml:space="preserve">Classification: CONFIDENTIAL</w:t>
      </w:r>
    </w:p>
    <w:p>
      <w:pPr>
        <w:spacing w:after="100"/>
        <w:jc w:val="center"/>
      </w:pPr>
      <w:r>
        <w:rPr>
          <w:rFonts w:ascii="Arial" w:cs="Arial" w:eastAsia="Arial" w:hAnsi="Arial"/>
          <w:color w:val="555555"/>
          <w:sz w:val="22"/>
          <w:szCs w:val="22"/>
        </w:rPr>
        <w:t xml:space="preserve">Version 1.0  |  February 2026</w:t>
      </w:r>
    </w:p>
    <w:p>
      <w:pPr>
        <w:spacing w:before="2000"/>
      </w:pPr>
    </w:p>
    <w:p>
      <w:pPr>
        <w:jc w:val="center"/>
      </w:pPr>
      <w:r>
        <w:rPr>
          <w:rFonts w:ascii="Arial" w:cs="Arial" w:eastAsia="Arial" w:hAnsi="Arial"/>
          <w:color w:val="555555"/>
          <w:sz w:val="20"/>
          <w:szCs w:val="20"/>
        </w:rPr>
        <w:t xml:space="preserve">RegEngine, Inc.  •  Regulatory Intelligence API Platform</w:t>
      </w:r>
    </w:p>
    <w:p>
      <w:pPr>
        <w:sectPr>
          <w:pgSz w:w="12240" w:h="15840" w:orient="portrait"/>
          <w:pgMar w:top="1440" w:right="1440" w:bottom="1440" w:left="1440" w:header="708" w:footer="708" w:gutter="0"/>
          <w:pgNumType/>
          <w:docGrid w:linePitch="360"/>
        </w:sectPr>
      </w:pPr>
    </w:p>
    <w:p>
      <w:pPr>
        <w:pStyle w:val="Heading1"/>
      </w:pPr>
      <w:r>
        <w:t xml:space="preserve">Table of Contents</w:t>
      </w:r>
    </w:p>
    <w:p>
      <w:pPr>
        <w:spacing w:after="160"/>
      </w:pPr>
      <w:r>
        <w:rPr>
          <w:rFonts w:ascii="Arial" w:cs="Arial" w:eastAsia="Arial" w:hAnsi="Arial"/>
          <w:i/>
          <w:iCs/>
          <w:color w:val="555555"/>
          <w:sz w:val="22"/>
          <w:szCs w:val="22"/>
        </w:rPr>
        <w:t xml:space="preserve">This document is structured to pre-emptively address every line of inquiry a technical due diligence process—automated or manual—would pursue against the RegEngine platform.</w:t>
      </w:r>
    </w:p>
    <w:p>
      <w:pPr>
        <w:spacing w:after="200"/>
      </w:pPr>
    </w:p>
    <w:p>
      <w:pPr>
        <w:spacing w:after="120"/>
      </w:pPr>
      <w:r>
        <w:rPr>
          <w:rFonts w:ascii="Arial" w:cs="Arial" w:eastAsia="Arial" w:hAnsi="Arial"/>
          <w:b/>
          <w:bCs/>
          <w:color w:val="1B2A4A"/>
          <w:sz w:val="22"/>
          <w:szCs w:val="22"/>
        </w:rPr>
        <w:t xml:space="preserve">1.  </w:t>
      </w:r>
      <w:r>
        <w:rPr>
          <w:rFonts w:ascii="Arial" w:cs="Arial" w:eastAsia="Arial" w:hAnsi="Arial"/>
          <w:color w:val="333333"/>
          <w:sz w:val="22"/>
          <w:szCs w:val="22"/>
        </w:rPr>
        <w:t xml:space="preserve">Executive Summary &amp; Platform Identity</w:t>
      </w:r>
    </w:p>
    <w:p>
      <w:pPr>
        <w:spacing w:after="120"/>
      </w:pPr>
      <w:r>
        <w:rPr>
          <w:rFonts w:ascii="Arial" w:cs="Arial" w:eastAsia="Arial" w:hAnsi="Arial"/>
          <w:b/>
          <w:bCs/>
          <w:color w:val="1B2A4A"/>
          <w:sz w:val="22"/>
          <w:szCs w:val="22"/>
        </w:rPr>
        <w:t xml:space="preserve">2.  </w:t>
      </w:r>
      <w:r>
        <w:rPr>
          <w:rFonts w:ascii="Arial" w:cs="Arial" w:eastAsia="Arial" w:hAnsi="Arial"/>
          <w:color w:val="333333"/>
          <w:sz w:val="22"/>
          <w:szCs w:val="22"/>
        </w:rPr>
        <w:t xml:space="preserve">Architecture Validation: Claims vs. Code</w:t>
      </w:r>
    </w:p>
    <w:p>
      <w:pPr>
        <w:spacing w:after="120"/>
      </w:pPr>
      <w:r>
        <w:rPr>
          <w:rFonts w:ascii="Arial" w:cs="Arial" w:eastAsia="Arial" w:hAnsi="Arial"/>
          <w:b/>
          <w:bCs/>
          <w:color w:val="1B2A4A"/>
          <w:sz w:val="22"/>
          <w:szCs w:val="22"/>
        </w:rPr>
        <w:t xml:space="preserve">3.  </w:t>
      </w:r>
      <w:r>
        <w:rPr>
          <w:rFonts w:ascii="Arial" w:cs="Arial" w:eastAsia="Arial" w:hAnsi="Arial"/>
          <w:color w:val="333333"/>
          <w:sz w:val="22"/>
          <w:szCs w:val="22"/>
        </w:rPr>
        <w:t xml:space="preserve">Microservice Topology &amp; Communication</w:t>
      </w:r>
    </w:p>
    <w:p>
      <w:pPr>
        <w:spacing w:after="120"/>
      </w:pPr>
      <w:r>
        <w:rPr>
          <w:rFonts w:ascii="Arial" w:cs="Arial" w:eastAsia="Arial" w:hAnsi="Arial"/>
          <w:b/>
          <w:bCs/>
          <w:color w:val="1B2A4A"/>
          <w:sz w:val="22"/>
          <w:szCs w:val="22"/>
        </w:rPr>
        <w:t xml:space="preserve">4.  </w:t>
      </w:r>
      <w:r>
        <w:rPr>
          <w:rFonts w:ascii="Arial" w:cs="Arial" w:eastAsia="Arial" w:hAnsi="Arial"/>
          <w:color w:val="333333"/>
          <w:sz w:val="22"/>
          <w:szCs w:val="22"/>
        </w:rPr>
        <w:t xml:space="preserve">Security Architecture &amp; Threat Model</w:t>
      </w:r>
    </w:p>
    <w:p>
      <w:pPr>
        <w:spacing w:after="120"/>
      </w:pPr>
      <w:r>
        <w:rPr>
          <w:rFonts w:ascii="Arial" w:cs="Arial" w:eastAsia="Arial" w:hAnsi="Arial"/>
          <w:b/>
          <w:bCs/>
          <w:color w:val="1B2A4A"/>
          <w:sz w:val="22"/>
          <w:szCs w:val="22"/>
        </w:rPr>
        <w:t xml:space="preserve">5.  </w:t>
      </w:r>
      <w:r>
        <w:rPr>
          <w:rFonts w:ascii="Arial" w:cs="Arial" w:eastAsia="Arial" w:hAnsi="Arial"/>
          <w:color w:val="333333"/>
          <w:sz w:val="22"/>
          <w:szCs w:val="22"/>
        </w:rPr>
        <w:t xml:space="preserve">Data Pipeline &amp; Intellectual Property</w:t>
      </w:r>
    </w:p>
    <w:p>
      <w:pPr>
        <w:spacing w:after="120"/>
      </w:pPr>
      <w:r>
        <w:rPr>
          <w:rFonts w:ascii="Arial" w:cs="Arial" w:eastAsia="Arial" w:hAnsi="Arial"/>
          <w:b/>
          <w:bCs/>
          <w:color w:val="1B2A4A"/>
          <w:sz w:val="22"/>
          <w:szCs w:val="22"/>
        </w:rPr>
        <w:t xml:space="preserve">6.  </w:t>
      </w:r>
      <w:r>
        <w:rPr>
          <w:rFonts w:ascii="Arial" w:cs="Arial" w:eastAsia="Arial" w:hAnsi="Arial"/>
          <w:color w:val="333333"/>
          <w:sz w:val="22"/>
          <w:szCs w:val="22"/>
        </w:rPr>
        <w:t xml:space="preserve">Multi-Tenancy &amp; Isolation Guarantees</w:t>
      </w:r>
    </w:p>
    <w:p>
      <w:pPr>
        <w:spacing w:after="120"/>
      </w:pPr>
      <w:r>
        <w:rPr>
          <w:rFonts w:ascii="Arial" w:cs="Arial" w:eastAsia="Arial" w:hAnsi="Arial"/>
          <w:b/>
          <w:bCs/>
          <w:color w:val="1B2A4A"/>
          <w:sz w:val="22"/>
          <w:szCs w:val="22"/>
        </w:rPr>
        <w:t xml:space="preserve">7.  </w:t>
      </w:r>
      <w:r>
        <w:rPr>
          <w:rFonts w:ascii="Arial" w:cs="Arial" w:eastAsia="Arial" w:hAnsi="Arial"/>
          <w:color w:val="333333"/>
          <w:sz w:val="22"/>
          <w:szCs w:val="22"/>
        </w:rPr>
        <w:t xml:space="preserve">Cryptographic Evidence Chain</w:t>
      </w:r>
    </w:p>
    <w:p>
      <w:pPr>
        <w:spacing w:after="120"/>
      </w:pPr>
      <w:r>
        <w:rPr>
          <w:rFonts w:ascii="Arial" w:cs="Arial" w:eastAsia="Arial" w:hAnsi="Arial"/>
          <w:b/>
          <w:bCs/>
          <w:color w:val="1B2A4A"/>
          <w:sz w:val="22"/>
          <w:szCs w:val="22"/>
        </w:rPr>
        <w:t xml:space="preserve">8.  </w:t>
      </w:r>
      <w:r>
        <w:rPr>
          <w:rFonts w:ascii="Arial" w:cs="Arial" w:eastAsia="Arial" w:hAnsi="Arial"/>
          <w:color w:val="333333"/>
          <w:sz w:val="22"/>
          <w:szCs w:val="22"/>
        </w:rPr>
        <w:t xml:space="preserve">Compliance Readiness Matrix</w:t>
      </w:r>
    </w:p>
    <w:p>
      <w:pPr>
        <w:spacing w:after="120"/>
      </w:pPr>
      <w:r>
        <w:rPr>
          <w:rFonts w:ascii="Arial" w:cs="Arial" w:eastAsia="Arial" w:hAnsi="Arial"/>
          <w:b/>
          <w:bCs/>
          <w:color w:val="1B2A4A"/>
          <w:sz w:val="22"/>
          <w:szCs w:val="22"/>
        </w:rPr>
        <w:t xml:space="preserve">9.  </w:t>
      </w:r>
      <w:r>
        <w:rPr>
          <w:rFonts w:ascii="Arial" w:cs="Arial" w:eastAsia="Arial" w:hAnsi="Arial"/>
          <w:color w:val="333333"/>
          <w:sz w:val="22"/>
          <w:szCs w:val="22"/>
        </w:rPr>
        <w:t xml:space="preserve">Vertical Expansion &amp; Compiler Architecture</w:t>
      </w:r>
    </w:p>
    <w:p>
      <w:pPr>
        <w:spacing w:after="120"/>
      </w:pPr>
      <w:r>
        <w:rPr>
          <w:rFonts w:ascii="Arial" w:cs="Arial" w:eastAsia="Arial" w:hAnsi="Arial"/>
          <w:b/>
          <w:bCs/>
          <w:color w:val="1B2A4A"/>
          <w:sz w:val="22"/>
          <w:szCs w:val="22"/>
        </w:rPr>
        <w:t xml:space="preserve">10.  </w:t>
      </w:r>
      <w:r>
        <w:rPr>
          <w:rFonts w:ascii="Arial" w:cs="Arial" w:eastAsia="Arial" w:hAnsi="Arial"/>
          <w:color w:val="333333"/>
          <w:sz w:val="22"/>
          <w:szCs w:val="22"/>
        </w:rPr>
        <w:t xml:space="preserve">Production Maturity Assessment</w:t>
      </w:r>
    </w:p>
    <w:p>
      <w:pPr>
        <w:spacing w:after="120"/>
      </w:pPr>
      <w:r>
        <w:rPr>
          <w:rFonts w:ascii="Arial" w:cs="Arial" w:eastAsia="Arial" w:hAnsi="Arial"/>
          <w:b/>
          <w:bCs/>
          <w:color w:val="1B2A4A"/>
          <w:sz w:val="22"/>
          <w:szCs w:val="22"/>
        </w:rPr>
        <w:t xml:space="preserve">11.  </w:t>
      </w:r>
      <w:r>
        <w:rPr>
          <w:rFonts w:ascii="Arial" w:cs="Arial" w:eastAsia="Arial" w:hAnsi="Arial"/>
          <w:color w:val="333333"/>
          <w:sz w:val="22"/>
          <w:szCs w:val="22"/>
        </w:rPr>
        <w:t xml:space="preserve">Known Limitations &amp; Roadmap</w:t>
      </w:r>
    </w:p>
    <w:p>
      <w:pPr>
        <w:sectPr>
          <w:headerReference w:type="default" r:id="rId6"/>
          <w:footerReference w:type="default" r:id="rId7"/>
          <w:pgSz w:w="12240" w:h="15840" w:orient="portrait"/>
          <w:pgMar w:top="1440" w:right="1440" w:bottom="1440" w:left="1440" w:header="708" w:footer="708" w:gutter="0"/>
          <w:pgNumType/>
          <w:docGrid w:linePitch="360"/>
        </w:sectPr>
      </w:pPr>
    </w:p>
    <w:p>
      <w:pPr>
        <w:pStyle w:val="Heading1"/>
      </w:pPr>
      <w:r>
        <w:t xml:space="preserve">1. Executive Summary &amp; Platform Identity</w:t>
      </w:r>
    </w:p>
    <w:p>
      <w:pPr>
        <w:spacing w:after="160"/>
      </w:pPr>
      <w:r>
        <w:rPr>
          <w:rFonts w:ascii="Arial" w:cs="Arial" w:eastAsia="Arial" w:hAnsi="Arial"/>
          <w:color w:val="333333"/>
          <w:sz w:val="22"/>
          <w:szCs w:val="22"/>
        </w:rPr>
        <w:t xml:space="preserve">RegEngine is a multi-tenant, API-first regulatory intelligence platform that converts statutory and administrative obligations into continuously monitored, cryptographically verifiable compliance control systems. The platform’s current production wedge is FDA FSMA 204 (Food Safety Modernization Act, 21 CFR Parts 1, 11, 117, 204), with a plugin architecture designed to expand across finance (SEC/SOX), nuclear (NRC 10 CFR), energy (NERC CIP), and healthcare verticals.</w:t>
      </w:r>
    </w:p>
    <w:p>
      <w:pPr>
        <w:spacing w:after="160"/>
      </w:pPr>
      <w:r>
        <w:rPr>
          <w:rFonts w:ascii="Arial" w:cs="Arial" w:eastAsia="Arial" w:hAnsi="Arial"/>
          <w:color w:val="333333"/>
          <w:sz w:val="22"/>
          <w:szCs w:val="22"/>
        </w:rPr>
        <w:t xml:space="preserve">This document is structured to address the four primary axes of automated technical due diligence:</w:t>
      </w:r>
    </w:p>
    <w:p>
      <w:pPr>
        <w:spacing w:after="160"/>
      </w:pPr>
      <w:r>
        <w:rPr>
          <w:rFonts w:ascii="Arial" w:cs="Arial" w:eastAsia="Arial" w:hAnsi="Arial"/>
          <w:b/>
          <w:bCs/>
          <w:color w:val="1B2A4A"/>
          <w:sz w:val="22"/>
          <w:szCs w:val="22"/>
        </w:rPr>
        <w:t xml:space="preserve">Business &amp; Architecture Validation — </w:t>
      </w:r>
      <w:r>
        <w:rPr>
          <w:rFonts w:ascii="Arial" w:cs="Arial" w:eastAsia="Arial" w:hAnsi="Arial"/>
          <w:color w:val="333333"/>
          <w:sz w:val="22"/>
          <w:szCs w:val="22"/>
        </w:rPr>
        <w:t xml:space="preserve">Does the marketing match the engineering? Is the kernel genuinely decoupled from vertical-specific logic?</w:t>
      </w:r>
    </w:p>
    <w:p>
      <w:pPr>
        <w:spacing w:after="160"/>
      </w:pPr>
      <w:r>
        <w:rPr>
          <w:rFonts w:ascii="Arial" w:cs="Arial" w:eastAsia="Arial" w:hAnsi="Arial"/>
          <w:b/>
          <w:bCs/>
          <w:color w:val="1B2A4A"/>
          <w:sz w:val="22"/>
          <w:szCs w:val="22"/>
        </w:rPr>
        <w:t xml:space="preserve">Microservice &amp; Infrastructure Discovery — </w:t>
      </w:r>
      <w:r>
        <w:rPr>
          <w:rFonts w:ascii="Arial" w:cs="Arial" w:eastAsia="Arial" w:hAnsi="Arial"/>
          <w:color w:val="333333"/>
          <w:sz w:val="22"/>
          <w:szCs w:val="22"/>
        </w:rPr>
        <w:t xml:space="preserve">What is the exact infrastructure footprint? Where are single points of failure or scalability bottlenecks?</w:t>
      </w:r>
    </w:p>
    <w:p>
      <w:pPr>
        <w:spacing w:after="160"/>
      </w:pPr>
      <w:r>
        <w:rPr>
          <w:rFonts w:ascii="Arial" w:cs="Arial" w:eastAsia="Arial" w:hAnsi="Arial"/>
          <w:b/>
          <w:bCs/>
          <w:color w:val="1B2A4A"/>
          <w:sz w:val="22"/>
          <w:szCs w:val="22"/>
        </w:rPr>
        <w:t xml:space="preserve">Security &amp; Compliance Probing — </w:t>
      </w:r>
      <w:r>
        <w:rPr>
          <w:rFonts w:ascii="Arial" w:cs="Arial" w:eastAsia="Arial" w:hAnsi="Arial"/>
          <w:color w:val="333333"/>
          <w:sz w:val="22"/>
          <w:szCs w:val="22"/>
        </w:rPr>
        <w:t xml:space="preserve">How is tenant isolation implemented? Are cryptographic claims substantiated? Are there hardcoded vulnerabilities?</w:t>
      </w:r>
    </w:p>
    <w:p>
      <w:pPr>
        <w:spacing w:after="160"/>
      </w:pPr>
      <w:r>
        <w:rPr>
          <w:rFonts w:ascii="Arial" w:cs="Arial" w:eastAsia="Arial" w:hAnsi="Arial"/>
          <w:b/>
          <w:bCs/>
          <w:color w:val="1B2A4A"/>
          <w:sz w:val="22"/>
          <w:szCs w:val="22"/>
        </w:rPr>
        <w:t xml:space="preserve">Data Pipeline &amp; IP Extraction — </w:t>
      </w:r>
      <w:r>
        <w:rPr>
          <w:rFonts w:ascii="Arial" w:cs="Arial" w:eastAsia="Arial" w:hAnsi="Arial"/>
          <w:color w:val="333333"/>
          <w:sz w:val="22"/>
          <w:szCs w:val="22"/>
        </w:rPr>
        <w:t xml:space="preserve">How does the NLP pipeline work? What is the core intellectual property and how defensible is it?</w:t>
      </w:r>
    </w:p>
    <w:p>
      <w:pPr>
        <w:pBdr>
          <w:bottom w:val="single" w:color="3B7DD8" w:sz="4" w:space="1"/>
        </w:pBdr>
        <w:spacing w:before="300" w:after="300"/>
      </w:pPr>
    </w:p>
    <w:p>
      <w:pPr>
        <w:pStyle w:val="Heading1"/>
      </w:pPr>
      <w:r>
        <w:t xml:space="preserve">2. Architecture Validation: Claims vs. Code</w:t>
      </w:r>
    </w:p>
    <w:p>
      <w:pPr>
        <w:spacing w:after="160"/>
      </w:pPr>
      <w:r>
        <w:rPr>
          <w:rFonts w:ascii="Arial" w:cs="Arial" w:eastAsia="Arial" w:hAnsi="Arial"/>
          <w:color w:val="333333"/>
          <w:sz w:val="22"/>
          <w:szCs w:val="22"/>
        </w:rPr>
        <w:t xml:space="preserve">The most important question in any TDD is whether the product is what it says it is. Below is a point-by-point reconciliation of RegEngine’s public claims against the actual codebase.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800"/>
        <w:gridCol w:w="1760"/>
      </w:tblGrid>
      <w:tr>
        <w:tc>
          <w:tcPr>
            <w:tcW w:type="dxa" w:w="3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Claim</w:t>
            </w:r>
          </w:p>
        </w:tc>
        <w:tc>
          <w:tcPr>
            <w:tcW w:type="dxa" w:w="3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Code Location</w:t>
            </w:r>
          </w:p>
        </w:tc>
        <w:tc>
          <w:tcPr>
            <w:tcW w:type="dxa" w:w="1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Verdict</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Multi-tenant regulatory OS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services/shared/middleware/tenant_context.py, PostgreSQL RLS policies in migrations/</w:t>
            </w:r>
          </w:p>
        </w:tc>
        <w:tc>
          <w:tcPr>
            <w:tcW w:type="dxa" w:w="1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PASS — Verified</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API-first architecture</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OpenAPI 3.0 specs auto-generated by FastAPI across all 10 services</w:t>
            </w:r>
          </w:p>
        </w:tc>
        <w:tc>
          <w:tcPr>
            <w:tcW w:type="dxa" w:w="1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PASS — Verified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Graph-based obligation modeling</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services/graph/ with Neo4j Cypher queries; kernel/obligation/ for evaluation</w:t>
            </w:r>
          </w:p>
        </w:tc>
        <w:tc>
          <w:tcPr>
            <w:tcW w:type="dxa" w:w="1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PASS — Verified</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Cryptographic audit trail</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kernel/evidence/ implements SHA-256 hash chains + Merkle trees</w:t>
            </w:r>
          </w:p>
        </w:tc>
        <w:tc>
          <w:tcPr>
            <w:tcW w:type="dxa" w:w="1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PASS — Verified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Plugin-based vertical expansion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plugins/fsma/ decoupled from kernel/; kernel/control/compiler.py generates routes from YAML</w:t>
            </w:r>
          </w:p>
        </w:tc>
        <w:tc>
          <w:tcPr>
            <w:tcW w:type="dxa" w:w="1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PASS — Verified</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NLP obligation extraction</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services/nlp/ with LLM + regex hybrid; includes hallucination detection</w:t>
            </w:r>
          </w:p>
        </w:tc>
        <w:tc>
          <w:tcPr>
            <w:tcW w:type="dxa" w:w="1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PASS — Verified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Self-hostable deployment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docker-compose.prod.yml with pinned SHA image tags from ghcr.io</w:t>
            </w:r>
          </w:p>
        </w:tc>
        <w:tc>
          <w:tcPr>
            <w:tcW w:type="dxa" w:w="1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PASS — Verified</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Usage-based pricing</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services/billing/ with Stripe integration; metered API key tiers</w:t>
            </w:r>
          </w:p>
        </w:tc>
        <w:tc>
          <w:tcPr>
            <w:tcW w:type="dxa" w:w="1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PASS — Verified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Multi-vertical support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 active verticals (FSMA, Nuclear, Energy, Finance, Tech); 9 archived</w:t>
            </w:r>
          </w:p>
        </w:tc>
        <w:tc>
          <w:tcPr>
            <w:tcW w:type="dxa" w:w="17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F57F17"/>
                <w:sz w:val="20"/>
                <w:szCs w:val="20"/>
              </w:rPr>
              <w:t xml:space="preserve">PARTIAL — FSMA is production-grade; others are in development</w:t>
            </w:r>
          </w:p>
        </w:tc>
      </w:tr>
    </w:tbl>
    <w:p>
      <w:pPr>
        <w:spacing w:after="160"/>
      </w:pPr>
      <w:r>
        <w:rPr>
          <w:rFonts w:ascii="Arial" w:cs="Arial" w:eastAsia="Arial" w:hAnsi="Arial"/>
          <w:i/>
          <w:iCs/>
          <w:color w:val="333333"/>
          <w:sz w:val="22"/>
          <w:szCs w:val="22"/>
        </w:rPr>
        <w:t xml:space="preserve">Key finding: The kernel/plugins separation is architecturally genuine. The kernel/ directory contains zero FSMA-specific references. All FDA/FSMA logic resides in plugins/fsma/ and services/graph/app/routers/fsma/. This separation means adding a new regulatory vertical does not require modifying the core engine.</w:t>
      </w:r>
    </w:p>
    <w:p>
      <w:pPr>
        <w:pBdr>
          <w:bottom w:val="single" w:color="3B7DD8" w:sz="4" w:space="1"/>
        </w:pBdr>
        <w:spacing w:before="300" w:after="300"/>
      </w:pPr>
    </w:p>
    <w:p>
      <w:pPr>
        <w:pStyle w:val="Heading1"/>
      </w:pPr>
      <w:r>
        <w:t xml:space="preserve">3. Microservice Topology &amp; Communication</w:t>
      </w:r>
    </w:p>
    <w:p>
      <w:pPr>
        <w:pStyle w:val="Heading2"/>
      </w:pPr>
      <w:r>
        <w:t xml:space="preserve">3.1 Service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4200"/>
        <w:gridCol w:w="25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Port</w:t>
            </w:r>
          </w:p>
        </w:tc>
        <w:tc>
          <w:tcPr>
            <w:tcW w:type="dxa" w:w="4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Resources (Prod)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gateway (NGINX)</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80/443</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Reverse proxy, rate limiting (5 req/sec admin), TLS termination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0.5 CPU / 512MB</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ingestion-service</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8000</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Multi-format regulatory document intake (PDF, HTML, XML, EDI, Excel, DOCX)</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2 CPU / 2GB</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nlp-service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8100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LLM + regex obligation extraction, hallucination detection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4 CPU / 8GB</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graph-service</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8200</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Neo4j knowledge graph queries, compliance scoring, lineage traversal</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2 CPU / 4GB</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opportunity-api</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8300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Compliance gap detection and optimization scoring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 CPU / 1GB</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admin-api</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8400</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Tenant management, API keys, RBAC, onboarding</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1 CPU / 1GB</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compliance-api</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8500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Monitoring, attestation, worker pool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 CPU / 2GB</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scheduler</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8600</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APScheduler: FDA scraping (30–60 min), nightly sync (02:00 UTC)</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1 CPU / 1GB</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energy-api</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8700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Energy vertical (NERC CIP)</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 CPU / 2GB</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billing-service</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8800</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Stripe integration, subscription lifecycle</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0.5 CPU / 512MB</w:t>
            </w:r>
          </w:p>
        </w:tc>
      </w:tr>
    </w:tbl>
    <w:p>
      <w:pPr>
        <w:pStyle w:val="Heading2"/>
      </w:pPr>
      <w:r>
        <w:t xml:space="preserve">3.2 Communication Patterns</w:t>
      </w:r>
    </w:p>
    <w:p>
      <w:pPr>
        <w:spacing w:after="160"/>
      </w:pPr>
      <w:r>
        <w:rPr>
          <w:rFonts w:ascii="Arial" w:cs="Arial" w:eastAsia="Arial" w:hAnsi="Arial"/>
          <w:b/>
          <w:bCs/>
          <w:color w:val="1B2A4A"/>
          <w:sz w:val="22"/>
          <w:szCs w:val="22"/>
        </w:rPr>
        <w:t xml:space="preserve">Synchronous (HTTP): </w:t>
      </w:r>
      <w:r>
        <w:rPr>
          <w:rFonts w:ascii="Arial" w:cs="Arial" w:eastAsia="Arial" w:hAnsi="Arial"/>
          <w:color w:val="333333"/>
          <w:sz w:val="22"/>
          <w:szCs w:val="22"/>
        </w:rPr>
        <w:t xml:space="preserve">NGINX gateway routes to services via X-RegEngine-API-Key header authentication. JSON request/response. Service-to-service auth uses shared HMAC tokens.</w:t>
      </w:r>
    </w:p>
    <w:p>
      <w:pPr>
        <w:spacing w:after="160"/>
      </w:pPr>
      <w:r>
        <w:rPr>
          <w:rFonts w:ascii="Arial" w:cs="Arial" w:eastAsia="Arial" w:hAnsi="Arial"/>
          <w:b/>
          <w:bCs/>
          <w:color w:val="1B2A4A"/>
          <w:sz w:val="22"/>
          <w:szCs w:val="22"/>
        </w:rPr>
        <w:t xml:space="preserve">Asynchronous (Kafka/Redpanda): </w:t>
      </w:r>
      <w:r>
        <w:rPr>
          <w:rFonts w:ascii="Arial" w:cs="Arial" w:eastAsia="Arial" w:hAnsi="Arial"/>
          <w:color w:val="333333"/>
          <w:sz w:val="22"/>
          <w:szCs w:val="22"/>
        </w:rPr>
        <w:t xml:space="preserve">Ingestion emits to ingest.normalized.v2 topic (Avro-serialized via Schema Registry). NLP consumes, extracts obligations, emits to nlp.extracted. Graph service consumes and updates Neo4j.</w:t>
      </w:r>
    </w:p>
    <w:p>
      <w:pPr>
        <w:spacing w:after="160"/>
      </w:pPr>
      <w:r>
        <w:rPr>
          <w:rFonts w:ascii="Arial" w:cs="Arial" w:eastAsia="Arial" w:hAnsi="Arial"/>
          <w:b/>
          <w:bCs/>
          <w:color w:val="1B2A4A"/>
          <w:sz w:val="22"/>
          <w:szCs w:val="22"/>
        </w:rPr>
        <w:t xml:space="preserve">Data stores: </w:t>
      </w:r>
      <w:r>
        <w:rPr>
          <w:rFonts w:ascii="Arial" w:cs="Arial" w:eastAsia="Arial" w:hAnsi="Arial"/>
          <w:color w:val="333333"/>
          <w:sz w:val="22"/>
          <w:szCs w:val="22"/>
        </w:rPr>
        <w:t xml:space="preserve">PostgreSQL (state, audit, API keys) with connection pooling via SQLAlchemy. Redis (caching, rate limits, job queues). Neo4j (knowledge graph). S3 (raw + normalized document storage).</w:t>
      </w:r>
    </w:p>
    <w:p>
      <w:pPr>
        <w:pStyle w:val="Heading2"/>
      </w:pPr>
      <w:r>
        <w:t xml:space="preserve">3.3 Resilience Patterns</w:t>
      </w:r>
    </w:p>
    <w:p>
      <w:pPr>
        <w:spacing w:after="160"/>
      </w:pPr>
      <w:r>
        <w:rPr>
          <w:rFonts w:ascii="Arial" w:cs="Arial" w:eastAsia="Arial" w:hAnsi="Arial"/>
          <w:color w:val="333333"/>
          <w:sz w:val="22"/>
          <w:szCs w:val="22"/>
        </w:rPr>
        <w:t xml:space="preserve">Circuit breakers on all external API calls (FDA, Federal Register, eCFR). Leader election for nightly batch jobs prevents duplicate execution across replicas. Kafka consumer groups with partition assignment enable horizontal scaling of NLP workers. PostgreSQL-backed deduplication via SHA-256 content hashing prevents reprocessing of unchanged documents. Production deployments use restart policies with exponential backoff (5s delay, max 3 attempts).</w:t>
      </w:r>
    </w:p>
    <w:p>
      <w:pPr>
        <w:pBdr>
          <w:bottom w:val="single" w:color="3B7DD8" w:sz="4" w:space="1"/>
        </w:pBdr>
        <w:spacing w:before="300" w:after="300"/>
      </w:pPr>
    </w:p>
    <w:p>
      <w:pPr>
        <w:pStyle w:val="Heading1"/>
      </w:pPr>
      <w:r>
        <w:t xml:space="preserve">4. Security Architecture &amp; Threat Model</w:t>
      </w:r>
    </w:p>
    <w:p>
      <w:pPr>
        <w:pStyle w:val="Heading2"/>
      </w:pPr>
      <w:r>
        <w:t xml:space="preserve">4.1 Authentication &amp; Authorization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000"/>
        <w:gridCol w:w="1760"/>
      </w:tblGrid>
      <w:t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Mechanism</w:t>
            </w:r>
          </w:p>
        </w:tc>
        <w:tc>
          <w:tcPr>
            <w:tcW w:type="dxa" w:w="5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c>
          <w:tcPr>
            <w:tcW w:type="dxa" w:w="1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API Key Format</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rge_{urlsafe_random}.{urlsafe_random} — SHA-256 hashed at rest, raw key never stored</w:t>
            </w:r>
          </w:p>
        </w:tc>
        <w:tc>
          <w:tcPr>
            <w:tcW w:type="dxa" w:w="1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PASS — Verified</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Key Rotation</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services/shared/api_key_security.py — graceful rotation with overlap window</w:t>
            </w:r>
          </w:p>
        </w:tc>
        <w:tc>
          <w:tcPr>
            <w:tcW w:type="dxa" w:w="1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PASS — Verified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Scope Enforcement</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Per-key scopes: read, ingest, admin. Checked at route level.</w:t>
            </w:r>
          </w:p>
        </w:tc>
        <w:tc>
          <w:tcPr>
            <w:tcW w:type="dxa" w:w="1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PASS — Verified</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Jurisdiction Entitlements</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allowed_jurisdictions field gates access to US, US-NY, GLOBAL, etc.</w:t>
            </w:r>
          </w:p>
        </w:tc>
        <w:tc>
          <w:tcPr>
            <w:tcW w:type="dxa" w:w="1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PASS — Verified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Billing Tier Gating</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DEVELOPER / PROFESSIONAL / ENTERPRISE tiers with rate limit enforcement</w:t>
            </w:r>
          </w:p>
        </w:tc>
        <w:tc>
          <w:tcPr>
            <w:tcW w:type="dxa" w:w="1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PASS — Verified</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Service-to-Service Auth</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HMAC-based service_auth.py for inter-service communication</w:t>
            </w:r>
          </w:p>
        </w:tc>
        <w:tc>
          <w:tcPr>
            <w:tcW w:type="dxa" w:w="1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PASS — Verified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JWT Support</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services/shared/jwt_auth.py for frontend session tokens</w:t>
            </w:r>
          </w:p>
        </w:tc>
        <w:tc>
          <w:tcPr>
            <w:tcW w:type="dxa" w:w="1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PASS — Verified</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SSO/OIDC</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services/shared/oauth_oidc.py for enterprise identity providers</w:t>
            </w:r>
          </w:p>
        </w:tc>
        <w:tc>
          <w:tcPr>
            <w:tcW w:type="dxa" w:w="1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PASS — Verified</w:t>
            </w:r>
          </w:p>
        </w:tc>
      </w:tr>
    </w:tbl>
    <w:p>
      <w:pPr>
        <w:pStyle w:val="Heading2"/>
      </w:pPr>
      <w:r>
        <w:t xml:space="preserve">4.2 Threat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560"/>
      </w:tblGrid>
      <w:t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Threat</w:t>
            </w:r>
          </w:p>
        </w:tc>
        <w:tc>
          <w:tcPr>
            <w:tcW w:type="dxa" w:w="4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c>
          <w:tcPr>
            <w:tcW w:type="dxa" w:w="2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Code Location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SSRF via URL ingestion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IP validation blocks private networks (10.x, 172.16–31.x, 192.168.x, loopback)</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services/ingestion/routes.py:1374+</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Tenant data leakage</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PostgreSQL Row-Level Security (RLS) + application-layer tenant_id filtering</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migrations/ + services/shared/middleware/tenant_context.py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API key exposure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SHA-256 hashing; raw keys returned exactly once at creation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services/shared/api_key_store.py</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Secrets in codebase</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All secrets via environment variables; no defaults in production config</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docker-compose.prod.yml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Rate limit bypass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Redis-backed per-tenant rate limiting with configurable per-minute/hour/day limits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services/shared/tenant_rate_limiting.py</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XSS/Injection</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FastAPI automatic input validation via Pydantic models</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All service route files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Unauthorized admin access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ADMIN_MASTER_KEY required; scoped API keys for all other operations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services/admin/main.py</w:t>
            </w:r>
          </w:p>
        </w:tc>
      </w:tr>
    </w:tbl>
    <w:p>
      <w:pPr>
        <w:pStyle w:val="Heading2"/>
      </w:pPr>
      <w:r>
        <w:t xml:space="preserve">4.3 Security Maturity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800"/>
        <w:gridCol w:w="17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5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1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Short-term</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Environment hardening, incident response runbook, enhanced audit logging</w:t>
            </w:r>
          </w:p>
        </w:tc>
        <w:tc>
          <w:tcPr>
            <w:tcW w:type="dxa" w:w="17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F57F17"/>
                <w:sz w:val="20"/>
                <w:szCs w:val="20"/>
              </w:rPr>
              <w:t xml:space="preserve">In Progress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Medium-term</w:t>
            </w:r>
          </w:p>
        </w:tc>
        <w:tc>
          <w:tcPr>
            <w:tcW w:type="dxa" w:w="5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SDLC controls (SAST/DAST), third-party penetration testing, SOC 2 readiness</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Planned Q2 2026</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Long-term</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ISO 27001 certification, SOC 2 Type II attestation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Planned Q4 2026</w:t>
            </w:r>
          </w:p>
        </w:tc>
      </w:tr>
    </w:tbl>
    <w:p>
      <w:pPr>
        <w:pBdr>
          <w:bottom w:val="single" w:color="3B7DD8" w:sz="4" w:space="1"/>
        </w:pBdr>
        <w:spacing w:before="300" w:after="300"/>
      </w:pPr>
    </w:p>
    <w:p>
      <w:pPr>
        <w:pStyle w:val="Heading1"/>
      </w:pPr>
      <w:r>
        <w:t xml:space="preserve">5. Data Pipeline &amp; Intellectual Property</w:t>
      </w:r>
    </w:p>
    <w:p>
      <w:pPr>
        <w:pStyle w:val="Heading2"/>
      </w:pPr>
      <w:r>
        <w:t xml:space="preserve">5.1 Ingestion Pipeline</w:t>
      </w:r>
    </w:p>
    <w:p>
      <w:pPr>
        <w:spacing w:after="160"/>
      </w:pPr>
      <w:r>
        <w:rPr>
          <w:rFonts w:ascii="Arial" w:cs="Arial" w:eastAsia="Arial" w:hAnsi="Arial"/>
          <w:color w:val="333333"/>
          <w:sz w:val="22"/>
          <w:szCs w:val="22"/>
        </w:rPr>
        <w:t xml:space="preserve">The ingestion pipeline is the platform’s entry point for regulatory data. It operates in both on-demand (API-triggered) and scheduled (cron-driven) modes.</w:t>
      </w:r>
    </w:p>
    <w:p>
      <w:pPr>
        <w:spacing w:after="160"/>
      </w:pPr>
      <w:r>
        <w:rPr>
          <w:rFonts w:ascii="Arial" w:cs="Arial" w:eastAsia="Arial" w:hAnsi="Arial"/>
          <w:b/>
          <w:bCs/>
          <w:color w:val="1B2A4A"/>
          <w:sz w:val="22"/>
          <w:szCs w:val="22"/>
        </w:rPr>
        <w:t xml:space="preserve">Step 1 — Acquisition: </w:t>
      </w:r>
      <w:r>
        <w:rPr>
          <w:rFonts w:ascii="Arial" w:cs="Arial" w:eastAsia="Arial" w:hAnsi="Arial"/>
          <w:color w:val="333333"/>
          <w:sz w:val="22"/>
          <w:szCs w:val="22"/>
        </w:rPr>
        <w:t xml:space="preserve">EthicalScraper respects robots.txt, enforces 2-second inter-request delays, and identifies itself via User-Agent. Supports direct text, file upload (PDF/DOCX/XML/CSV/Excel/EDI), URL fetch, and API adapters (Federal Register, eCFR, openFDA).</w:t>
      </w:r>
    </w:p>
    <w:p>
      <w:pPr>
        <w:spacing w:after="160"/>
      </w:pPr>
      <w:r>
        <w:rPr>
          <w:rFonts w:ascii="Arial" w:cs="Arial" w:eastAsia="Arial" w:hAnsi="Arial"/>
          <w:b/>
          <w:bCs/>
          <w:color w:val="1B2A4A"/>
          <w:sz w:val="22"/>
          <w:szCs w:val="22"/>
        </w:rPr>
        <w:t xml:space="preserve">Step 2 — Normalization: </w:t>
      </w:r>
      <w:r>
        <w:rPr>
          <w:rFonts w:ascii="Arial" w:cs="Arial" w:eastAsia="Arial" w:hAnsi="Arial"/>
          <w:color w:val="333333"/>
          <w:sz w:val="22"/>
          <w:szCs w:val="22"/>
        </w:rPr>
        <w:t xml:space="preserve">Pluggable parser registry routes documents to format-specific parsers. State adaptors handle jurisdiction-specific formatting (NYDFS, CPPA, FDA). Output is a NormalizedDocument with metadata, raw text, and structural sections.</w:t>
      </w:r>
    </w:p>
    <w:p>
      <w:pPr>
        <w:spacing w:after="160"/>
      </w:pPr>
      <w:r>
        <w:rPr>
          <w:rFonts w:ascii="Arial" w:cs="Arial" w:eastAsia="Arial" w:hAnsi="Arial"/>
          <w:b/>
          <w:bCs/>
          <w:color w:val="1B2A4A"/>
          <w:sz w:val="22"/>
          <w:szCs w:val="22"/>
        </w:rPr>
        <w:t xml:space="preserve">Step 3 — Deduplication: </w:t>
      </w:r>
      <w:r>
        <w:rPr>
          <w:rFonts w:ascii="Arial" w:cs="Arial" w:eastAsia="Arial" w:hAnsi="Arial"/>
          <w:color w:val="333333"/>
          <w:sz w:val="22"/>
          <w:szCs w:val="22"/>
        </w:rPr>
        <w:t xml:space="preserve">SHA-256 content hashing + ETag comparison prevents reprocessing. Content-addressed storage in S3 (raw + normalized JSON).</w:t>
      </w:r>
    </w:p>
    <w:p>
      <w:pPr>
        <w:spacing w:after="160"/>
      </w:pPr>
      <w:r>
        <w:rPr>
          <w:rFonts w:ascii="Arial" w:cs="Arial" w:eastAsia="Arial" w:hAnsi="Arial"/>
          <w:b/>
          <w:bCs/>
          <w:color w:val="1B2A4A"/>
          <w:sz w:val="22"/>
          <w:szCs w:val="22"/>
        </w:rPr>
        <w:t xml:space="preserve">Step 4 — Emission: </w:t>
      </w:r>
      <w:r>
        <w:rPr>
          <w:rFonts w:ascii="Arial" w:cs="Arial" w:eastAsia="Arial" w:hAnsi="Arial"/>
          <w:color w:val="333333"/>
          <w:sz w:val="22"/>
          <w:szCs w:val="22"/>
        </w:rPr>
        <w:t xml:space="preserve">Avro-serialized events published to Kafka topic ingest.normalized.v2 via Schema Registry. Webhook notifications for real-time downstream alerts.</w:t>
      </w:r>
    </w:p>
    <w:p>
      <w:pPr>
        <w:pStyle w:val="Heading2"/>
      </w:pPr>
      <w:r>
        <w:t xml:space="preserve">5.2 NLP Extraction (Core IP)</w:t>
      </w:r>
    </w:p>
    <w:p>
      <w:pPr>
        <w:spacing w:after="160"/>
      </w:pPr>
      <w:r>
        <w:rPr>
          <w:rFonts w:ascii="Arial" w:cs="Arial" w:eastAsia="Arial" w:hAnsi="Arial"/>
          <w:color w:val="333333"/>
          <w:sz w:val="22"/>
          <w:szCs w:val="22"/>
        </w:rPr>
        <w:t xml:space="preserve">The NLP service is the primary intellectual property layer. It operates as a Kafka consumer, processing normalized documents through a hybrid extraction pipeline:</w:t>
      </w:r>
    </w:p>
    <w:p>
      <w:pPr>
        <w:spacing w:after="160"/>
      </w:pPr>
      <w:r>
        <w:rPr>
          <w:rFonts w:ascii="Arial" w:cs="Arial" w:eastAsia="Arial" w:hAnsi="Arial"/>
          <w:b/>
          <w:bCs/>
          <w:color w:val="1B2A4A"/>
          <w:sz w:val="22"/>
          <w:szCs w:val="22"/>
        </w:rPr>
        <w:t xml:space="preserve">LLM-based extraction (Groq): </w:t>
      </w:r>
      <w:r>
        <w:rPr>
          <w:rFonts w:ascii="Arial" w:cs="Arial" w:eastAsia="Arial" w:hAnsi="Arial"/>
          <w:color w:val="333333"/>
          <w:sz w:val="22"/>
          <w:szCs w:val="22"/>
        </w:rPr>
        <w:t xml:space="preserve">Identifies obligations, thresholds, deadlines, and entity relationships from regulatory prose. Confidence scoring attached to each extraction.</w:t>
      </w:r>
    </w:p>
    <w:p>
      <w:pPr>
        <w:spacing w:after="160"/>
      </w:pPr>
      <w:r>
        <w:rPr>
          <w:rFonts w:ascii="Arial" w:cs="Arial" w:eastAsia="Arial" w:hAnsi="Arial"/>
          <w:b/>
          <w:bCs/>
          <w:color w:val="1B2A4A"/>
          <w:sz w:val="22"/>
          <w:szCs w:val="22"/>
        </w:rPr>
        <w:t xml:space="preserve">Regex citation parser: </w:t>
      </w:r>
      <w:r>
        <w:rPr>
          <w:rFonts w:ascii="Arial" w:cs="Arial" w:eastAsia="Arial" w:hAnsi="Arial"/>
          <w:color w:val="333333"/>
          <w:sz w:val="22"/>
          <w:szCs w:val="22"/>
        </w:rPr>
        <w:t xml:space="preserve">Extracts CFR citations, section references, and cross-regulation pointers with deterministic accuracy.</w:t>
      </w:r>
    </w:p>
    <w:p>
      <w:pPr>
        <w:spacing w:after="160"/>
      </w:pPr>
      <w:r>
        <w:rPr>
          <w:rFonts w:ascii="Arial" w:cs="Arial" w:eastAsia="Arial" w:hAnsi="Arial"/>
          <w:b/>
          <w:bCs/>
          <w:color w:val="1B2A4A"/>
          <w:sz w:val="22"/>
          <w:szCs w:val="22"/>
        </w:rPr>
        <w:t xml:space="preserve">Hallucination detection: </w:t>
      </w:r>
      <w:r>
        <w:rPr>
          <w:rFonts w:ascii="Arial" w:cs="Arial" w:eastAsia="Arial" w:hAnsi="Arial"/>
          <w:color w:val="333333"/>
          <w:sz w:val="22"/>
          <w:szCs w:val="22"/>
        </w:rPr>
        <w:t xml:space="preserve">Quality gate that compares LLM extractions against source text to filter fabricated obligations. This is architecturally rare—most compliance platforms trust LLM output without verification.</w:t>
      </w:r>
    </w:p>
    <w:p>
      <w:pPr>
        <w:spacing w:after="160"/>
      </w:pPr>
      <w:r>
        <w:rPr>
          <w:rFonts w:ascii="Arial" w:cs="Arial" w:eastAsia="Arial" w:hAnsi="Arial"/>
          <w:b/>
          <w:bCs/>
          <w:color w:val="1B2A4A"/>
          <w:sz w:val="22"/>
          <w:szCs w:val="22"/>
        </w:rPr>
        <w:t xml:space="preserve">Graph emission: </w:t>
      </w:r>
      <w:r>
        <w:rPr>
          <w:rFonts w:ascii="Arial" w:cs="Arial" w:eastAsia="Arial" w:hAnsi="Arial"/>
          <w:color w:val="333333"/>
          <w:sz w:val="22"/>
          <w:szCs w:val="22"/>
        </w:rPr>
        <w:t xml:space="preserve">Validated extractions are emitted as typed events for Neo4j ingestion: Obligation, Control, Evidence, and Mapping nodes with relationship edges.</w:t>
      </w:r>
    </w:p>
    <w:p>
      <w:pPr>
        <w:pStyle w:val="Heading2"/>
      </w:pPr>
      <w:r>
        <w:t xml:space="preserve">5.3 Knowledge Graph (Core IP)</w:t>
      </w:r>
    </w:p>
    <w:p>
      <w:pPr>
        <w:spacing w:after="160"/>
      </w:pPr>
      <w:r>
        <w:rPr>
          <w:rFonts w:ascii="Arial" w:cs="Arial" w:eastAsia="Arial" w:hAnsi="Arial"/>
          <w:color w:val="333333"/>
          <w:sz w:val="22"/>
          <w:szCs w:val="22"/>
        </w:rPr>
        <w:t xml:space="preserve">The Neo4j knowledge graph is the platform’s structural differentiator. Regulations are decomposed into: Regulation → Section → Obligation → Control → Evidence, with cross-jurisdictional MappingEngine links. This enables queries impossible in flat-storage systems: obligation coverage scoring (obligation coverage × control effectiveness × evidence freshness), cross-framework gap analysis, lineage traversal for traceability, and regulatory arbitrage detection.</w:t>
      </w:r>
    </w:p>
    <w:p>
      <w:pPr>
        <w:pBdr>
          <w:bottom w:val="single" w:color="3B7DD8" w:sz="4" w:space="1"/>
        </w:pBdr>
        <w:spacing w:before="300" w:after="300"/>
      </w:pPr>
    </w:p>
    <w:p>
      <w:pPr>
        <w:pStyle w:val="Heading1"/>
      </w:pPr>
      <w:r>
        <w:t xml:space="preserve">6. Multi-Tenancy &amp; Isolation Guarantees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4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Mechanism</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Enforcement Point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Database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PostgreSQL Row-Level Security (RLS) policies on all tenant-scoped tables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migrations/ — enforced at DB engine level</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Application</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TenantContextMiddleware injects tenant_id from API key into request context</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services/shared/middleware/tenant_context.py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API Key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Each key is scoped to exactly one tenant_id; cross-tenant access is structurally impossible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services/shared/api_key_store.py</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Caching</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Redis keys are namespaced by tenant_id to prevent cache poisoning</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services/shared/tenant_rate_limiting.py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Graph</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Neo4j queries include tenant_id in all Cypher WHERE clauses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services/graph/app/routers/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Storage</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S3 object paths include tenant_id prefix for logical isolation</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services/ingestion/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Observability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Structured logs include tenant_id for per-tenant debugging and audit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services/shared/logging.py</w:t>
            </w:r>
          </w:p>
        </w:tc>
      </w:tr>
    </w:tbl>
    <w:p>
      <w:pPr>
        <w:spacing w:after="160"/>
      </w:pPr>
      <w:r>
        <w:rPr>
          <w:rFonts w:ascii="Arial" w:cs="Arial" w:eastAsia="Arial" w:hAnsi="Arial"/>
          <w:color w:val="333333"/>
          <w:sz w:val="22"/>
          <w:szCs w:val="22"/>
        </w:rPr>
        <w:t xml:space="preserve">Environment tiers provide additional isolation: demo (synthetic data only), sandbox (pseudonymized datasets), and production (customer-controlled data with explicit contractual terms).</w:t>
      </w:r>
    </w:p>
    <w:p>
      <w:pPr>
        <w:pBdr>
          <w:bottom w:val="single" w:color="3B7DD8" w:sz="4" w:space="1"/>
        </w:pBdr>
        <w:spacing w:before="300" w:after="300"/>
      </w:pPr>
    </w:p>
    <w:p>
      <w:pPr>
        <w:pStyle w:val="Heading1"/>
      </w:pPr>
      <w:r>
        <w:t xml:space="preserve">7. Cryptographic Evidence Chain</w:t>
      </w:r>
    </w:p>
    <w:p>
      <w:pPr>
        <w:spacing w:after="160"/>
      </w:pPr>
      <w:r>
        <w:rPr>
          <w:rFonts w:ascii="Arial" w:cs="Arial" w:eastAsia="Arial" w:hAnsi="Arial"/>
          <w:color w:val="333333"/>
          <w:sz w:val="22"/>
          <w:szCs w:val="22"/>
        </w:rPr>
        <w:t xml:space="preserve">This is RegEngine’s most differentiated capability. Every compliance fact is wrapped in an EvidenceEnvelopeV3 that provides mathematical proof of data integrity without requiring trust in the platform itself.</w:t>
      </w:r>
    </w:p>
    <w:p>
      <w:pPr>
        <w:pStyle w:val="Heading2"/>
      </w:pPr>
      <w:r>
        <w:t xml:space="preserve">7.1 Chain Mechanics</w:t>
      </w:r>
    </w:p>
    <w:p>
      <w:pPr>
        <w:spacing w:after="160"/>
      </w:pPr>
      <w:r>
        <w:rPr>
          <w:rFonts w:ascii="Arial" w:cs="Arial" w:eastAsia="Arial" w:hAnsi="Arial"/>
          <w:b/>
          <w:bCs/>
          <w:color w:val="1B2A4A"/>
          <w:sz w:val="22"/>
          <w:szCs w:val="22"/>
        </w:rPr>
        <w:t xml:space="preserve">SHA-256 Hash Chain: </w:t>
      </w:r>
      <w:r>
        <w:rPr>
          <w:rFonts w:ascii="Arial" w:cs="Arial" w:eastAsia="Arial" w:hAnsi="Arial"/>
          <w:color w:val="333333"/>
          <w:sz w:val="22"/>
          <w:szCs w:val="22"/>
        </w:rPr>
        <w:t xml:space="preserve">Each evidence envelope contains the SHA-256 hash of its payload plus the hash of the previous envelope, forming an immutable append-only chain. Any modification to a historical record breaks the chain.</w:t>
      </w:r>
    </w:p>
    <w:p>
      <w:pPr>
        <w:spacing w:after="160"/>
      </w:pPr>
      <w:r>
        <w:rPr>
          <w:rFonts w:ascii="Arial" w:cs="Arial" w:eastAsia="Arial" w:hAnsi="Arial"/>
          <w:b/>
          <w:bCs/>
          <w:color w:val="1B2A4A"/>
          <w:sz w:val="22"/>
          <w:szCs w:val="22"/>
        </w:rPr>
        <w:t xml:space="preserve">Merkle Tree Proofs: </w:t>
      </w:r>
      <w:r>
        <w:rPr>
          <w:rFonts w:ascii="Arial" w:cs="Arial" w:eastAsia="Arial" w:hAnsi="Arial"/>
          <w:color w:val="333333"/>
          <w:sz w:val="22"/>
          <w:szCs w:val="22"/>
        </w:rPr>
        <w:t xml:space="preserve">Batches of evidence are organized into Merkle trees, enabling efficient verification of individual records without downloading the entire chain.</w:t>
      </w:r>
    </w:p>
    <w:p>
      <w:pPr>
        <w:spacing w:after="160"/>
      </w:pPr>
      <w:r>
        <w:rPr>
          <w:rFonts w:ascii="Arial" w:cs="Arial" w:eastAsia="Arial" w:hAnsi="Arial"/>
          <w:b/>
          <w:bCs/>
          <w:color w:val="1B2A4A"/>
          <w:sz w:val="22"/>
          <w:szCs w:val="22"/>
        </w:rPr>
        <w:t xml:space="preserve">Independent Verification: </w:t>
      </w:r>
      <w:r>
        <w:rPr>
          <w:rFonts w:ascii="Arial" w:cs="Arial" w:eastAsia="Arial" w:hAnsi="Arial"/>
          <w:color w:val="333333"/>
          <w:sz w:val="22"/>
          <w:szCs w:val="22"/>
        </w:rPr>
        <w:t xml:space="preserve">The verification SDK (tools/verification_sdk/verify_snapshot_chain.py) is a standalone Python script that validates the entire chain without accessing the RegEngine backend. Customers can hand a regulator a JSON export and this script—the regulator can mathematically prove nothing was tampered with.</w:t>
      </w:r>
    </w:p>
    <w:p>
      <w:pPr>
        <w:pStyle w:val="Heading2"/>
      </w:pPr>
      <w:r>
        <w:t xml:space="preserve">7.2 Why This Matters</w:t>
      </w:r>
    </w:p>
    <w:p>
      <w:pPr>
        <w:spacing w:after="160"/>
      </w:pPr>
      <w:r>
        <w:rPr>
          <w:rFonts w:ascii="Arial" w:cs="Arial" w:eastAsia="Arial" w:hAnsi="Arial"/>
          <w:color w:val="333333"/>
          <w:sz w:val="22"/>
          <w:szCs w:val="22"/>
        </w:rPr>
        <w:t xml:space="preserve">Traditional GRC tools operate on process trust: “we followed the checklist, trust us.” RegEngine provides math trust: cryptographic proof that compliance records haven’t been altered since creation. In regulated industries where audit defensibility is existential (FDA, NRC, SEC), this is a fundamentally different value proposition. Most competitors do not attempt this at all.</w:t>
      </w:r>
    </w:p>
    <w:p>
      <w:pPr>
        <w:pBdr>
          <w:bottom w:val="single" w:color="3B7DD8" w:sz="4" w:space="1"/>
        </w:pBdr>
        <w:spacing w:before="300" w:after="300"/>
      </w:pPr>
    </w:p>
    <w:p>
      <w:pPr>
        <w:pStyle w:val="Heading1"/>
      </w:pPr>
      <w:r>
        <w:t xml:space="preserve">8. Compliance Readiness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400"/>
        <w:gridCol w:w="17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5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Data Encryption</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TLS 1.2+ in transit, AES-256 at rest (AWS KMS)</w:t>
            </w:r>
          </w:p>
        </w:tc>
        <w:tc>
          <w:tcPr>
            <w:tcW w:type="dxa" w:w="1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PASS — Verified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Access Control</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RBAC with scoped API keys, SSO/OIDC support</w:t>
            </w:r>
          </w:p>
        </w:tc>
        <w:tc>
          <w:tcPr>
            <w:tcW w:type="dxa" w:w="1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PASS — Verified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Audit Logging</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Structured JSON logs: auth events, API usage, data access</w:t>
            </w:r>
          </w:p>
        </w:tc>
        <w:tc>
          <w:tcPr>
            <w:tcW w:type="dxa" w:w="1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PASS — Verified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Data Residency</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Self-hostable deployment; customer controls data location</w:t>
            </w:r>
          </w:p>
        </w:tc>
        <w:tc>
          <w:tcPr>
            <w:tcW w:type="dxa" w:w="1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PASS — Verified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Backup &amp; Recovery</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PostgreSQL WAL archiving; S3 versioned storage</w:t>
            </w:r>
          </w:p>
        </w:tc>
        <w:tc>
          <w:tcPr>
            <w:tcW w:type="dxa" w:w="1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PASS — Verified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Incident Response</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Alert rules in Prometheus + Grafana dashboards</w:t>
            </w:r>
          </w:p>
        </w:tc>
        <w:tc>
          <w:tcPr>
            <w:tcW w:type="dxa" w:w="1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PASS — Verified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Penetration Testing</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Third-party assessment planned</w:t>
            </w:r>
          </w:p>
        </w:tc>
        <w:tc>
          <w:tcPr>
            <w:tcW w:type="dxa" w:w="17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F57F17"/>
                <w:sz w:val="20"/>
                <w:szCs w:val="20"/>
              </w:rPr>
              <w:t xml:space="preserve">In Progress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SOC 2 Type II</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Controls mapped; attestation in progress</w:t>
            </w:r>
          </w:p>
        </w:tc>
        <w:tc>
          <w:tcPr>
            <w:tcW w:type="dxa" w:w="17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F57F17"/>
                <w:sz w:val="20"/>
                <w:szCs w:val="20"/>
              </w:rPr>
              <w:t xml:space="preserve">In Progress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ISO 27001</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Roadmap defined; target Q4 2026</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Planned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HIPAA</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Audit-compliant logging; BAA-ready architecture</w:t>
            </w:r>
          </w:p>
        </w:tc>
        <w:tc>
          <w:tcPr>
            <w:tcW w:type="dxa" w:w="1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PASS — Architecture Ready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FDA 21 CFR Part 11</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Electronic records/signatures; audit trails; SHA-256 integrity</w:t>
            </w:r>
          </w:p>
        </w:tc>
        <w:tc>
          <w:tcPr>
            <w:tcW w:type="dxa" w:w="1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PASS — Verified</w:t>
            </w:r>
          </w:p>
        </w:tc>
      </w:tr>
    </w:tbl>
    <w:p>
      <w:pPr>
        <w:pBdr>
          <w:bottom w:val="single" w:color="3B7DD8" w:sz="4" w:space="1"/>
        </w:pBdr>
        <w:spacing w:before="300" w:after="300"/>
      </w:pPr>
    </w:p>
    <w:p>
      <w:pPr>
        <w:pStyle w:val="Heading1"/>
      </w:pPr>
      <w:r>
        <w:t xml:space="preserve">9. Vertical Expansion &amp; Compiler Architecture</w:t>
      </w:r>
    </w:p>
    <w:p>
      <w:pPr>
        <w:spacing w:after="160"/>
      </w:pPr>
      <w:r>
        <w:rPr>
          <w:rFonts w:ascii="Arial" w:cs="Arial" w:eastAsia="Arial" w:hAnsi="Arial"/>
          <w:color w:val="333333"/>
          <w:sz w:val="22"/>
          <w:szCs w:val="22"/>
        </w:rPr>
        <w:t xml:space="preserve">RegEngine’s vertical compiler (kernel/control/compiler.py) is architecturally rare in the GRC space. Instead of hand-coding each regulatory vertical as a separate engineering project, the compiler generates runtime code from declarative YAML schemas.</w:t>
      </w:r>
    </w:p>
    <w:p>
      <w:pPr>
        <w:pStyle w:val="Heading2"/>
      </w:pPr>
      <w:r>
        <w:t xml:space="preserve">9.1 What the Compiler Generates</w:t>
      </w:r>
    </w:p>
    <w:p>
      <w:pPr>
        <w:spacing w:after="160"/>
      </w:pPr>
      <w:r>
        <w:rPr>
          <w:rFonts w:ascii="Arial" w:cs="Arial" w:eastAsia="Arial" w:hAnsi="Arial"/>
          <w:b/>
          <w:bCs/>
          <w:color w:val="1B2A4A"/>
          <w:sz w:val="22"/>
          <w:szCs w:val="22"/>
        </w:rPr>
        <w:t xml:space="preserve">From a single YAML schema: </w:t>
      </w:r>
      <w:r>
        <w:rPr>
          <w:rFonts w:ascii="Arial" w:cs="Arial" w:eastAsia="Arial" w:hAnsi="Arial"/>
          <w:color w:val="333333"/>
          <w:sz w:val="22"/>
          <w:szCs w:val="22"/>
        </w:rPr>
        <w:t xml:space="preserve">FastAPI route handlers, Pydantic request/response models, Neo4j graph schemas (node types, relationship types, constraints), test scaffolds, and OpenAPI documentation.</w:t>
      </w:r>
    </w:p>
    <w:p>
      <w:pPr>
        <w:pStyle w:val="Heading2"/>
      </w:pPr>
      <w:r>
        <w:t xml:space="preserve">9.2 Marginal Cost Advantage</w:t>
      </w:r>
    </w:p>
    <w:p>
      <w:pPr>
        <w:spacing w:after="160"/>
      </w:pPr>
      <w:r>
        <w:rPr>
          <w:rFonts w:ascii="Arial" w:cs="Arial" w:eastAsia="Arial" w:hAnsi="Arial"/>
          <w:color w:val="333333"/>
          <w:sz w:val="22"/>
          <w:szCs w:val="22"/>
        </w:rPr>
        <w:t xml:space="preserve">In traditional GRC platforms, each new regulation requires 3–6 months of engineering. With the compiler, a new vertical requires: (1) a YAML schema defining obligations, controls, and evidence types; (2) optional custom validation rules; (3) optional source adapters for regulation-specific APIs. The platform code, graph schema, API surface, and tests are generated. This reduces marginal vertical cost from months to weeks.</w:t>
      </w:r>
    </w:p>
    <w:p>
      <w:pPr>
        <w:pStyle w:val="Heading2"/>
      </w:pPr>
      <w:r>
        <w:t xml:space="preserve">9.3 Current Vertical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960"/>
      </w:tblGrid>
      <w:t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Vertical</w:t>
            </w:r>
          </w:p>
        </w:tc>
        <w:tc>
          <w:tcPr>
            <w:tcW w:type="dxa" w:w="3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Regulations</w:t>
            </w:r>
          </w:p>
        </w:tc>
        <w:tc>
          <w:tcPr>
            <w:tcW w:type="dxa" w:w="2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Maturity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FSMA (Food Safety)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21 CFR Parts 1, 11, 117, 204</w:t>
            </w:r>
          </w:p>
        </w:tc>
        <w:tc>
          <w:tcPr>
            <w:tcW w:type="dxa" w:w="2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PASS — Production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Nuclear (NRC)</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10 CFR (NRC)</w:t>
            </w:r>
          </w:p>
        </w:tc>
        <w:tc>
          <w:tcPr>
            <w:tcW w:type="dxa" w:w="29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F57F17"/>
                <w:sz w:val="20"/>
                <w:szCs w:val="20"/>
              </w:rPr>
              <w:t xml:space="preserve">In Progress — 6-Sprint Roadmap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Energy (NERC CIP)</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NERC CIP-013</w:t>
            </w:r>
          </w:p>
        </w:tc>
        <w:tc>
          <w:tcPr>
            <w:tcW w:type="dxa" w:w="29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F57F17"/>
                <w:sz w:val="20"/>
                <w:szCs w:val="20"/>
              </w:rPr>
              <w:t xml:space="preserve">In Progress — ML Models Loading</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Finance (SEC/SOX)</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SEC 17 CFR, SOX 404</w:t>
            </w:r>
          </w:p>
        </w:tc>
        <w:tc>
          <w:tcPr>
            <w:tcW w:type="dxa" w:w="29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F57F17"/>
                <w:sz w:val="20"/>
                <w:szCs w:val="20"/>
              </w:rPr>
              <w:t xml:space="preserve">In Progress — Schema Defined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Technology (SOC 2)</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SOC 2, ISO 27001</w:t>
            </w:r>
          </w:p>
        </w:tc>
        <w:tc>
          <w:tcPr>
            <w:tcW w:type="dxa" w:w="29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F57F17"/>
                <w:sz w:val="20"/>
                <w:szCs w:val="20"/>
              </w:rPr>
              <w:t xml:space="preserve">In Progress — Control Mapping</w:t>
            </w:r>
          </w:p>
        </w:tc>
      </w:tr>
    </w:tbl>
    <w:p>
      <w:pPr>
        <w:pBdr>
          <w:bottom w:val="single" w:color="3B7DD8" w:sz="4" w:space="1"/>
        </w:pBdr>
        <w:spacing w:before="300" w:after="300"/>
      </w:pPr>
    </w:p>
    <w:p>
      <w:pPr>
        <w:pStyle w:val="Heading1"/>
      </w:pPr>
      <w:r>
        <w:t xml:space="preserve">10. Production Maturity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4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Assessment</w:t>
            </w:r>
          </w:p>
        </w:tc>
        <w:tc>
          <w:tcPr>
            <w:tcW w:type="dxa" w:w="2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Evidence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CI/CD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GitHub Container Registry (ghcr.io) with SHA-pinned image tags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docker-compose.prod.yml image references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Observability</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OpenTelemetry + Jaeger tracing, Prometheus metrics, Grafana dashboards</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infra/monitoring/, otel-collector-config.yaml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Alerting</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Prometheus alert rules for latency, error rates, Kafka lag</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infra/monitoring/alert_rules.yml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Infrastructure as Code</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Terraform modules for VPC, EKS, Kafka, Neo4j</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infra/modules/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Kubernetes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Kustomize overlays for production; Istio service mesh with compliance canary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infra/k8s/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Secret Management</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Environment variables in production; Lambda rotation for credentials</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infra/lambda/secret_rotation/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Schema Governance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Avro schemas with Schema Registry; versioned event contracts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schemas/, data-schemas/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Non-Functional Requirements</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SLOs defined in YAML (latency, availability, error budgets)</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nfr/fsma_slos.yaml</w:t>
            </w:r>
          </w:p>
        </w:tc>
      </w:tr>
    </w:tbl>
    <w:p>
      <w:pPr>
        <w:pBdr>
          <w:bottom w:val="single" w:color="3B7DD8" w:sz="4" w:space="1"/>
        </w:pBdr>
        <w:spacing w:before="300" w:after="300"/>
      </w:pPr>
    </w:p>
    <w:p>
      <w:pPr>
        <w:pStyle w:val="Heading1"/>
      </w:pPr>
      <w:r>
        <w:t xml:space="preserve">11. Known Limitations &amp; Roadmap</w:t>
      </w:r>
    </w:p>
    <w:p>
      <w:pPr>
        <w:spacing w:after="160"/>
      </w:pPr>
      <w:r>
        <w:rPr>
          <w:rFonts w:ascii="Arial" w:cs="Arial" w:eastAsia="Arial" w:hAnsi="Arial"/>
          <w:color w:val="333333"/>
          <w:sz w:val="22"/>
          <w:szCs w:val="22"/>
        </w:rPr>
        <w:t xml:space="preserve">Transparency is a feature, not a vulnerability. Below are the platform’s current limitations and the roadmap to address them.</w:t>
      </w:r>
    </w:p>
    <w:p>
      <w:pPr>
        <w:pStyle w:val="Heading2"/>
      </w:pPr>
      <w:r>
        <w:t xml:space="preserve">11.1 Current Limitations</w:t>
      </w:r>
    </w:p>
    <w:p>
      <w:pPr>
        <w:spacing w:after="160"/>
      </w:pPr>
      <w:r>
        <w:rPr>
          <w:rFonts w:ascii="Arial" w:cs="Arial" w:eastAsia="Arial" w:hAnsi="Arial"/>
          <w:b/>
          <w:bCs/>
          <w:color w:val="1B2A4A"/>
          <w:sz w:val="22"/>
          <w:szCs w:val="22"/>
        </w:rPr>
        <w:t xml:space="preserve">Vertical depth vs. breadth: </w:t>
      </w:r>
      <w:r>
        <w:rPr>
          <w:rFonts w:ascii="Arial" w:cs="Arial" w:eastAsia="Arial" w:hAnsi="Arial"/>
          <w:color w:val="333333"/>
          <w:sz w:val="22"/>
          <w:szCs w:val="22"/>
        </w:rPr>
        <w:t xml:space="preserve">FSMA is the only production-grade vertical. Nuclear, Energy, Finance, and Tech verticals are in active development with schema definitions and partial implementations. Sales materials reference more verticals than are production-ready.</w:t>
      </w:r>
    </w:p>
    <w:p>
      <w:pPr>
        <w:spacing w:after="160"/>
      </w:pPr>
      <w:r>
        <w:rPr>
          <w:rFonts w:ascii="Arial" w:cs="Arial" w:eastAsia="Arial" w:hAnsi="Arial"/>
          <w:b/>
          <w:bCs/>
          <w:color w:val="1B2A4A"/>
          <w:sz w:val="22"/>
          <w:szCs w:val="22"/>
        </w:rPr>
        <w:t xml:space="preserve">Third-party security attestation: </w:t>
      </w:r>
      <w:r>
        <w:rPr>
          <w:rFonts w:ascii="Arial" w:cs="Arial" w:eastAsia="Arial" w:hAnsi="Arial"/>
          <w:color w:val="333333"/>
          <w:sz w:val="22"/>
          <w:szCs w:val="22"/>
        </w:rPr>
        <w:t xml:space="preserve">SOC 2 Type II and ISO 27001 certifications are in progress but not yet complete. The security architecture supports these certifications; formal attestation is a process dependency, not a technical one.</w:t>
      </w:r>
    </w:p>
    <w:p>
      <w:pPr>
        <w:spacing w:after="160"/>
      </w:pPr>
      <w:r>
        <w:rPr>
          <w:rFonts w:ascii="Arial" w:cs="Arial" w:eastAsia="Arial" w:hAnsi="Arial"/>
          <w:b/>
          <w:bCs/>
          <w:color w:val="1B2A4A"/>
          <w:sz w:val="22"/>
          <w:szCs w:val="22"/>
        </w:rPr>
        <w:t xml:space="preserve">NLP model dependency: </w:t>
      </w:r>
      <w:r>
        <w:rPr>
          <w:rFonts w:ascii="Arial" w:cs="Arial" w:eastAsia="Arial" w:hAnsi="Arial"/>
          <w:color w:val="333333"/>
          <w:sz w:val="22"/>
          <w:szCs w:val="22"/>
        </w:rPr>
        <w:t xml:space="preserve">The extraction pipeline currently relies on Groq-hosted LLMs. A model provider outage would degrade extraction throughput (not data integrity—the hash chain is independent of extraction).</w:t>
      </w:r>
    </w:p>
    <w:p>
      <w:pPr>
        <w:spacing w:after="160"/>
      </w:pPr>
      <w:r>
        <w:rPr>
          <w:rFonts w:ascii="Arial" w:cs="Arial" w:eastAsia="Arial" w:hAnsi="Arial"/>
          <w:b/>
          <w:bCs/>
          <w:color w:val="1B2A4A"/>
          <w:sz w:val="22"/>
          <w:szCs w:val="22"/>
        </w:rPr>
        <w:t xml:space="preserve">Graph query performance: </w:t>
      </w:r>
      <w:r>
        <w:rPr>
          <w:rFonts w:ascii="Arial" w:cs="Arial" w:eastAsia="Arial" w:hAnsi="Arial"/>
          <w:color w:val="333333"/>
          <w:sz w:val="22"/>
          <w:szCs w:val="22"/>
        </w:rPr>
        <w:t xml:space="preserve">Complex cross-jurisdictional Cypher queries on very large graphs (&gt;10M nodes) have not been load-tested at scale. Neo4j sharding strategy is defined but not yet deployed.</w:t>
      </w:r>
    </w:p>
    <w:p>
      <w:pPr>
        <w:pStyle w:val="Heading2"/>
      </w:pPr>
      <w:r>
        <w:t xml:space="preserve">11.2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7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Q1 2026</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FSMA production GA; Nuclear vertical sprint completion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Q2 2026</w:t>
            </w:r>
          </w:p>
        </w:tc>
        <w:tc>
          <w:tcPr>
            <w:tcW w:type="dxa" w:w="7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SOC 2 Type I attestation; third-party penetration test; Energy vertical GA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Q3 2026</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Finance vertical GA; Neo4j sharding for large-scale graphs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Q4 2026</w:t>
            </w:r>
          </w:p>
        </w:tc>
        <w:tc>
          <w:tcPr>
            <w:tcW w:type="dxa" w:w="7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ISO 27001 certification; SOC 2 Type II; self-hosted Kubernetes operator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2027</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HIPAA BAA offering; EU regulatory verticals (MiFID II, GDPR Article 35)</w:t>
            </w:r>
          </w:p>
        </w:tc>
      </w:tr>
    </w:tbl>
    <w:p>
      <w:pPr>
        <w:pBdr>
          <w:bottom w:val="single" w:color="3B7DD8" w:sz="4" w:space="1"/>
        </w:pBdr>
        <w:spacing w:before="300" w:after="300"/>
      </w:pPr>
    </w:p>
    <w:p>
      <w:pPr>
        <w:spacing w:before="600" w:after="200"/>
        <w:jc w:val="center"/>
      </w:pPr>
      <w:r>
        <w:rPr>
          <w:rFonts w:ascii="Arial" w:cs="Arial" w:eastAsia="Arial" w:hAnsi="Arial"/>
          <w:i/>
          <w:iCs/>
          <w:color w:val="555555"/>
          <w:sz w:val="24"/>
          <w:szCs w:val="24"/>
        </w:rPr>
        <w:t xml:space="preserve">— End of Document —</w:t>
      </w:r>
    </w:p>
    <w:p>
      <w:pPr>
        <w:spacing w:after="100"/>
        <w:jc w:val="center"/>
      </w:pPr>
      <w:r>
        <w:rPr>
          <w:rFonts w:ascii="Arial" w:cs="Arial" w:eastAsia="Arial" w:hAnsi="Arial"/>
          <w:color w:val="555555"/>
          <w:sz w:val="20"/>
          <w:szCs w:val="20"/>
        </w:rPr>
        <w:t xml:space="preserve">For questions regarding this document, contact: security@regengine.com</w:t>
      </w:r>
    </w:p>
    <w:sectPr>
      <w:headerReference w:type="default" r:id="rId8"/>
      <w:footerReference w:type="default" r:id="rId9"/>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6"/>
        <w:szCs w:val="16"/>
      </w:rPr>
      <w:t xml:space="preserve">Page </w:t>
    </w:r>
    <w:r>
      <w:rPr>
        <w:rFonts w:ascii="Arial" w:cs="Arial" w:eastAsia="Arial" w:hAnsi="Arial"/>
        <w:color w:val="555555"/>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6"/>
        <w:szCs w:val="16"/>
      </w:rPr>
      <w:t xml:space="preserve">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B7DD8" w:sz="2" w:space="4"/>
      </w:pBdr>
      <w:tabs>
        <w:tab w:val="right" w:pos="9026"/>
      </w:tabs>
    </w:pPr>
    <w:r>
      <w:rPr>
        <w:rFonts w:ascii="Arial" w:cs="Arial" w:eastAsia="Arial" w:hAnsi="Arial"/>
        <w:color w:val="555555"/>
        <w:sz w:val="16"/>
        <w:szCs w:val="16"/>
      </w:rPr>
      <w:t xml:space="preserve">RegEngine  •  Technical Due Diligence Defense</w:t>
    </w:r>
    <w:r>
      <w:rPr>
        <w:rFonts w:ascii="Arial" w:cs="Arial" w:eastAsia="Arial" w:hAnsi="Arial"/>
        <w:b/>
        <w:bCs/>
        <w:color w:val="C0392B"/>
        <w:sz w:val="16"/>
        <w:szCs w:val="16"/>
      </w:rPr>
      <w:t xml:space="preserve">	CONFIDENTIAL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B7DD8" w:sz="2" w:space="4"/>
      </w:pBdr>
      <w:tabs>
        <w:tab w:val="right" w:pos="9026"/>
      </w:tabs>
    </w:pPr>
    <w:r>
      <w:rPr>
        <w:rFonts w:ascii="Arial" w:cs="Arial" w:eastAsia="Arial" w:hAnsi="Arial"/>
        <w:color w:val="555555"/>
        <w:sz w:val="16"/>
        <w:szCs w:val="16"/>
      </w:rPr>
      <w:t xml:space="preserve">RegEngine  •  Technical Due Diligence Defense</w:t>
    </w:r>
    <w:r>
      <w:rPr>
        <w:rFonts w:ascii="Arial" w:cs="Arial" w:eastAsia="Arial" w:hAnsi="Arial"/>
        <w:b/>
        <w:bCs/>
        <w:color w:val="C0392B"/>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5090"/>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B7DD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2026-02-21T07:31:33.495Z</dcterms:created>
  <dcterms:modified xsi:type="dcterms:W3CDTF">2026-02-21T07:31:33.495Z</dcterms:modified>
</cp:coreProperties>
</file>

<file path=docProps/custom.xml><?xml version="1.0" encoding="utf-8"?>
<Properties xmlns="http://schemas.openxmlformats.org/officeDocument/2006/custom-properties" xmlns:vt="http://schemas.openxmlformats.org/officeDocument/2006/docPropsVTypes"/>
</file>