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Reg</w:t>
      </w:r>
      <w:r>
        <w:rPr>
          <w:rFonts w:ascii="Arial" w:cs="Arial" w:eastAsia="Arial" w:hAnsi="Arial"/>
          <w:b/>
          <w:bCs/>
          <w:color w:val="047857"/>
          <w:sz w:val="64"/>
          <w:szCs w:val="64"/>
        </w:rPr>
        <w:t xml:space="preserve">Engine</w:t>
      </w:r>
    </w:p>
    <w:p>
      <w:pPr>
        <w:spacing w:after="60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Investor Outreach &amp; Fundraising Memo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VC &amp; PE Target List  |  Competitor Analysis  |  Draft Outreach Emails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>Prepared: April 14, 2026  |  Updated: April 30,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Christopher Sellers, Founder</w:t>
      </w:r>
    </w:p>
    <w:p>
      <w:pPr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1@christophersellers.com  |  regengine.co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>RegEngine is the API-first traceability infrastructure platform for FSMA 204 food compliance. The platform now combines a deep FSMA rules engine, tenant-scoped audit evidence, EPCIS 2.0 and FDA export paths, and an Inflow Workbench that preflights messy supplier data before it can become production evidence.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>RegEngine now positions as a traceability data operating system: data is preflighted, scored, fixed, and only then committed as trusted FSMA evidence. The July 2028 hard deadline creates a forced-compliance wave with zero optionality for the 188,000+ entities on the FDA’s Food Traceability List.</w:t>
      </w:r>
    </w:p>
    <w:p>
      <w:r>
        <w:rPr>
          <w:b/>
        </w:rPr>
        <w:t>April 30, 2026 Product De-Risking Update</w:t>
      </w:r>
    </w:p>
    <w:p>
      <w:r>
        <w:rPr>
          <w:b w:val="0"/>
        </w:rPr>
        <w:t>RegEngine has shipped the first real operational loop from the product spec: Preflight Mode, Commit Gate, Fix Queue, Scenario Library, and dashboard Readiness Score surfacing.</w:t>
      </w:r>
    </w:p>
    <w:p>
      <w:r>
        <w:rPr>
          <w:b w:val="0"/>
        </w:rPr>
        <w:t>Commercial significance: the product can now be demoed as a traceability data operating system, not just a compliance rules engine. A design partner can upload messy CSV data, see readiness issues, fix them, and commit only validated records as trusted evidence.</w:t>
      </w:r>
    </w:p>
    <w:p>
      <w:r>
        <w:rPr>
          <w:b w:val="0"/>
        </w:rPr>
        <w:t>Operational significance: the workbench path now has Postgres-backed persistence with tenant scoping and RLS in migration v073. File-backed storage remains a local/demo fallback and should not be used for live production evidence.</w:t>
      </w:r>
    </w:p>
    <w:p>
      <w:r>
        <w:rPr>
          <w:b w:val="0"/>
        </w:rPr>
        <w:t>Next proof point: run 2-3 design partners through production-like supplier data and measure readiness-score improvement plus commit-gate blocks before production_evidence.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8"/>
                <w:szCs w:val="28"/>
              </w:rPr>
              <w:t xml:space="preserve">$570M/yr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TAM (FDA est.)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8"/>
                <w:szCs w:val="28"/>
              </w:rPr>
              <w:t xml:space="preserve">188,000+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Affected Entities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8"/>
                <w:szCs w:val="28"/>
              </w:rPr>
              <w:t xml:space="preserve">July 2028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Inflow Workbench | Preflight + Fix Queue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Competitor Analysis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FSMA 204 compliance market is fragmented across legacy, UI-first enterprise vendors with opaque pricing and 3–6 month deployment cycles. No current player occupies the API-first, developer-experience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200"/>
        <w:gridCol w:w="1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API-First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Trustwell (FoodLogiQ)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Opaque pricing, slow deploy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TraceGains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Complex supplier onboarding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iFoodDS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Enterprise-only focus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SafetyChain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3-6 months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Legacy ERP-era UX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FoodReady AI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SMB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Limited CTE coverage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RegEngine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API-first SaaS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$199-2,500/mo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Minutes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Pre-revenue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RegEngine’s Differentiation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API-first architecture: 50+ REST endpoints with OpenAPI docs. Developers integrate in hours, not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Transparent pricing: $199/mo SMB → $2,500/mo Enterprise. Free tier for farms. No procurement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Multi-format ingestion: Webhook, CSV, XLSX, EDI X12, EPCIS 2.0, QR/GS1, manual entry. Meets companies where they 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CTE coverage: All 7 FSMA 204 Critical Tracking Events in production with complete KDE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24-second FDA response: Sortable spreadsheet export generated instantly vs. the 24-hour mandate.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Cryptographic audit trail: SHA-256 hash chain with Merkle verification. Tamper-evident by design.</w:t>
      </w:r>
    </w:p>
    <w:p>
      <w:r>
        <w:br w:type="page"/>
      </w:r>
    </w:p>
    <w:p>
      <w:pPr>
        <w:pStyle w:val="Heading1"/>
      </w:pPr>
      <w:r>
        <w:t xml:space="preserve">3. VC &amp; PE Target List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firms are actively investing in food/ag technology, regulatory technology, or compliance infrastructure at the pre-seed through Series A stage. Accelerators, incubators, and firms that explicitly require revenue traction have been excluded.</w:t>
      </w:r>
    </w:p>
    <w:p>
      <w:pPr>
        <w:pStyle w:val="Heading2"/>
      </w:pPr>
      <w:r>
        <w:t xml:space="preserve">Tier 1: Food &amp; Agriculture Technology Specialists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 Via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S2G Investments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Growth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$1M - $25M+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Chicago, 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crk8bv1yfk1dk84ytrl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s2ginvestments.com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AgFunder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 - 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$500K - $5M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info@agfunder.com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mi9tuoyff0nyewnh-rc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agfunder.com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Acre Venture Partners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$5.6M avg Seed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Santa Monica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Lucas Mann,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werqrtnwznwhsyr9kgk6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acre.vc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Better Food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$250K - $2M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Menlo Park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info@betterfoodventures.com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8cg_o6koep1c7c7eo2f0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betterfoodventures.com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Congruent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$1M - $5M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0caa29n7r2keelc21irs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congruentvc.com</w:t>
              </w:r>
            </w:hyperlink>
          </w:p>
        </w:tc>
      </w:tr>
    </w:tbl>
    <w:p>
      <w:pPr>
        <w:spacing w:before="300"/>
      </w:pPr>
    </w:p>
    <w:p>
      <w:pPr>
        <w:pStyle w:val="Heading2"/>
      </w:pPr>
      <w:r>
        <w:t xml:space="preserve">Tier 2: RegTech &amp; Compliance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 Via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QED Investors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$2M - $50M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Alexandria, VA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Amias Gerety (RegTech)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02swmdoohogvjbzxopr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qedinvestors.com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Anthemis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£1M - £10M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London / NYC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7upn_7tp2mx9em1vslc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anthemis.com</w:t>
              </w:r>
            </w:hyperlink>
          </w:p>
        </w:tc>
      </w:tr>
    </w:tbl>
    <w:p>
      <w:pPr>
        <w:spacing w:before="300"/>
      </w:pPr>
    </w:p>
    <w:p>
      <w:pPr>
        <w:pStyle w:val="Heading2"/>
      </w:pPr>
      <w:r>
        <w:t xml:space="preserve">Tier 3: Generalist Seed-Stage (API/Infra/Vertical 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14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 Via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Craft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$4.8M avg Seed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David Sacks,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ggowbwgwoyibcnx89qd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craftventures.com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Initialized Capital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 - 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$250K - $500K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Charles Hudson,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xjhhdbed-uatnnenqsvw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initialized.com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Precursor Ventures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$250K - $500K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Charles Hudson, GP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d93dla9f3euhhnkwxh86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precursorvc.com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Lerer Hippeau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$500K - $2M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York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dtpviww79x0ukpdhbmvk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lererhippeau.com</w:t>
              </w:r>
            </w:hyperlink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Bessemer Venture Partners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Seed - Growth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$1M - $100M+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Redwood City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Atlas Portal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i1gsyahszzxzc4nyff3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bvp.com/atlas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4. Investor Thesis Alignment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firm was selected based on explicit thesis alignment with RegEngine’s positioning: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S2G Investments: </w:t>
      </w:r>
      <w:r>
        <w:rPr>
          <w:rFonts w:ascii="Arial" w:cs="Arial" w:eastAsia="Arial" w:hAnsi="Arial"/>
          <w:sz w:val="22"/>
          <w:szCs w:val="22"/>
        </w:rPr>
        <w:t xml:space="preserve">Largest dedicated food/ag fund. Invested in SafeTraces (food safety). Food safety technology is a named thesis area. Multi-stage allows follow-on.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AgFunder: </w:t>
      </w:r>
      <w:r>
        <w:rPr>
          <w:rFonts w:ascii="Arial" w:cs="Arial" w:eastAsia="Arial" w:hAnsi="Arial"/>
          <w:sz w:val="22"/>
          <w:szCs w:val="22"/>
        </w:rPr>
        <w:t xml:space="preserve">$170M AUM focused on digitizing food systems. Invests pre-seed to Series A with $500K-$5M checks. Published supply chain tech landscape research.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Acre Venture Partners: </w:t>
      </w:r>
      <w:r>
        <w:rPr>
          <w:rFonts w:ascii="Arial" w:cs="Arial" w:eastAsia="Arial" w:hAnsi="Arial"/>
          <w:sz w:val="22"/>
          <w:szCs w:val="22"/>
        </w:rPr>
        <w:t xml:space="preserve">$140M Fund III targeting AI/ML in agriculture. Sam Kass (former White House food policy advisor) is Partner — regulatory credibility built 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 Food Ventures: </w:t>
      </w:r>
      <w:r>
        <w:rPr>
          <w:rFonts w:ascii="Arial" w:cs="Arial" w:eastAsia="Arial" w:hAnsi="Arial"/>
          <w:sz w:val="22"/>
          <w:szCs w:val="22"/>
        </w:rPr>
        <w:t xml:space="preserve">Thesis explicitly covers supply chain transparency and food system digitization. Seed-focused. Published the Food Supply Chain Tech Landscape analysis.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QED Investors: </w:t>
      </w:r>
      <w:r>
        <w:rPr>
          <w:rFonts w:ascii="Arial" w:cs="Arial" w:eastAsia="Arial" w:hAnsi="Arial"/>
          <w:sz w:val="22"/>
          <w:szCs w:val="22"/>
        </w:rPr>
        <w:t xml:space="preserve">Dedicated RegTech partner (Amias Gerety). Compliance automation is a named investment category. Data-driven, unit-economics approach fits API-usage model.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Craft Ventures: </w:t>
      </w:r>
      <w:r>
        <w:rPr>
          <w:rFonts w:ascii="Arial" w:cs="Arial" w:eastAsia="Arial" w:hAnsi="Arial"/>
          <w:sz w:val="22"/>
          <w:szCs w:val="22"/>
        </w:rPr>
        <w:t xml:space="preserve">$1.1B Fund III focused on SaaS and marketplaces. Dedicated regulatory affairs team (Chris Massey). Developer-first infra is core thesis.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Bessemer: </w:t>
      </w:r>
      <w:r>
        <w:rPr>
          <w:rFonts w:ascii="Arial" w:cs="Arial" w:eastAsia="Arial" w:hAnsi="Arial"/>
          <w:sz w:val="22"/>
          <w:szCs w:val="22"/>
        </w:rPr>
        <w:t xml:space="preserve">Invested in Lumachain (food supply chain tracking, farm-to-fork). Atlas portal accepts cold submissions. Cloud/SaaS thesis aligns.</w:t>
      </w:r>
    </w:p>
    <w:p>
      <w:r>
        <w:br w:type="page"/>
      </w:r>
    </w:p>
    <w:p>
      <w:pPr>
        <w:pStyle w:val="Heading1"/>
      </w:pPr>
      <w:r>
        <w:t xml:space="preserve">5. Draft Outreach Emails</w:t>
      </w:r>
    </w:p>
    <w:p>
      <w:pPr>
        <w:pStyle w:val="Heading2"/>
      </w:pPr>
      <w:r>
        <w:t xml:space="preserve">Email A: Food/Ag Technology Specialist (S2G, AgFunder, Acre, Better Food)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RegEngine — API infrastructure for FSMA 204 compliance ($570M market, July 2028 deadline)</w:t>
      </w:r>
    </w:p>
    <w:p>
      <w:pPr>
        <w:pBdr>
          <w:bottom w:val="single" w:color="d1d5db" w:sz="1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 [Partner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I’m Christopher Sellers, founder of RegEngine. We’re building the compliance infrastructure layer for FDA food traceability — the Stripe for FSMA 204.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problem is straightforward: the FDA requires 188,000+ food businesses to digitally trace 20+ high-risk food categories through their supply chains by July 2028. The total compliance cost is $570M/year. Every incumbent (Trustwell, TraceGains, iFoodDS) is enterprise-only, UI-first, and requires 3–6 month deployments with opaque pricing.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>RegEngine is the opposite. We are API-first with a validated Inflow Workbench loop: supplier data is preflighted, scored, routed into a fix queue, and gated before production evidence. The platform handles all 7 FSMA 204 Critical Tracking Events, generates FDA-ready exports, and maintains a cryptographic audit trail.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>We are ready to show a design-partner workflow: upload messy supplier data, see preflight failures, resolve fix-queue items, commit only validated records, and export evidence for retailer and FDA workflows.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I’d welcome 20 minutes to walk you through the product and our path to first revenue. Would [specific day] work for a quick call?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Christopher Sellers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Founder, RegEngine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1@christophersellers.com | regengine.co</w:t>
      </w:r>
    </w:p>
    <w:p>
      <w:r>
        <w:br w:type="page"/>
      </w:r>
    </w:p>
    <w:p>
      <w:pPr>
        <w:pStyle w:val="Heading2"/>
      </w:pPr>
      <w:r>
        <w:t xml:space="preserve">Email B: RegTech &amp; Compliance Infrastructure (QED, Anthemis)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Regulatory compliance infrastructure for food safety — 188K entities, hard deadline, no API player</w:t>
      </w:r>
    </w:p>
    <w:p>
      <w:pPr>
        <w:pBdr>
          <w:bottom w:val="single" w:color="d1d5db" w:sz="1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 [Partner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I’m reaching out because [Firm]’s work in regulatory technology aligns directly with what we’re building at RegEngine.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FDA’s FSMA 204 rule mandates digital food traceability for 188,000+ entities by July 2028. This creates a $570M/year compliance market with zero optionality — every affected business must comply or face enforcement. Despite this, no platform serves the space with API-first infrastructure and transparent pricing.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>RegEngine fills this gap. We are a multi-tenant traceability platform with automated CTE/KDE validation, preflight readiness scoring, fix queues, commit gates, cryptographic audit trails, and FDA-ready export generation. Our architecture mirrors what companies like Vanta and Drata built for SOC 2 — but for food safety regulations instead of infosec frameworks.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>Key differentiation: while incumbents require 3-6 month enterprise deployments, RegEngine gives operators a measurable path from messy supplier data to trusted evidence through preflight, remediation, and commit gates.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Would you have 20 minutes this week to discuss? Happy to share a product demo.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Christopher Sellers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Founder, RegEngine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1@christophersellers.com | regengine.co</w:t>
      </w:r>
    </w:p>
    <w:p>
      <w:pPr>
        <w:spacing w:before="400"/>
      </w:pPr>
    </w:p>
    <w:p>
      <w:pPr>
        <w:pStyle w:val="Heading2"/>
      </w:pPr>
      <w:r>
        <w:t xml:space="preserve">Email C: Generalist Seed / Vertical SaaS (Craft, Initialized, Precursor, Bessemer)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Developer infrastructure for a $570M compliance market with a hard federal deadline</w:t>
      </w:r>
    </w:p>
    <w:p>
      <w:pPr>
        <w:pBdr>
          <w:bottom w:val="single" w:color="d1d5db" w:sz="1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 [Partner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What would Stripe look like if payments were mandated by federal law and 188,000 businesses had to adopt by a fixed deadline?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That’s the FSMA 204 food traceability market. The FDA requires every food business handling high-risk products to digitally trace them through the supply chain by July 2028. The total compliance cost is $570M/year. And the infrastructure layer — the developer-first, API-driven platform — doesn’t exist yet.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RegEngine is building it. We’re live in production with 50+ REST endpoints, multi-tenant isolation, real-time compliance scoring, and FDA-ready export generation. Our architecture is API-first (every feature is an API call before it’s a dashboard click), with transparent pricing and self-serve onboarding.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incumbents are enterprise-only, UI-first vendors charging six figures with 3–6 month deployments. We’re targeting the underserved long tail of 188K entities at $199–$2,500/mo with minutes-to-value.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I’d love 20 minutes to show you the product. Would [specific day] work?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Christopher Sellers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Founder, RegEngine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1@christophersellers.com | regengine.co</w:t>
      </w:r>
    </w:p>
    <w:p>
      <w:r>
        <w:br w:type="page"/>
      </w:r>
    </w:p>
    <w:p>
      <w:pPr>
        <w:pStyle w:val="Heading1"/>
      </w:pPr>
      <w:r>
        <w:t xml:space="preserve">6. Outreach Execution Playbook</w:t>
      </w:r>
    </w:p>
    <w:p>
      <w:pPr>
        <w:pStyle w:val="Heading2"/>
      </w:pPr>
      <w:r>
        <w:t xml:space="preserve">Submission Channels by 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Submit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S2G Investments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contact form at s2ginvestments.com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Mention food safety tech thesis explicitly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AgFunder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deck to info@agfunder.com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 email accepted. Attach 1-pager + deck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Acre Venture Partners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contact at acre.vc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Reference Sam Kass food policy angle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Better Food Ventures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deck to info@betterfoodventures.com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Rob Trice is sole GP. Direct email works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QED Investors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Pitch form at qedinvestors.com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Tag for Amias Gerety (RegTech focus)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Craft Ventures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at craftventures.com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SaaS + regulatory compliance is core thesis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Bessemer (BVP)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Atlas portal at bvp.com/atlas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Accepts cold submissions. Ref Lumachain comp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Precursor Ventures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at precursorvc.com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Pre-seed focus. $250K-$500K checks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Recommended Outreach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1: Submit to all Tier 1 firms (food/ag specialists) — highest thesis alignment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1: Submit to Bessemer Atlas portal (always-open, no timing dependency)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2: Submit to Tier 2 (RegTech firms) with compliance-focused messaging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2: Submit to Craft Ventures and Initialized (generalist SaaS thesis)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3: Follow up on all Week 1 submissions with a short, value-add note (e.g., new feature shipped, design partner signed)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3: Submit to Precursor and Lerer Hippeau (pre-seed/seed generalists)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4: Second follow-up on non-responses. Shift messaging to urgency of July 2028 deadline.</w:t>
      </w:r>
    </w:p>
    <w:p>
      <w:r>
        <w:br w:type="page"/>
      </w:r>
    </w:p>
    <w:p>
      <w:pPr>
        <w:pStyle w:val="Heading1"/>
      </w:pPr>
      <w:r>
        <w:t xml:space="preserve">7. Excluded Firms &amp; Rationale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categories were explicitly excluded per requirements: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Accelerators/Incubators (Y Combinator, Techstars, Plug and Play Food): Excluded per directive. These require program participation, dilutive equity, and batch timelines.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Revenue-gated funds: Firms like a16z Growth, Tiger Global, and late-stage PE firms were excluded because they require demonstrated revenue/ARR for entry.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Fintech-only RegTech: Firms like Accel’s compliance practice focus exclusively on financial services regulatory technology (AML/KYC), not food safety.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Corporate VCs with conflict potential: Strategic investors from food companies (e.g., ADM Ventures, Cargill Ventures) excluded to preserve strategic flexibility.</w:t>
      </w:r>
    </w:p>
    <w:p>
      <w:pPr>
        <w:spacing w:before="400"/>
      </w:pPr>
    </w:p>
    <w:p>
      <w:pPr>
        <w:pStyle w:val="Heading1"/>
      </w:pPr>
      <w:r>
        <w:t xml:space="preserve">8. Automated Monitoring &amp; Next Steps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twice-daily automated search task has been configured to run at 12:00 AM and 12:00 PM PST. Each run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new VC/PE firms announcing food safety, regulatory technology, or supply chain compliance investments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newly announced funds with relevant thesis overlap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any competitor funding rounds or M&amp;A activity in the FSMA 204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 new partner hires or thesis updates at target firms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 findings into an updated memo with draft outreach copy</w:t>
      </w:r>
    </w:p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will be updated with each search run. New investor targets, updated contact information, and refined outreach copy will be appended as discovered.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Page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334155"/>
        <w:sz w:val="16"/>
        <w:szCs w:val="16"/>
      </w:rPr>
      <w:t xml:space="preserve">RegEngine Investor Outreach Memo</w:t>
    </w:r>
    <w: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478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crk8bv1yfk1dk84ytrlv" Type="http://schemas.openxmlformats.org/officeDocument/2006/relationships/hyperlink" Target="https://www.s2ginvestments.com" TargetMode="External"/><Relationship Id="rIdzmi9tuoyff0nyewnh-rcq" Type="http://schemas.openxmlformats.org/officeDocument/2006/relationships/hyperlink" Target="https://agfunder.com" TargetMode="External"/><Relationship Id="rIdawerqrtnwznwhsyr9kgk6" Type="http://schemas.openxmlformats.org/officeDocument/2006/relationships/hyperlink" Target="https://acre.vc" TargetMode="External"/><Relationship Id="rIdz8cg_o6koep1c7c7eo2f0" Type="http://schemas.openxmlformats.org/officeDocument/2006/relationships/hyperlink" Target="https://betterfoodventures.com" TargetMode="External"/><Relationship Id="rIdx0caa29n7r2keelc21irs" Type="http://schemas.openxmlformats.org/officeDocument/2006/relationships/hyperlink" Target="https://www.congruentvc.com" TargetMode="External"/><Relationship Id="rIdx02swmdoohogvjbzxoprg" Type="http://schemas.openxmlformats.org/officeDocument/2006/relationships/hyperlink" Target="https://www.qedinvestors.com" TargetMode="External"/><Relationship Id="rIdp7upn_7tp2mx9em1vslcg" Type="http://schemas.openxmlformats.org/officeDocument/2006/relationships/hyperlink" Target="https://www.anthemis.com" TargetMode="External"/><Relationship Id="rIdmggowbwgwoyibcnx89qdp" Type="http://schemas.openxmlformats.org/officeDocument/2006/relationships/hyperlink" Target="https://www.craftventures.com" TargetMode="External"/><Relationship Id="rId1xjhhdbed-uatnnenqsvw" Type="http://schemas.openxmlformats.org/officeDocument/2006/relationships/hyperlink" Target="https://initialized.com" TargetMode="External"/><Relationship Id="rIdnd93dla9f3euhhnkwxh86" Type="http://schemas.openxmlformats.org/officeDocument/2006/relationships/hyperlink" Target="https://precursorvc.com" TargetMode="External"/><Relationship Id="rIdxdtpviww79x0ukpdhbmvk" Type="http://schemas.openxmlformats.org/officeDocument/2006/relationships/hyperlink" Target="https://www.lererhippeau.com" TargetMode="External"/><Relationship Id="rIdri1gsyahszzxzc4nyff3a" Type="http://schemas.openxmlformats.org/officeDocument/2006/relationships/hyperlink" Target="https://www.bvp.com/atlas" TargetMode="External"/><Relationship Id="rId2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2026-04-14T08:33:56.133Z</dcterms:created>
  <dcterms:modified xsi:type="dcterms:W3CDTF">2026-04-14T08:33:56.133Z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