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00"/>
        <w:jc w:val="center"/>
      </w:pPr>
      <w:r>
        <w:rPr>
          <w:rFonts w:ascii="Arial" w:cs="Arial" w:eastAsia="Arial" w:hAnsi="Arial"/>
          <w:b/>
          <w:bCs/>
          <w:color w:val="1A2332"/>
          <w:sz w:val="52"/>
          <w:szCs w:val="52"/>
        </w:rPr>
        <w:t xml:space="preserve">REGENGINE</w:t>
      </w:r>
    </w:p>
    <w:p>
      <w:pPr>
        <w:spacing w:after="400"/>
        <w:jc w:val="center"/>
      </w:pPr>
      <w:r>
        <w:rPr>
          <w:rFonts w:ascii="Arial" w:cs="Arial" w:eastAsia="Arial" w:hAnsi="Arial"/>
          <w:color w:val="2E75B6"/>
          <w:sz w:val="32"/>
          <w:szCs w:val="32"/>
        </w:rPr>
        <w:t xml:space="preserve">Production Site Audit &amp; Remediation Plan</w:t>
      </w:r>
    </w:p>
    <w:p>
      <w:pPr>
        <w:spacing w:after="120"/>
      </w:pPr>
    </w:p>
    <w:p>
      <w:pPr>
        <w:spacing w:after="80"/>
        <w:jc w:val="center"/>
      </w:pPr>
      <w:r>
        <w:rPr>
          <w:rFonts w:ascii="Arial" w:cs="Arial" w:eastAsia="Arial" w:hAnsi="Arial"/>
          <w:color w:val="666666"/>
          <w:sz w:val="24"/>
          <w:szCs w:val="24"/>
        </w:rPr>
        <w:t xml:space="preserve">March 20, 2026</w:t>
      </w:r>
    </w:p>
    <w:p>
      <w:pPr>
        <w:spacing w:after="80"/>
        <w:jc w:val="center"/>
      </w:pPr>
      <w:r>
        <w:rPr>
          <w:rFonts w:ascii="Arial" w:cs="Arial" w:eastAsia="Arial" w:hAnsi="Arial"/>
          <w:color w:val="2E75B6"/>
          <w:sz w:val="22"/>
          <w:szCs w:val="22"/>
        </w:rPr>
        <w:t xml:space="preserve">regengine.co</w:t>
      </w:r>
    </w:p>
    <w:p>
      <w:pPr>
        <w:spacing w:after="600"/>
        <w:jc w:val="center"/>
      </w:pPr>
      <w:r>
        <w:rPr>
          <w:rFonts w:ascii="Arial" w:cs="Arial" w:eastAsia="Arial" w:hAnsi="Arial"/>
          <w:color w:val="666666"/>
          <w:sz w:val="22"/>
          <w:szCs w:val="22"/>
        </w:rPr>
        <w:t xml:space="preserve">Prepared for Christopher Sellers,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5FB" w:val="clear"/>
            <w:tcMar>
              <w:top w:type="dxa" w:w="200"/>
              <w:left w:type="dxa" w:w="300"/>
              <w:bottom w:type="dxa" w:w="200"/>
              <w:right w:type="dxa" w:w="300"/>
            </w:tcMar>
          </w:tcPr>
          <w:p>
            <w:pPr>
              <w:spacing w:after="120"/>
            </w:pPr>
            <w:r>
              <w:rPr>
                <w:rFonts w:ascii="Arial" w:cs="Arial" w:eastAsia="Arial" w:hAnsi="Arial"/>
                <w:b/>
                <w:bCs/>
                <w:color w:val="1A2332"/>
                <w:sz w:val="24"/>
                <w:szCs w:val="24"/>
              </w:rPr>
              <w:t xml:space="preserve">EXECUTIVE SUMMARY</w:t>
            </w:r>
          </w:p>
          <w:p>
            <w:pPr>
              <w:spacing w:after="100"/>
            </w:pPr>
            <w:r>
              <w:rPr>
                <w:rFonts w:ascii="Arial" w:cs="Arial" w:eastAsia="Arial" w:hAnsi="Arial"/>
                <w:sz w:val="21"/>
                <w:szCs w:val="21"/>
              </w:rPr>
              <w:t xml:space="preserve">A comprehensive end-to-end audit of regengine.co was performed by creating a new account, completing Stripe checkout, and testing every accessible feature. The audit identified 8 findings: 4 Critical, 2 High, and 2 Medium severity issues.</w:t>
            </w:r>
          </w:p>
          <w:p>
            <w:pPr>
              <w:spacing w:after="100"/>
            </w:pPr>
            <w:r>
              <w:rPr>
                <w:rFonts w:ascii="Arial" w:cs="Arial" w:eastAsia="Arial" w:hAnsi="Arial"/>
                <w:sz w:val="21"/>
                <w:szCs w:val="21"/>
              </w:rPr>
              <w:t xml:space="preserve">The most urgent issues center on data integrity: new users see demo seed data instead of their own account, and the displayed billing plan does not match their Stripe subscription. Core features (compliance, suppliers) return server errors due to missing environment variables and undeployed microservices.</w:t>
            </w:r>
          </w:p>
          <w:p>
            <w:r>
              <w:rPr>
                <w:rFonts w:ascii="Arial" w:cs="Arial" w:eastAsia="Arial" w:hAnsi="Arial"/>
                <w:sz w:val="21"/>
                <w:szCs w:val="21"/>
              </w:rPr>
              <w:t xml:space="preserve">A 3-week phased remediation roadmap is included, prioritized by user impact and dependency order. Phase 1 targets blocking infrastructure issues that can be resolved within days.</w:t>
            </w:r>
          </w:p>
        </w:tc>
      </w:tr>
    </w:tbl>
    <w:p>
      <w:r>
        <w:br w:type="page"/>
      </w:r>
    </w:p>
    <w:p>
      <w:pPr>
        <w:pStyle w:val="Heading1"/>
        <w:spacing w:after="200" w:before="300"/>
      </w:pPr>
      <w:r>
        <w:rPr>
          <w:rFonts w:ascii="Arial" w:cs="Arial" w:eastAsia="Arial" w:hAnsi="Arial"/>
        </w:rPr>
        <w:t xml:space="preserve">Findings Overview</w:t>
      </w:r>
    </w:p>
    <w:p>
      <w:pPr>
        <w:spacing w:after="160"/>
      </w:pPr>
      <w:r>
        <w:rPr>
          <w:rFonts w:ascii="Arial" w:cs="Arial" w:eastAsia="Arial" w:hAnsi="Arial"/>
          <w:sz w:val="22"/>
          <w:szCs w:val="22"/>
        </w:rPr>
        <w:t xml:space="preserve">The following table summarizes all issues identified during the audit, ordered by severity.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4060"/>
        <w:gridCol w:w="1800"/>
        <w:gridCol w:w="1400"/>
      </w:tblGrid>
      <w:tr>
        <w:tc>
          <w:tcPr>
            <w:tcW w:type="dxa" w:w="80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30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06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0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40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F-001</w:t>
            </w:r>
          </w:p>
        </w:tc>
        <w:tc>
          <w:tcPr>
            <w:tcW w:type="dxa" w:w="1300"/>
            <w:tcBorders>
              <w:top w:val="single" w:color="E0E4EA" w:sz="1"/>
              <w:left w:val="single" w:color="E0E4EA" w:sz="1"/>
              <w:bottom w:val="single" w:color="E0E4EA" w:sz="1"/>
              <w:right w:val="single" w:color="E0E4EA"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0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Dashboard Serves Demo Seed Data Instead of Account Data</w:t>
            </w:r>
          </w:p>
        </w:tc>
        <w:tc>
          <w:tcPr>
            <w:tcW w:type="dxa" w:w="1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Dashboard (/dashboard)</w:t>
            </w:r>
          </w:p>
        </w:tc>
        <w:tc>
          <w:tcPr>
            <w:tcW w:type="dxa" w:w="14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3–5 days</w:t>
            </w:r>
          </w:p>
        </w:tc>
      </w:tr>
      <w:tr>
        <w:tc>
          <w:tcPr>
            <w:tcW w:type="dxa" w:w="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F-002</w:t>
            </w:r>
          </w:p>
        </w:tc>
        <w:tc>
          <w:tcPr>
            <w:tcW w:type="dxa" w:w="1300"/>
            <w:tcBorders>
              <w:top w:val="single" w:color="E0E4EA" w:sz="1"/>
              <w:left w:val="single" w:color="E0E4EA" w:sz="1"/>
              <w:bottom w:val="single" w:color="E0E4EA" w:sz="1"/>
              <w:right w:val="single" w:color="E0E4EA"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0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Plan Mismatch: Base Signup Displays Growth Tier ($1,079/mo)</w:t>
            </w:r>
          </w:p>
        </w:tc>
        <w:tc>
          <w:tcPr>
            <w:tcW w:type="dxa" w:w="1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 Settings → Billing</w:t>
            </w:r>
          </w:p>
        </w:tc>
        <w:tc>
          <w:tcPr>
            <w:tcW w:type="dxa" w:w="14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days</w:t>
            </w:r>
          </w:p>
        </w:tc>
      </w:tr>
      <w:tr>
        <w:tc>
          <w:tcPr>
            <w:tcW w:type="dxa" w:w="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F-003</w:t>
            </w:r>
          </w:p>
        </w:tc>
        <w:tc>
          <w:tcPr>
            <w:tcW w:type="dxa" w:w="1300"/>
            <w:tcBorders>
              <w:top w:val="single" w:color="E0E4EA" w:sz="1"/>
              <w:left w:val="single" w:color="E0E4EA" w:sz="1"/>
              <w:bottom w:val="single" w:color="E0E4EA" w:sz="1"/>
              <w:right w:val="single" w:color="E0E4EA"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0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Compliance Dashboard Returns 500 Internal Server Error</w:t>
            </w:r>
          </w:p>
        </w:tc>
        <w:tc>
          <w:tcPr>
            <w:tcW w:type="dxa" w:w="1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Compliance (/compliance)</w:t>
            </w:r>
          </w:p>
        </w:tc>
        <w:tc>
          <w:tcPr>
            <w:tcW w:type="dxa" w:w="14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F-004</w:t>
            </w:r>
          </w:p>
        </w:tc>
        <w:tc>
          <w:tcPr>
            <w:tcW w:type="dxa" w:w="1300"/>
            <w:tcBorders>
              <w:top w:val="single" w:color="E0E4EA" w:sz="1"/>
              <w:left w:val="single" w:color="E0E4EA" w:sz="1"/>
              <w:bottom w:val="single" w:color="E0E4EA" w:sz="1"/>
              <w:right w:val="single" w:color="E0E4EA"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0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Suppliers Page Returns 401 Unauthorized</w:t>
            </w:r>
          </w:p>
        </w:tc>
        <w:tc>
          <w:tcPr>
            <w:tcW w:type="dxa" w:w="1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Suppliers (/suppliers)</w:t>
            </w:r>
          </w:p>
        </w:tc>
        <w:tc>
          <w:tcPr>
            <w:tcW w:type="dxa" w:w="14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r>
      <w:tr>
        <w:tc>
          <w:tcPr>
            <w:tcW w:type="dxa" w:w="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F-005</w:t>
            </w:r>
          </w:p>
        </w:tc>
        <w:tc>
          <w:tcPr>
            <w:tcW w:type="dxa" w:w="1300"/>
            <w:tcBorders>
              <w:top w:val="single" w:color="E0E4EA" w:sz="1"/>
              <w:left w:val="single" w:color="E0E4EA" w:sz="1"/>
              <w:bottom w:val="single" w:color="E0E4EA" w:sz="1"/>
              <w:right w:val="single" w:color="E0E4EA"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40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System Health Shows “Failed to Load System Status”</w:t>
            </w:r>
          </w:p>
        </w:tc>
        <w:tc>
          <w:tcPr>
            <w:tcW w:type="dxa" w:w="1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Settings → System Health</w:t>
            </w:r>
          </w:p>
        </w:tc>
        <w:tc>
          <w:tcPr>
            <w:tcW w:type="dxa" w:w="14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2 days</w:t>
            </w:r>
          </w:p>
        </w:tc>
      </w:tr>
      <w:tr>
        <w:tc>
          <w:tcPr>
            <w:tcW w:type="dxa" w:w="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F-006</w:t>
            </w:r>
          </w:p>
        </w:tc>
        <w:tc>
          <w:tcPr>
            <w:tcW w:type="dxa" w:w="1300"/>
            <w:tcBorders>
              <w:top w:val="single" w:color="E0E4EA" w:sz="1"/>
              <w:left w:val="single" w:color="E0E4EA" w:sz="1"/>
              <w:bottom w:val="single" w:color="E0E4EA" w:sz="1"/>
              <w:right w:val="single" w:color="E0E4EA"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40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FSMA Dashboard Redirects to Main Dashboard</w:t>
            </w:r>
          </w:p>
        </w:tc>
        <w:tc>
          <w:tcPr>
            <w:tcW w:type="dxa" w:w="1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FSMA (/fsma/dashboard)</w:t>
            </w:r>
          </w:p>
        </w:tc>
        <w:tc>
          <w:tcPr>
            <w:tcW w:type="dxa" w:w="14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r>
      <w:tr>
        <w:tc>
          <w:tcPr>
            <w:tcW w:type="dxa" w:w="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F-007</w:t>
            </w:r>
          </w:p>
        </w:tc>
        <w:tc>
          <w:tcPr>
            <w:tcW w:type="dxa" w:w="1300"/>
            <w:tcBorders>
              <w:top w:val="single" w:color="E0E4EA" w:sz="1"/>
              <w:left w:val="single" w:color="E0E4EA" w:sz="1"/>
              <w:bottom w:val="single" w:color="E0E4EA" w:sz="1"/>
              <w:right w:val="single" w:color="E0E4EA"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40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Homepage Footer Missing Developer Portal Links</w:t>
            </w:r>
          </w:p>
        </w:tc>
        <w:tc>
          <w:tcPr>
            <w:tcW w:type="dxa" w:w="18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Homepage Footer</w:t>
            </w:r>
          </w:p>
        </w:tc>
        <w:tc>
          <w:tcPr>
            <w:tcW w:type="dxa" w:w="14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&lt; 1 day</w:t>
            </w:r>
          </w:p>
        </w:tc>
      </w:tr>
      <w:tr>
        <w:tc>
          <w:tcPr>
            <w:tcW w:type="dxa" w:w="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F-008</w:t>
            </w:r>
          </w:p>
        </w:tc>
        <w:tc>
          <w:tcPr>
            <w:tcW w:type="dxa" w:w="1300"/>
            <w:tcBorders>
              <w:top w:val="single" w:color="E0E4EA" w:sz="1"/>
              <w:left w:val="single" w:color="E0E4EA" w:sz="1"/>
              <w:bottom w:val="single" w:color="E0E4EA" w:sz="1"/>
              <w:right w:val="single" w:color="E0E4EA"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40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Ghost/Invisible Button on Homepage Bottom CTA Section</w:t>
            </w:r>
          </w:p>
        </w:tc>
        <w:tc>
          <w:tcPr>
            <w:tcW w:type="dxa" w:w="18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w:t>
            </w:r>
          </w:p>
        </w:tc>
        <w:tc>
          <w:tcPr>
            <w:tcW w:type="dxa" w:w="14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 day</w:t>
            </w:r>
          </w:p>
        </w:tc>
      </w:tr>
    </w:tbl>
    <w:p>
      <w:r>
        <w:br w:type="page"/>
      </w:r>
    </w:p>
    <w:p>
      <w:pPr>
        <w:pStyle w:val="Heading1"/>
        <w:spacing w:after="200" w:before="300"/>
      </w:pPr>
      <w:r>
        <w:rPr>
          <w:rFonts w:ascii="Arial" w:cs="Arial" w:eastAsia="Arial" w:hAnsi="Arial"/>
        </w:rPr>
        <w:t xml:space="preserve">Detailed Findings</w:t>
      </w:r>
    </w:p>
    <w:p>
      <w:pPr>
        <w:pStyle w:val="Heading2"/>
        <w:spacing w:after="200" w:before="300"/>
      </w:pPr>
      <w:r>
        <w:rPr>
          <w:rFonts w:ascii="Arial" w:cs="Arial" w:eastAsia="Arial" w:hAnsi="Arial"/>
        </w:rPr>
        <w:t xml:space="preserve">F-001: Dashboard Serves Demo Seed Data Instead of Account Data</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Dashboard (/dashboard)</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After signing up and logging in, the dashboard displays hardcoded demo data for a fictional company (Acme Food Distribution) instead of the authenticated user’s actual account information. Supplier counts, compliance scores, and all dashboard widgets reflect seed data, not the signed-up tenant.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Every new user sees fake data immediately after signup. This destroys trust and makes the product appear non-functional. Users cannot evaluate the product with their own data.</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Implement tenant-aware data fetching in all dashboard components. Replace static seed data with API calls that filter by the authenticated user’s tenant ID. Add an empty-state experience for new accounts with no data, guiding users through onboarding (import data, connect suppliers, etc.).</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3–5 days</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Frontend + Backend</w:t>
      </w:r>
    </w:p>
    <w:p>
      <w:pPr>
        <w:spacing w:after="120"/>
      </w:pPr>
    </w:p>
    <w:p>
      <w:pPr>
        <w:pStyle w:val="Heading2"/>
        <w:spacing w:after="200" w:before="300"/>
      </w:pPr>
      <w:r>
        <w:rPr>
          <w:rFonts w:ascii="Arial" w:cs="Arial" w:eastAsia="Arial" w:hAnsi="Arial"/>
        </w:rPr>
        <w:t xml:space="preserve">F-002: Plan Mismatch: Base Signup Displays Growth Tier ($1,079/mo)</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Dashboard → Settings → Billing</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 user who selects the Base plan ($425/mo) during checkout is shown Growth plan details at $1,079/mo in the billing settings. The Stripe checkout session may be creating the correct subscription, but the frontend reads from hardcoded plan data rather than the Stripe subscription object.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believe they are being overcharged. This is a billing trust violation that will cause immediate churn and potential chargebacks.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Fetch the active subscription from Stripe via the billing API proxy. Display the plan name, price, and billing cycle directly from the Stripe subscription object. Remove all hardcoded plan display logic from the settings page.</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1–2 days</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Frontend + Billing API</w:t>
      </w:r>
    </w:p>
    <w:p>
      <w:pPr>
        <w:spacing w:after="120"/>
      </w:pPr>
    </w:p>
    <w:p>
      <w:pPr>
        <w:pStyle w:val="Heading2"/>
        <w:spacing w:after="200" w:before="300"/>
      </w:pPr>
      <w:r>
        <w:rPr>
          <w:rFonts w:ascii="Arial" w:cs="Arial" w:eastAsia="Arial" w:hAnsi="Arial"/>
        </w:rPr>
        <w:t xml:space="preserve">F-003: Compliance Dashboard Returns 500 Internal Server Error</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Compliance (/compliance)</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compliance status endpoint returns HTTP 500 when accessed with a real tenant ID. The compliance microservice is either not deployed, not reachable from Vercel, or fails on the database query for tenants that have no compliance data.</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Compliance is RegEngine’s core value proposition. A 500 error on the primary compliance view makes the product appear broken at its most critical feature.</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Deploy the compliance microservice and verify connectivity from Vercel. Add graceful error handling: if the compliance service is unreachable, show a clear status message (e.g., “Compliance engine initializing…”) rather than a raw error. Add health checks to the service.</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Backend Infrastructure</w:t>
      </w:r>
    </w:p>
    <w:p>
      <w:pPr>
        <w:spacing w:after="120"/>
      </w:pPr>
    </w:p>
    <w:p>
      <w:pPr>
        <w:pStyle w:val="Heading2"/>
        <w:spacing w:after="200" w:before="300"/>
      </w:pPr>
      <w:r>
        <w:rPr>
          <w:rFonts w:ascii="Arial" w:cs="Arial" w:eastAsia="Arial" w:hAnsi="Arial"/>
        </w:rPr>
        <w:t xml:space="preserve">F-004: Suppliers Page Returns 401 Unauthorized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Suppliers (/suppliers)</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suppliers endpoint rejects requests with 401, indicating the JWT token is either not being sent, has expired, or the backend auth middleware cannot validate it. This may be due to AUTH_SECRET_KEY not being set in the Vercel environment.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Supplier management is a primary workflow. Users cannot view, add, or manage suppliers, blocking a core use case.</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Set AUTH_SECRET_KEY environment variable on Vercel to match the JWT signing key. Verify the auth middleware accepts tokens issued by Supabase. Add token refresh logic in the frontend API client.</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1 day</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DevOps + Backend Auth</w:t>
      </w:r>
    </w:p>
    <w:p>
      <w:pPr>
        <w:spacing w:after="120"/>
      </w:pPr>
    </w:p>
    <w:p>
      <w:pPr>
        <w:pStyle w:val="Heading2"/>
        <w:spacing w:after="200" w:before="300"/>
      </w:pPr>
      <w:r>
        <w:rPr>
          <w:rFonts w:ascii="Arial" w:cs="Arial" w:eastAsia="Arial" w:hAnsi="Arial"/>
        </w:rPr>
        <w:t xml:space="preserve">F-005: System Health Shows “Failed to Load System Status”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Settings → System Health</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system health panel attempts to call a status endpoint that returns an error. No microservice health data is displayed. The health aggregation endpoint is either not implemented or not deployed.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Operators and enterprise buyers expect system health visibility. A failure here signals operational immaturity.</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Implement a /health aggregation endpoint that checks each microservice (ingestion, compliance, admin, graph). Return degraded status for unreachable services rather than failing entirely. Add a frontend fallback that shows service status as “unknown” when the endpoint is unreachable.</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 days</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Backend + Frontend</w:t>
      </w:r>
    </w:p>
    <w:p>
      <w:pPr>
        <w:spacing w:after="120"/>
      </w:pPr>
    </w:p>
    <w:p>
      <w:pPr>
        <w:pStyle w:val="Heading2"/>
        <w:spacing w:after="200" w:before="300"/>
      </w:pPr>
      <w:r>
        <w:rPr>
          <w:rFonts w:ascii="Arial" w:cs="Arial" w:eastAsia="Arial" w:hAnsi="Arial"/>
        </w:rPr>
        <w:t xml:space="preserve">F-006: FSMA Dashboard Redirects to Main Dashboard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FSMA (/fsma/dashboard)</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Navigating to /fsma/dashboard silently redirects to /dashboard. The FSMA-specific views (customer readiness, traceability, recall drills) are not accessible through the navigation. This is likely a redirect rule in next.config.js or missing route handler.</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FSMA 204 compliance features are a key differentiator for food industry customers. These features are effectively hidden.</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Review and fix the redirect configuration in next.config.js. Ensure /fsma/* routes resolve to their dedicated pages. Add FSMA section to the sidebar navigation for tenants with FSMA features enabled.</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1 day</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Frontend</w:t>
      </w:r>
    </w:p>
    <w:p>
      <w:pPr>
        <w:spacing w:after="120"/>
      </w:pPr>
    </w:p>
    <w:p>
      <w:pPr>
        <w:pStyle w:val="Heading2"/>
        <w:spacing w:after="200" w:before="300"/>
      </w:pPr>
      <w:r>
        <w:rPr>
          <w:rFonts w:ascii="Arial" w:cs="Arial" w:eastAsia="Arial" w:hAnsi="Arial"/>
        </w:rPr>
        <w:t xml:space="preserve">F-007: Homepage Footer Missing Developer Portal Links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Homepage Footer</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homepage footer shows minimal content. PR #175 on the feat/billing-checkout-auth-flow branch includes an updated footer with developer portal links, documentation links, and proper company information, but this has not been merged to the main/production branch.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Missing footer reduces perceived professionalism and removes navigation paths to developer documentation and API resources.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Merge feat/billing-checkout-auth-flow branch (or cherry-pick the footer component) into main. Deploy to production.</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&lt; 1 day</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Frontend / Release Mgmt</w:t>
      </w:r>
    </w:p>
    <w:p>
      <w:pPr>
        <w:spacing w:after="120"/>
      </w:pPr>
    </w:p>
    <w:p>
      <w:pPr>
        <w:pStyle w:val="Heading2"/>
        <w:spacing w:after="200" w:before="300"/>
      </w:pPr>
      <w:r>
        <w:rPr>
          <w:rFonts w:ascii="Arial" w:cs="Arial" w:eastAsia="Arial" w:hAnsi="Arial"/>
        </w:rPr>
        <w:t xml:space="preserve">F-008: Ghost/Invisible Button on Homepage Bottom CTA Section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Homepage (/)</w:t>
      </w:r>
    </w:p>
    <w:p>
      <w:pPr>
        <w:spacing w:after="120"/>
      </w:pP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Near the bottom call-to-action section, there is a clickable area that appears to be a button but has no visible text or styling. It may be an alpha signup button with white text on a white background, or a button component that failed to render its content.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Invisible interactive elements are confusing and reduce conversion. Users may accidentally click it or miss an important CTA.</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Inspect the CTA component for styling issues. Either fix the button visibility (text color, background contrast) or remove it if it’s a deprecated alpha signup element.</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&lt; 1 day</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Frontend</w:t>
      </w:r>
    </w:p>
    <w:p>
      <w:pPr>
        <w:spacing w:after="120"/>
      </w:pPr>
    </w:p>
    <w:p>
      <w:r>
        <w:br w:type="page"/>
      </w:r>
    </w:p>
    <w:p>
      <w:pPr>
        <w:pStyle w:val="Heading1"/>
        <w:spacing w:after="200" w:before="300"/>
      </w:pPr>
      <w:r>
        <w:rPr>
          <w:rFonts w:ascii="Arial" w:cs="Arial" w:eastAsia="Arial" w:hAnsi="Arial"/>
        </w:rPr>
        <w:t xml:space="preserve">Working Features</w:t>
      </w:r>
    </w:p>
    <w:p>
      <w:pPr>
        <w:spacing w:after="160"/>
      </w:pPr>
      <w:r>
        <w:rPr>
          <w:rFonts w:ascii="Arial" w:cs="Arial" w:eastAsia="Arial" w:hAnsi="Arial"/>
          <w:sz w:val="22"/>
          <w:szCs w:val="22"/>
        </w:rPr>
        <w:t xml:space="preserve">The following features were verified as functional during the audit. These represent the stable foundation of the product.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6860"/>
            <w:tcBorders>
              <w:top w:val="single" w:color="E0E4EA" w:sz="1"/>
              <w:left w:val="single" w:color="E0E4EA" w:sz="1"/>
              <w:bottom w:val="single" w:color="E0E4EA" w:sz="1"/>
              <w:right w:val="single" w:color="E0E4EA" w:sz="1"/>
            </w:tcBorders>
            <w:shd w:fill="1A23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&amp; Notes</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Homepage</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Loads correctly. Hero section, pricing tiers, feature highlights all render. Performance is good.</w:t>
            </w:r>
          </w:p>
        </w:tc>
      </w:tr>
      <w:tr>
        <w:tc>
          <w:tcPr>
            <w:tcW w:type="dxa" w:w="25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Pricing Page</w:t>
            </w:r>
          </w:p>
        </w:tc>
        <w:tc>
          <w:tcPr>
            <w:tcW w:type="dxa" w:w="68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three tiers display correctly with feature comparison. Stripe checkout redirect works.</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Signup Flow</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Email/password registration via Supabase completes successfully. Email confirmation sent.</w:t>
            </w:r>
          </w:p>
        </w:tc>
      </w:tr>
      <w:tr>
        <w:tc>
          <w:tcPr>
            <w:tcW w:type="dxa" w:w="25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Login Flow</w:t>
            </w:r>
          </w:p>
        </w:tc>
        <w:tc>
          <w:tcPr>
            <w:tcW w:type="dxa" w:w="68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 works. JWT issued and stored. Redirects to dashboard.</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Developer Portal</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API documentation renders. Code samples visible. SDK download links present.</w:t>
            </w:r>
          </w:p>
        </w:tc>
      </w:tr>
      <w:tr>
        <w:tc>
          <w:tcPr>
            <w:tcW w:type="dxa" w:w="25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API Documentation</w:t>
            </w:r>
          </w:p>
        </w:tc>
        <w:tc>
          <w:tcPr>
            <w:tcW w:type="dxa" w:w="68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Swagger/OpenAPI docs accessible. Endpoint descriptions accurate.</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Free Tools: FTL Checker</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Food Traceability List checker loads and accepts input.</w:t>
            </w:r>
          </w:p>
        </w:tc>
      </w:tr>
      <w:tr>
        <w:tc>
          <w:tcPr>
            <w:tcW w:type="dxa" w:w="25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Free Tools: Recall Readiness</w:t>
            </w:r>
          </w:p>
        </w:tc>
        <w:tc>
          <w:tcPr>
            <w:tcW w:type="dxa" w:w="68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Recall readiness assessment tool functional.</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Free Tools: Data Import</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Data import preview tool loads correctly.</w:t>
            </w:r>
          </w:p>
        </w:tc>
      </w:tr>
      <w:tr>
        <w:tc>
          <w:tcPr>
            <w:tcW w:type="dxa" w:w="250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Heartbeat Page</w:t>
            </w:r>
          </w:p>
        </w:tc>
        <w:tc>
          <w:tcPr>
            <w:tcW w:type="dxa" w:w="6860"/>
            <w:tcBorders>
              <w:top w:val="single" w:color="E0E4EA" w:sz="1"/>
              <w:left w:val="single" w:color="E0E4EA" w:sz="1"/>
              <w:bottom w:val="single" w:color="E0E4EA" w:sz="1"/>
              <w:right w:val="single" w:color="E0E4E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/heartbeat returns 200 OK with service status.</w:t>
            </w:r>
          </w:p>
        </w:tc>
      </w:tr>
      <w:tr>
        <w:tc>
          <w:tcPr>
            <w:tcW w:type="dxa" w:w="250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Navigation</w:t>
            </w:r>
          </w:p>
        </w:tc>
        <w:tc>
          <w:tcPr>
            <w:tcW w:type="dxa" w:w="6860"/>
            <w:tcBorders>
              <w:top w:val="single" w:color="E0E4EA" w:sz="1"/>
              <w:left w:val="single" w:color="E0E4EA" w:sz="1"/>
              <w:bottom w:val="single" w:color="E0E4EA" w:sz="1"/>
              <w:right w:val="single" w:color="E0E4EA"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Sidebar navigation renders all sections. Routing between pages works.</w:t>
            </w:r>
          </w:p>
        </w:tc>
      </w:tr>
    </w:tbl>
    <w:p>
      <w:r>
        <w:br w:type="page"/>
      </w:r>
    </w:p>
    <w:p>
      <w:pPr>
        <w:pStyle w:val="Heading1"/>
        <w:spacing w:after="200" w:before="300"/>
      </w:pPr>
      <w:r>
        <w:rPr>
          <w:rFonts w:ascii="Arial" w:cs="Arial" w:eastAsia="Arial" w:hAnsi="Arial"/>
        </w:rPr>
        <w:t xml:space="preserve">Remediation Roadmap</w:t>
      </w:r>
    </w:p>
    <w:p>
      <w:pPr>
        <w:spacing w:after="160"/>
      </w:pPr>
      <w:r>
        <w:rPr>
          <w:rFonts w:ascii="Arial" w:cs="Arial" w:eastAsia="Arial" w:hAnsi="Arial"/>
          <w:sz w:val="22"/>
          <w:szCs w:val="22"/>
        </w:rPr>
        <w:t xml:space="preserve">The following three-phase plan addresses all findings in dependency order, starting with the fastest-to-resolve blockers that unlock the most functionality.</w:t>
      </w:r>
    </w:p>
    <w:p>
      <w:pPr>
        <w:spacing w:after="120"/>
      </w:pPr>
    </w:p>
    <w:p>
      <w:pPr>
        <w:pStyle w:val="Heading2"/>
        <w:spacing w:after="200" w:before="300"/>
      </w:pPr>
      <w:r>
        <w:rPr>
          <w:rFonts w:ascii="Arial" w:cs="Arial" w:eastAsia="Arial" w:hAnsi="Arial"/>
        </w:rPr>
        <w:t xml:space="preserve">Phase 1: Blocking Issues (Week 1)</w:t>
      </w:r>
    </w:p>
    <w:p>
      <w:pPr>
        <w:pStyle w:val="ListParagraph"/>
        <w:numPr>
          <w:ilvl w:val="0"/>
          <w:numId w:val="2"/>
        </w:numPr>
        <w:spacing w:after="100"/>
      </w:pPr>
      <w:r>
        <w:rPr>
          <w:rFonts w:ascii="Arial" w:cs="Arial" w:eastAsia="Arial" w:hAnsi="Arial"/>
          <w:sz w:val="22"/>
          <w:szCs w:val="22"/>
        </w:rPr>
        <w:t xml:space="preserve">Set AUTH_SECRET_KEY on Vercel (F-004) — unblocks suppliers + authenticated API calls</w:t>
      </w:r>
    </w:p>
    <w:p>
      <w:pPr>
        <w:pStyle w:val="ListParagraph"/>
        <w:numPr>
          <w:ilvl w:val="0"/>
          <w:numId w:val="2"/>
        </w:numPr>
        <w:spacing w:after="100"/>
      </w:pPr>
      <w:r>
        <w:rPr>
          <w:rFonts w:ascii="Arial" w:cs="Arial" w:eastAsia="Arial" w:hAnsi="Arial"/>
          <w:sz w:val="22"/>
          <w:szCs w:val="22"/>
        </w:rPr>
        <w:t xml:space="preserve">Deploy compliance microservice or configure Vercel→service connectivity (F-003)</w:t>
      </w:r>
    </w:p>
    <w:p>
      <w:pPr>
        <w:pStyle w:val="ListParagraph"/>
        <w:numPr>
          <w:ilvl w:val="0"/>
          <w:numId w:val="2"/>
        </w:numPr>
        <w:spacing w:after="100"/>
      </w:pPr>
      <w:r>
        <w:rPr>
          <w:rFonts w:ascii="Arial" w:cs="Arial" w:eastAsia="Arial" w:hAnsi="Arial"/>
          <w:sz w:val="22"/>
          <w:szCs w:val="22"/>
        </w:rPr>
        <w:t xml:space="preserve">Merge feat/billing-checkout-auth-flow to main for footer + route fixes (F-007)</w:t>
      </w:r>
    </w:p>
    <w:p>
      <w:pPr>
        <w:pStyle w:val="ListParagraph"/>
        <w:numPr>
          <w:ilvl w:val="0"/>
          <w:numId w:val="2"/>
        </w:numPr>
        <w:spacing w:after="100"/>
      </w:pPr>
      <w:r>
        <w:rPr>
          <w:rFonts w:ascii="Arial" w:cs="Arial" w:eastAsia="Arial" w:hAnsi="Arial"/>
          <w:sz w:val="22"/>
          <w:szCs w:val="22"/>
        </w:rPr>
        <w:t xml:space="preserve">Fix ghost button on homepage CTA (F-008)</w:t>
      </w:r>
    </w:p>
    <w:p>
      <w:pPr>
        <w:spacing w:after="120"/>
      </w:pPr>
    </w:p>
    <w:p>
      <w:pPr>
        <w:pStyle w:val="Heading2"/>
        <w:spacing w:after="200" w:before="300"/>
      </w:pPr>
      <w:r>
        <w:rPr>
          <w:rFonts w:ascii="Arial" w:cs="Arial" w:eastAsia="Arial" w:hAnsi="Arial"/>
        </w:rPr>
        <w:t xml:space="preserve">Phase 2: Data Integrity (Week 2)</w:t>
      </w:r>
    </w:p>
    <w:p>
      <w:pPr>
        <w:pStyle w:val="ListParagraph"/>
        <w:numPr>
          <w:ilvl w:val="0"/>
          <w:numId w:val="3"/>
        </w:numPr>
        <w:spacing w:after="100"/>
      </w:pPr>
      <w:r>
        <w:rPr>
          <w:rFonts w:ascii="Arial" w:cs="Arial" w:eastAsia="Arial" w:hAnsi="Arial"/>
          <w:sz w:val="22"/>
          <w:szCs w:val="22"/>
        </w:rPr>
        <w:t xml:space="preserve">Replace seed data with tenant-aware API calls in dashboard (F-001)</w:t>
      </w:r>
    </w:p>
    <w:p>
      <w:pPr>
        <w:pStyle w:val="ListParagraph"/>
        <w:numPr>
          <w:ilvl w:val="0"/>
          <w:numId w:val="3"/>
        </w:numPr>
        <w:spacing w:after="100"/>
      </w:pPr>
      <w:r>
        <w:rPr>
          <w:rFonts w:ascii="Arial" w:cs="Arial" w:eastAsia="Arial" w:hAnsi="Arial"/>
          <w:sz w:val="22"/>
          <w:szCs w:val="22"/>
        </w:rPr>
        <w:t xml:space="preserve">Wire billing display to Stripe subscription object (F-002)</w:t>
      </w:r>
    </w:p>
    <w:p>
      <w:pPr>
        <w:pStyle w:val="ListParagraph"/>
        <w:numPr>
          <w:ilvl w:val="0"/>
          <w:numId w:val="3"/>
        </w:numPr>
        <w:spacing w:after="100"/>
      </w:pPr>
      <w:r>
        <w:rPr>
          <w:rFonts w:ascii="Arial" w:cs="Arial" w:eastAsia="Arial" w:hAnsi="Arial"/>
          <w:sz w:val="22"/>
          <w:szCs w:val="22"/>
        </w:rPr>
        <w:t xml:space="preserve">Implement empty-state onboarding flow for new accounts</w:t>
      </w:r>
    </w:p>
    <w:p>
      <w:pPr>
        <w:spacing w:after="120"/>
      </w:pPr>
    </w:p>
    <w:p>
      <w:pPr>
        <w:pStyle w:val="Heading2"/>
        <w:spacing w:after="200" w:before="300"/>
      </w:pPr>
      <w:r>
        <w:rPr>
          <w:rFonts w:ascii="Arial" w:cs="Arial" w:eastAsia="Arial" w:hAnsi="Arial"/>
        </w:rPr>
        <w:t xml:space="preserve">Phase 3: Feature Completeness (Week 3)</w:t>
      </w:r>
    </w:p>
    <w:p>
      <w:pPr>
        <w:pStyle w:val="ListParagraph"/>
        <w:numPr>
          <w:ilvl w:val="0"/>
          <w:numId w:val="4"/>
        </w:numPr>
        <w:spacing w:after="100"/>
      </w:pPr>
      <w:r>
        <w:rPr>
          <w:rFonts w:ascii="Arial" w:cs="Arial" w:eastAsia="Arial" w:hAnsi="Arial"/>
          <w:sz w:val="22"/>
          <w:szCs w:val="22"/>
        </w:rPr>
        <w:t xml:space="preserve">Fix FSMA dashboard routing and navigation (F-006)</w:t>
      </w:r>
    </w:p>
    <w:p>
      <w:pPr>
        <w:pStyle w:val="ListParagraph"/>
        <w:numPr>
          <w:ilvl w:val="0"/>
          <w:numId w:val="4"/>
        </w:numPr>
        <w:spacing w:after="100"/>
      </w:pPr>
      <w:r>
        <w:rPr>
          <w:rFonts w:ascii="Arial" w:cs="Arial" w:eastAsia="Arial" w:hAnsi="Arial"/>
          <w:sz w:val="22"/>
          <w:szCs w:val="22"/>
        </w:rPr>
        <w:t xml:space="preserve">Implement /health aggregation endpoint (F-005)</w:t>
      </w:r>
    </w:p>
    <w:p>
      <w:pPr>
        <w:pStyle w:val="ListParagraph"/>
        <w:numPr>
          <w:ilvl w:val="0"/>
          <w:numId w:val="4"/>
        </w:numPr>
        <w:spacing w:after="100"/>
      </w:pPr>
      <w:r>
        <w:rPr>
          <w:rFonts w:ascii="Arial" w:cs="Arial" w:eastAsia="Arial" w:hAnsi="Arial"/>
          <w:sz w:val="22"/>
          <w:szCs w:val="22"/>
        </w:rPr>
        <w:t xml:space="preserve">Add error boundary components with user-friendly fallbacks throughout the app</w:t>
      </w:r>
    </w:p>
    <w:p>
      <w:pPr>
        <w:pStyle w:val="ListParagraph"/>
        <w:numPr>
          <w:ilvl w:val="0"/>
          <w:numId w:val="4"/>
        </w:numPr>
        <w:spacing w:after="100"/>
      </w:pPr>
      <w:r>
        <w:rPr>
          <w:rFonts w:ascii="Arial" w:cs="Arial" w:eastAsia="Arial" w:hAnsi="Arial"/>
          <w:sz w:val="22"/>
          <w:szCs w:val="22"/>
        </w:rPr>
        <w:t xml:space="preserve">End-to-end regression test suite for all critical paths</w:t>
      </w:r>
    </w:p>
    <w:p>
      <w:pPr>
        <w:spacing w:after="120"/>
      </w:pPr>
    </w:p>
    <w:p>
      <w:r>
        <w:br w:type="page"/>
      </w:r>
    </w:p>
    <w:p>
      <w:pPr>
        <w:pStyle w:val="Heading1"/>
        <w:spacing w:after="200" w:before="300"/>
      </w:pPr>
      <w:r>
        <w:rPr>
          <w:rFonts w:ascii="Arial" w:cs="Arial" w:eastAsia="Arial" w:hAnsi="Arial"/>
        </w:rPr>
        <w:t xml:space="preserve">Audit Methodology</w:t>
      </w:r>
    </w:p>
    <w:p>
      <w:pPr>
        <w:spacing w:after="160"/>
      </w:pPr>
      <w:r>
        <w:rPr>
          <w:rFonts w:ascii="Arial" w:cs="Arial" w:eastAsia="Arial" w:hAnsi="Arial"/>
          <w:sz w:val="22"/>
          <w:szCs w:val="22"/>
        </w:rPr>
        <w:t xml:space="preserve">This audit was performed on March 20, 2026 against the production deployment at regengine.co. The methodology included:</w:t>
      </w:r>
    </w:p>
    <w:p>
      <w:pPr>
        <w:spacing w:after="120"/>
      </w:pPr>
    </w:p>
    <w:p>
      <w:pPr>
        <w:pStyle w:val="ListParagraph"/>
        <w:numPr>
          <w:ilvl w:val="0"/>
          <w:numId w:val="5"/>
        </w:numPr>
        <w:spacing w:after="80"/>
      </w:pPr>
      <w:r>
        <w:rPr>
          <w:rFonts w:ascii="Arial" w:cs="Arial" w:eastAsia="Arial" w:hAnsi="Arial"/>
          <w:sz w:val="22"/>
          <w:szCs w:val="22"/>
        </w:rPr>
        <w:t xml:space="preserve">Created a new user account via the signup flow with email/password registration</w:t>
      </w:r>
    </w:p>
    <w:p>
      <w:pPr>
        <w:pStyle w:val="ListParagraph"/>
        <w:numPr>
          <w:ilvl w:val="0"/>
          <w:numId w:val="5"/>
        </w:numPr>
        <w:spacing w:after="80"/>
      </w:pPr>
      <w:r>
        <w:rPr>
          <w:rFonts w:ascii="Arial" w:cs="Arial" w:eastAsia="Arial" w:hAnsi="Arial"/>
          <w:sz w:val="22"/>
          <w:szCs w:val="22"/>
        </w:rPr>
        <w:t xml:space="preserve">Completed Stripe checkout on the Base tier ($425/mo)</w:t>
      </w:r>
    </w:p>
    <w:p>
      <w:pPr>
        <w:pStyle w:val="ListParagraph"/>
        <w:numPr>
          <w:ilvl w:val="0"/>
          <w:numId w:val="5"/>
        </w:numPr>
        <w:spacing w:after="80"/>
      </w:pPr>
      <w:r>
        <w:rPr>
          <w:rFonts w:ascii="Arial" w:cs="Arial" w:eastAsia="Arial" w:hAnsi="Arial"/>
          <w:sz w:val="22"/>
          <w:szCs w:val="22"/>
        </w:rPr>
        <w:t xml:space="preserve">Navigated every accessible page and feature in the authenticated application</w:t>
      </w:r>
    </w:p>
    <w:p>
      <w:pPr>
        <w:pStyle w:val="ListParagraph"/>
        <w:numPr>
          <w:ilvl w:val="0"/>
          <w:numId w:val="5"/>
        </w:numPr>
        <w:spacing w:after="80"/>
      </w:pPr>
      <w:r>
        <w:rPr>
          <w:rFonts w:ascii="Arial" w:cs="Arial" w:eastAsia="Arial" w:hAnsi="Arial"/>
          <w:sz w:val="22"/>
          <w:szCs w:val="22"/>
        </w:rPr>
        <w:t xml:space="preserve">Tested free tools (FTL Checker, Recall Readiness, Data Import) without authentication</w:t>
      </w:r>
    </w:p>
    <w:p>
      <w:pPr>
        <w:pStyle w:val="ListParagraph"/>
        <w:numPr>
          <w:ilvl w:val="0"/>
          <w:numId w:val="5"/>
        </w:numPr>
        <w:spacing w:after="80"/>
      </w:pPr>
      <w:r>
        <w:rPr>
          <w:rFonts w:ascii="Arial" w:cs="Arial" w:eastAsia="Arial" w:hAnsi="Arial"/>
          <w:sz w:val="22"/>
          <w:szCs w:val="22"/>
        </w:rPr>
        <w:t xml:space="preserve">Inspected API responses, error states, and console output for each feature area</w:t>
      </w:r>
    </w:p>
    <w:p>
      <w:pPr>
        <w:pStyle w:val="ListParagraph"/>
        <w:numPr>
          <w:ilvl w:val="0"/>
          <w:numId w:val="5"/>
        </w:numPr>
        <w:spacing w:after="80"/>
      </w:pPr>
      <w:r>
        <w:rPr>
          <w:rFonts w:ascii="Arial" w:cs="Arial" w:eastAsia="Arial" w:hAnsi="Arial"/>
          <w:sz w:val="22"/>
          <w:szCs w:val="22"/>
        </w:rPr>
        <w:t xml:space="preserve">Cross-referenced frontend behavior with codebase analysis of API routes and configurations</w:t>
      </w:r>
    </w:p>
    <w:p>
      <w:pPr>
        <w:spacing w:after="120"/>
      </w:pPr>
    </w:p>
    <w:p>
      <w:pPr>
        <w:spacing w:after="160"/>
      </w:pPr>
      <w:r>
        <w:rPr>
          <w:rFonts w:ascii="Arial" w:cs="Arial" w:eastAsia="Arial" w:hAnsi="Arial"/>
          <w:sz w:val="22"/>
          <w:szCs w:val="22"/>
        </w:rPr>
        <w:t xml:space="preserve">All testing was performed via Chrome browser automation. No load testing or penetration testing was included in this scope.</w:t>
      </w:r>
    </w:p>
    <w:p>
      <w:pPr>
        <w:spacing w:after="120"/>
      </w:pPr>
    </w:p>
    <w:p>
      <w:pPr>
        <w:spacing w:after="120"/>
      </w:pPr>
    </w:p>
    <w:p>
      <w:pPr>
        <w:pStyle w:val="Heading1"/>
        <w:spacing w:after="200" w:before="300"/>
      </w:pPr>
      <w:r>
        <w:rPr>
          <w:rFonts w:ascii="Arial" w:cs="Arial" w:eastAsia="Arial" w:hAnsi="Arial"/>
        </w:rPr>
        <w:t xml:space="preserve">Recommended Next Steps</w:t>
      </w:r>
    </w:p>
    <w:p>
      <w:pPr>
        <w:pStyle w:val="ListParagraph"/>
        <w:numPr>
          <w:ilvl w:val="0"/>
          <w:numId w:val="6"/>
        </w:numPr>
        <w:spacing w:after="100"/>
      </w:pPr>
      <w:r>
        <w:rPr>
          <w:rFonts w:ascii="Arial" w:cs="Arial" w:eastAsia="Arial" w:hAnsi="Arial"/>
          <w:sz w:val="22"/>
          <w:szCs w:val="22"/>
        </w:rPr>
        <w:t xml:space="preserve">Set AUTH_SECRET_KEY environment variable on Vercel immediately (15 minutes, unblocks F-004)</w:t>
      </w:r>
    </w:p>
    <w:p>
      <w:pPr>
        <w:pStyle w:val="ListParagraph"/>
        <w:numPr>
          <w:ilvl w:val="0"/>
          <w:numId w:val="6"/>
        </w:numPr>
        <w:spacing w:after="100"/>
      </w:pPr>
      <w:r>
        <w:rPr>
          <w:rFonts w:ascii="Arial" w:cs="Arial" w:eastAsia="Arial" w:hAnsi="Arial"/>
          <w:sz w:val="22"/>
          <w:szCs w:val="22"/>
        </w:rPr>
        <w:t xml:space="preserve">Merge feat/billing-checkout-auth-flow branch to main and deploy (30 minutes, resolves F-007 + F-008 + route fixes)</w:t>
      </w:r>
    </w:p>
    <w:p>
      <w:pPr>
        <w:pStyle w:val="ListParagraph"/>
        <w:numPr>
          <w:ilvl w:val="0"/>
          <w:numId w:val="6"/>
        </w:numPr>
        <w:spacing w:after="100"/>
      </w:pPr>
      <w:r>
        <w:rPr>
          <w:rFonts w:ascii="Arial" w:cs="Arial" w:eastAsia="Arial" w:hAnsi="Arial"/>
          <w:sz w:val="22"/>
          <w:szCs w:val="22"/>
        </w:rPr>
        <w:t xml:space="preserve">Deploy compliance microservice to production and configure Vercel environment URLs (F-003)</w:t>
      </w:r>
    </w:p>
    <w:p>
      <w:pPr>
        <w:pStyle w:val="ListParagraph"/>
        <w:numPr>
          <w:ilvl w:val="0"/>
          <w:numId w:val="6"/>
        </w:numPr>
        <w:spacing w:after="100"/>
      </w:pPr>
      <w:r>
        <w:rPr>
          <w:rFonts w:ascii="Arial" w:cs="Arial" w:eastAsia="Arial" w:hAnsi="Arial"/>
          <w:sz w:val="22"/>
          <w:szCs w:val="22"/>
        </w:rPr>
        <w:t xml:space="preserve">Begin Phase 2 data integrity work: replace seed data with tenant-aware queries (F-001, F-002)</w:t>
      </w:r>
    </w:p>
    <w:p>
      <w:pPr>
        <w:pStyle w:val="ListParagraph"/>
        <w:numPr>
          <w:ilvl w:val="0"/>
          <w:numId w:val="6"/>
        </w:numPr>
        <w:spacing w:after="100"/>
      </w:pPr>
      <w:r>
        <w:rPr>
          <w:rFonts w:ascii="Arial" w:cs="Arial" w:eastAsia="Arial" w:hAnsi="Arial"/>
          <w:sz w:val="22"/>
          <w:szCs w:val="22"/>
        </w:rPr>
        <w:t xml:space="preserve">Schedule a follow-up audit after Phase 2 completion to verify all critical issues are resolved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RegEngine, Inc.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20"/>
        <w:szCs w:val="20"/>
      </w:rPr>
      <w:t xml:space="preserve">RegEngine</w:t>
    </w:r>
    <w:r>
      <w:rPr>
        <w:rFonts w:ascii="Arial" w:cs="Arial" w:eastAsia="Arial" w:hAnsi="Arial"/>
        <w:color w:val="888888"/>
        <w:sz w:val="18"/>
        <w:szCs w:val="18"/>
      </w:rPr>
      <w:t xml:space="preserve">	Site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233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2026-03-20T20:19:03.252Z</dcterms:created>
  <dcterms:modified xsi:type="dcterms:W3CDTF">2026-03-20T20:19:03.252Z</dcterms:modified>
</cp:coreProperties>
</file>

<file path=docProps/custom.xml><?xml version="1.0" encoding="utf-8"?>
<Properties xmlns="http://schemas.openxmlformats.org/officeDocument/2006/custom-properties" xmlns:vt="http://schemas.openxmlformats.org/officeDocument/2006/docPropsVTypes"/>
</file>