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Arial" w:cs="Arial" w:eastAsia="Arial" w:hAnsi="Arial"/>
          <w:b/>
          <w:bCs/>
          <w:i w:val="false"/>
          <w:iCs w:val="false"/>
          <w:caps w:val="false"/>
          <w:color w:val="C00000"/>
          <w:sz w:val="20"/>
          <w:szCs w:val="20"/>
        </w:rPr>
        <w:t xml:space="preserve">CONFIDENTIAL</w:t>
      </w:r>
    </w:p>
    <w:p>
      <w:pPr>
        <w:spacing w:after="80" w:before="1200"/>
        <w:jc w:val="center"/>
      </w:pPr>
      <w:r>
        <w:rPr>
          <w:rFonts w:ascii="Arial" w:cs="Arial" w:eastAsia="Arial" w:hAnsi="Arial"/>
          <w:b/>
          <w:bCs/>
          <w:i w:val="false"/>
          <w:iCs w:val="false"/>
          <w:caps w:val="false"/>
          <w:color w:val="1F3864"/>
          <w:sz w:val="52"/>
          <w:szCs w:val="52"/>
        </w:rPr>
        <w:t xml:space="preserve">REGENT INTEL GROUP</w:t>
      </w:r>
    </w:p>
    <w:p>
      <w:pPr>
        <w:spacing w:after="60" w:before="0"/>
        <w:jc w:val="center"/>
      </w:pPr>
      <w:r>
        <w:rPr>
          <w:rFonts w:ascii="Arial" w:cs="Arial" w:eastAsia="Arial" w:hAnsi="Arial"/>
          <w:b w:val="false"/>
          <w:bCs w:val="false"/>
          <w:i/>
          <w:iCs/>
          <w:caps w:val="false"/>
          <w:color w:val="146E87"/>
          <w:sz w:val="24"/>
          <w:szCs w:val="24"/>
        </w:rPr>
        <w:t xml:space="preserve">Government Grade. Commercial Speed.</w:t>
      </w:r>
    </w:p>
    <w:p>
      <w:pPr>
        <w:spacing w:after="600" w:before="0"/>
        <w:jc w:val="center"/>
      </w:pPr>
      <w:r>
        <w:rPr>
          <w:rFonts w:ascii="Arial" w:cs="Arial" w:eastAsia="Arial" w:hAnsi="Arial"/>
          <w:b w:val="false"/>
          <w:bCs w:val="false"/>
          <w:i w:val="false"/>
          <w:iCs w:val="false"/>
          <w:caps w:val="false"/>
          <w:color w:val="2E5494"/>
          <w:sz w:val="20"/>
          <w:szCs w:val="20"/>
        </w:rPr>
        <w:t xml:space="preserve">Threat Development Analyst</w:t>
      </w:r>
    </w:p>
    <w:p>
      <w:pPr>
        <w:pBdr>
          <w:top w:val="single" w:color="2E5494" w:sz="12" w:space="1"/>
          <w:bottom w:val="single" w:color="2E5494" w:sz="12" w:space="1"/>
        </w:pBdr>
        <w:spacing w:after="200" w:before="200"/>
        <w:jc w:val="center"/>
      </w:pPr>
      <w:r>
        <w:rPr>
          <w:rFonts w:ascii="Arial" w:cs="Arial" w:eastAsia="Arial" w:hAnsi="Arial"/>
          <w:b/>
          <w:bCs/>
          <w:i w:val="false"/>
          <w:iCs w:val="false"/>
          <w:caps w:val="false"/>
          <w:color w:val="1F3864"/>
          <w:sz w:val="32"/>
          <w:szCs w:val="32"/>
        </w:rPr>
        <w:t xml:space="preserve">OPERATION EPIC FURY: HOMELAND FOCUS SIGNIFICANT ACTIVITY REPORT</w:t>
      </w:r>
    </w:p>
    <w:p>
      <w:pPr>
        <w:spacing w:after="200" w:before="200"/>
        <w:jc w:val="center"/>
      </w:pPr>
      <w:r>
        <w:rPr>
          <w:rFonts w:ascii="Arial" w:cs="Arial" w:eastAsia="Arial" w:hAnsi="Arial"/>
          <w:b/>
          <w:bCs/>
          <w:i w:val="false"/>
          <w:iCs w:val="false"/>
          <w:caps w:val="false"/>
          <w:color w:val="2E5494"/>
          <w:sz w:val="28"/>
          <w:szCs w:val="28"/>
        </w:rPr>
        <w:t xml:space="preserve">SIGACT-HF-055</w:t>
      </w:r>
    </w:p>
    <w:p>
      <w:pPr>
        <w:spacing w:after="300" w:before="0"/>
        <w:jc w:val="center"/>
      </w:pPr>
      <w:r>
        <w:rPr>
          <w:rFonts w:ascii="Arial" w:cs="Arial" w:eastAsia="Arial" w:hAnsi="Arial"/>
          <w:b w:val="false"/>
          <w:bCs w:val="false"/>
          <w:i w:val="false"/>
          <w:iCs w:val="false"/>
          <w:caps w:val="false"/>
          <w:color w:val="1F3864"/>
          <w:sz w:val="16"/>
          <w:szCs w:val="16"/>
        </w:rPr>
        <w:t xml:space="preserve">Regent Intel Group intelligence products are produced exclusively from open-source intelligence (OSINT). Analytical staff apply structured analytic tradecraft to public information. Judgments state likelihood and confidence separately. All predictive assessments carry inherent uncertainty and may change materially with information not visible in open sources.</w:t>
      </w:r>
    </w:p>
    <w:p>
      <w:pPr>
        <w:spacing w:after="80" w:before="0"/>
        <w:jc w:val="center"/>
      </w:pPr>
      <w:r>
        <w:rPr>
          <w:rFonts w:ascii="Arial" w:cs="Arial" w:eastAsia="Arial" w:hAnsi="Arial"/>
          <w:b w:val="false"/>
          <w:bCs w:val="false"/>
          <w:i w:val="false"/>
          <w:iCs w:val="false"/>
          <w:caps w:val="false"/>
          <w:color w:val="1F3864"/>
          <w:sz w:val="22"/>
          <w:szCs w:val="22"/>
        </w:rPr>
        <w:t xml:space="preserve">All-Source Assessment | U.S. Homeland and American Security Interests</w:t>
      </w:r>
    </w:p>
    <w:p>
      <w:pPr>
        <w:spacing w:after="80" w:before="0"/>
        <w:jc w:val="center"/>
      </w:pPr>
      <w:r>
        <w:rPr>
          <w:rFonts w:ascii="Arial" w:cs="Arial" w:eastAsia="Arial" w:hAnsi="Arial"/>
          <w:b w:val="false"/>
          <w:bCs w:val="false"/>
          <w:i w:val="false"/>
          <w:iCs w:val="false"/>
          <w:caps w:val="false"/>
          <w:color w:val="1F3864"/>
          <w:sz w:val="20"/>
          <w:szCs w:val="20"/>
        </w:rPr>
        <w:t xml:space="preserve">Period Covered: September 10, 2026 through October 25, 2026 (72-hour focus: October 22 to 25)</w:t>
      </w:r>
    </w:p>
    <w:p>
      <w:pPr>
        <w:spacing w:after="80" w:before="0"/>
        <w:jc w:val="center"/>
      </w:pPr>
      <w:r>
        <w:rPr>
          <w:rFonts w:ascii="Arial" w:cs="Arial" w:eastAsia="Arial" w:hAnsi="Arial"/>
          <w:b w:val="false"/>
          <w:bCs w:val="false"/>
          <w:i w:val="false"/>
          <w:iCs w:val="false"/>
          <w:caps w:val="false"/>
          <w:color w:val="000000"/>
          <w:sz w:val="20"/>
          <w:szCs w:val="20"/>
        </w:rPr>
        <w:t xml:space="preserve">Produced: October 25, 2026, 1500 EDT</w:t>
      </w:r>
    </w:p>
    <w:p>
      <w:pPr>
        <w:spacing w:after="1800" w:before="0"/>
        <w:jc w:val="center"/>
      </w:pPr>
      <w:r>
        <w:rPr>
          <w:rFonts w:ascii="Arial" w:cs="Arial" w:eastAsia="Arial" w:hAnsi="Arial"/>
          <w:b w:val="false"/>
          <w:bCs w:val="false"/>
          <w:i/>
          <w:iCs/>
          <w:caps w:val="false"/>
          <w:color w:val="2E5494"/>
          <w:sz w:val="18"/>
          <w:szCs w:val="18"/>
        </w:rPr>
        <w:t xml:space="preserve">Day 240 of Conflict | Operation Epic Fury Series | SIGACT-HF</w:t>
      </w:r>
    </w:p>
    <w:p>
      <w:pPr>
        <w:spacing w:after="40" w:before="40"/>
        <w:jc w:val="center"/>
      </w:pPr>
      <w:r>
        <w:rPr>
          <w:rFonts w:ascii="Arial" w:cs="Arial" w:eastAsia="Arial" w:hAnsi="Arial"/>
          <w:b/>
          <w:bCs/>
          <w:i w:val="false"/>
          <w:iCs w:val="false"/>
          <w:caps w:val="false"/>
          <w:color w:val="C00000"/>
          <w:sz w:val="20"/>
          <w:szCs w:val="20"/>
        </w:rPr>
        <w:t xml:space="preserve">CONFIDENTIAL</w:t>
      </w:r>
    </w:p>
    <w:p>
      <w:pPr>
        <w:spacing w:after="120" w:before="0"/>
        <w:jc w:val="center"/>
      </w:pPr>
      <w:r>
        <w:rPr>
          <w:rFonts w:ascii="Arial" w:cs="Arial" w:eastAsia="Arial" w:hAnsi="Arial"/>
          <w:b w:val="false"/>
          <w:bCs w:val="false"/>
          <w:i/>
          <w:iCs/>
          <w:caps w:val="false"/>
          <w:color w:val="1F3864"/>
          <w:sz w:val="16"/>
          <w:szCs w:val="16"/>
        </w:rPr>
        <w:t xml:space="preserve">Regent Intel Group | Authorized Recipients Only</w:t>
      </w:r>
    </w:p>
    <w:p>
      <w:r>
        <w:br w:type="page"/>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1: BLUF</w:t>
      </w:r>
    </w:p>
    <w:p>
      <w:pPr>
        <w:spacing w:after="120" w:line="276"/>
        <w:jc w:val="left"/>
      </w:pPr>
      <w:r>
        <w:rPr>
          <w:rFonts w:ascii="Arial" w:cs="Arial" w:eastAsia="Arial" w:hAnsi="Arial"/>
          <w:b w:val="false"/>
          <w:bCs w:val="false"/>
          <w:i w:val="false"/>
          <w:iCs w:val="false"/>
          <w:caps w:val="false"/>
          <w:color w:val="000000"/>
          <w:sz w:val="20"/>
          <w:szCs w:val="20"/>
        </w:rPr>
        <w:t xml:space="preserve">The Director of National Intelligence has told the Secretary of State in an unclassified memo that Iran has "substantially increased efforts to target U.S. personnel" and that lethal plots have "reached advanced stages" in the Middle East and "certain other countries." The memo does not reference the U.S. homeland. No reporting of a new NTAS bulletin was retrieved, and the DHS advisory page could not be reached this cycle. We assess an IRGC-directed lethal attack inside the United States in the next 30 days is highly improbable while no U.S. strike has occurred, and improbable in the 30 days after any U.S. strike on Iranian territory, which the theater product now puts at a roughly even chance before November 3. We assess it is probable that a federal or state charging document or FBI statement citing Iranian direction, inspiration, or motivation for an attack or attempted attack on a Jewish, Israeli-linked, or Iranian-dissident target in the United States is issued within 30 days. The al-Saadi prosecution shows the directed-attack model: a Kata'ib Hizballah commander abroad tasking recruits against named U.S. synagogues. Clients with personnel in Saudi Arabia should act on the State Department ordered departure now; clients with U.S. facilities should be in the pre-strike posture in Section 6 by October 28.</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2: OPERATIONAL CONTEXT</w:t>
      </w:r>
    </w:p>
    <w:p>
      <w:pPr>
        <w:spacing w:after="120" w:line="276"/>
        <w:jc w:val="left"/>
      </w:pPr>
      <w:r>
        <w:rPr>
          <w:rFonts w:ascii="Arial" w:cs="Arial" w:eastAsia="Arial" w:hAnsi="Arial"/>
          <w:b/>
          <w:bCs/>
          <w:i w:val="false"/>
          <w:iCs w:val="false"/>
          <w:caps w:val="false"/>
          <w:color w:val="000000"/>
          <w:sz w:val="20"/>
          <w:szCs w:val="20"/>
        </w:rPr>
        <w:t xml:space="preserve">Report Number:</w:t>
      </w:r>
      <w:r>
        <w:rPr>
          <w:rFonts w:ascii="Arial" w:cs="Arial" w:eastAsia="Arial" w:hAnsi="Arial"/>
          <w:b w:val="false"/>
          <w:bCs w:val="false"/>
          <w:i w:val="false"/>
          <w:iCs w:val="false"/>
          <w:caps w:val="false"/>
          <w:color w:val="000000"/>
          <w:sz w:val="20"/>
          <w:szCs w:val="20"/>
        </w:rPr>
        <w:t xml:space="preserve"> SIGACT-HF-055. </w:t>
      </w:r>
      <w:r>
        <w:rPr>
          <w:rFonts w:ascii="Arial" w:cs="Arial" w:eastAsia="Arial" w:hAnsi="Arial"/>
          <w:b/>
          <w:bCs/>
          <w:i w:val="false"/>
          <w:iCs w:val="false"/>
          <w:caps w:val="false"/>
          <w:color w:val="000000"/>
          <w:sz w:val="20"/>
          <w:szCs w:val="20"/>
        </w:rPr>
        <w:t xml:space="preserve">Supersedes:</w:t>
      </w:r>
      <w:r>
        <w:rPr>
          <w:rFonts w:ascii="Arial" w:cs="Arial" w:eastAsia="Arial" w:hAnsi="Arial"/>
          <w:b w:val="false"/>
          <w:bCs w:val="false"/>
          <w:i w:val="false"/>
          <w:iCs w:val="false"/>
          <w:caps w:val="false"/>
          <w:color w:val="000000"/>
          <w:sz w:val="20"/>
          <w:szCs w:val="20"/>
        </w:rPr>
        <w:t xml:space="preserve"> SIGACT-HF-054, September 10, 2026. </w:t>
      </w:r>
      <w:r>
        <w:rPr>
          <w:rFonts w:ascii="Arial" w:cs="Arial" w:eastAsia="Arial" w:hAnsi="Arial"/>
          <w:b/>
          <w:bCs/>
          <w:i w:val="false"/>
          <w:iCs w:val="false"/>
          <w:caps w:val="false"/>
          <w:color w:val="000000"/>
          <w:sz w:val="20"/>
          <w:szCs w:val="20"/>
        </w:rPr>
        <w:t xml:space="preserve">Classification:</w:t>
      </w:r>
      <w:r>
        <w:rPr>
          <w:rFonts w:ascii="Arial" w:cs="Arial" w:eastAsia="Arial" w:hAnsi="Arial"/>
          <w:b w:val="false"/>
          <w:bCs w:val="false"/>
          <w:i w:val="false"/>
          <w:iCs w:val="false"/>
          <w:caps w:val="false"/>
          <w:color w:val="000000"/>
          <w:sz w:val="20"/>
          <w:szCs w:val="20"/>
        </w:rPr>
        <w:t xml:space="preserve"> CONFIDENTIAL. </w:t>
      </w:r>
      <w:r>
        <w:rPr>
          <w:rFonts w:ascii="Arial" w:cs="Arial" w:eastAsia="Arial" w:hAnsi="Arial"/>
          <w:b/>
          <w:bCs/>
          <w:i w:val="false"/>
          <w:iCs w:val="false"/>
          <w:caps w:val="false"/>
          <w:color w:val="000000"/>
          <w:sz w:val="20"/>
          <w:szCs w:val="20"/>
        </w:rPr>
        <w:t xml:space="preserve">Produced by:</w:t>
      </w:r>
      <w:r>
        <w:rPr>
          <w:rFonts w:ascii="Arial" w:cs="Arial" w:eastAsia="Arial" w:hAnsi="Arial"/>
          <w:b w:val="false"/>
          <w:bCs w:val="false"/>
          <w:i w:val="false"/>
          <w:iCs w:val="false"/>
          <w:caps w:val="false"/>
          <w:color w:val="000000"/>
          <w:sz w:val="20"/>
          <w:szCs w:val="20"/>
        </w:rPr>
        <w:t xml:space="preserve"> Regent Intel Group, Threat Development Analyst. </w:t>
      </w:r>
      <w:r>
        <w:rPr>
          <w:rFonts w:ascii="Arial" w:cs="Arial" w:eastAsia="Arial" w:hAnsi="Arial"/>
          <w:b/>
          <w:bCs/>
          <w:i w:val="false"/>
          <w:iCs w:val="false"/>
          <w:caps w:val="false"/>
          <w:color w:val="000000"/>
          <w:sz w:val="20"/>
          <w:szCs w:val="20"/>
        </w:rPr>
        <w:t xml:space="preserve">As-of:</w:t>
      </w:r>
      <w:r>
        <w:rPr>
          <w:rFonts w:ascii="Arial" w:cs="Arial" w:eastAsia="Arial" w:hAnsi="Arial"/>
          <w:b w:val="false"/>
          <w:bCs w:val="false"/>
          <w:i w:val="false"/>
          <w:iCs w:val="false"/>
          <w:caps w:val="false"/>
          <w:color w:val="000000"/>
          <w:sz w:val="20"/>
          <w:szCs w:val="20"/>
        </w:rPr>
        <w:t xml:space="preserve"> October 25, 2026, 1500 EDT. </w:t>
      </w:r>
      <w:r>
        <w:rPr>
          <w:rFonts w:ascii="Arial" w:cs="Arial" w:eastAsia="Arial" w:hAnsi="Arial"/>
          <w:b/>
          <w:bCs/>
          <w:i w:val="false"/>
          <w:iCs w:val="false"/>
          <w:caps w:val="false"/>
          <w:color w:val="000000"/>
          <w:sz w:val="20"/>
          <w:szCs w:val="20"/>
        </w:rPr>
        <w:t xml:space="preserve">Period covered:</w:t>
      </w:r>
      <w:r>
        <w:rPr>
          <w:rFonts w:ascii="Arial" w:cs="Arial" w:eastAsia="Arial" w:hAnsi="Arial"/>
          <w:b w:val="false"/>
          <w:bCs w:val="false"/>
          <w:i w:val="false"/>
          <w:iCs w:val="false"/>
          <w:caps w:val="false"/>
          <w:color w:val="000000"/>
          <w:sz w:val="20"/>
          <w:szCs w:val="20"/>
        </w:rPr>
        <w:t xml:space="preserve"> September 10 to October 25, 2026. </w:t>
      </w:r>
      <w:r>
        <w:rPr>
          <w:rFonts w:ascii="Arial" w:cs="Arial" w:eastAsia="Arial" w:hAnsi="Arial"/>
          <w:b/>
          <w:bCs/>
          <w:i w:val="false"/>
          <w:iCs w:val="false"/>
          <w:caps w:val="false"/>
          <w:color w:val="000000"/>
          <w:sz w:val="20"/>
          <w:szCs w:val="20"/>
        </w:rPr>
        <w:t xml:space="preserve">Cross-reference:</w:t>
      </w:r>
      <w:r>
        <w:rPr>
          <w:rFonts w:ascii="Arial" w:cs="Arial" w:eastAsia="Arial" w:hAnsi="Arial"/>
          <w:b w:val="false"/>
          <w:bCs w:val="false"/>
          <w:i w:val="false"/>
          <w:iCs w:val="false"/>
          <w:caps w:val="false"/>
          <w:color w:val="000000"/>
          <w:sz w:val="20"/>
          <w:szCs w:val="20"/>
        </w:rPr>
        <w:t xml:space="preserve"> SITREP-EF-056 for theater context.</w:t>
      </w:r>
    </w:p>
    <w:p>
      <w:pPr>
        <w:spacing w:after="120" w:line="276"/>
        <w:jc w:val="left"/>
      </w:pPr>
      <w:r>
        <w:rPr>
          <w:rFonts w:ascii="Arial" w:cs="Arial" w:eastAsia="Arial" w:hAnsi="Arial"/>
          <w:b/>
          <w:bCs/>
          <w:i w:val="false"/>
          <w:iCs w:val="false"/>
          <w:caps w:val="false"/>
          <w:color w:val="000000"/>
          <w:sz w:val="20"/>
          <w:szCs w:val="20"/>
        </w:rPr>
        <w:t xml:space="preserve">Federal advisory status:</w:t>
      </w:r>
      <w:r>
        <w:rPr>
          <w:rFonts w:ascii="Arial" w:cs="Arial" w:eastAsia="Arial" w:hAnsi="Arial"/>
          <w:b w:val="false"/>
          <w:bCs w:val="false"/>
          <w:i w:val="false"/>
          <w:iCs w:val="false"/>
          <w:caps w:val="false"/>
          <w:color w:val="000000"/>
          <w:sz w:val="20"/>
          <w:szCs w:val="20"/>
        </w:rPr>
        <w:t xml:space="preserve"> Last NTAS bulletin known to this series: June 22, 2025. No reporting of a new bulletin was retrieved through October 25, and dhs.gov/ntas could not be reached this session, so current status is unverified (priority-one gap, Section 8). State Department ordered departure, Saudi Arabia, October 21. DNI memo to State, dated October 23.</w:t>
      </w:r>
    </w:p>
    <w:p>
      <w:pPr>
        <w:spacing w:after="120" w:line="276"/>
        <w:jc w:val="left"/>
      </w:pPr>
      <w:r>
        <w:rPr>
          <w:rFonts w:ascii="Arial" w:cs="Arial" w:eastAsia="Arial" w:hAnsi="Arial"/>
          <w:b/>
          <w:bCs/>
          <w:i w:val="false"/>
          <w:iCs w:val="false"/>
          <w:caps w:val="false"/>
          <w:color w:val="000000"/>
          <w:sz w:val="20"/>
          <w:szCs w:val="20"/>
        </w:rPr>
        <w:t xml:space="preserve">Key new items:</w:t>
      </w:r>
      <w:r>
        <w:rPr>
          <w:rFonts w:ascii="Arial" w:cs="Arial" w:eastAsia="Arial" w:hAnsi="Arial"/>
          <w:b w:val="false"/>
          <w:bCs w:val="false"/>
          <w:i w:val="false"/>
          <w:iCs w:val="false"/>
          <w:caps w:val="false"/>
          <w:color w:val="000000"/>
          <w:sz w:val="20"/>
          <w:szCs w:val="20"/>
        </w:rPr>
        <w:t xml:space="preserve"> DNI "advanced stages" memo | Saudi ordered departure | Reuters report of Iranian undersea-cable and data-center targeting plans | al-Saadi alleged direction of plots from detention (The Times via The National) | Riyadh and Dammam airport attacks with civil aviation cancellations into November | Pre-midterm strike ambiguity (Trump Oct 24).</w:t>
      </w:r>
    </w:p>
    <w:p>
      <w:pPr>
        <w:spacing w:after="120" w:line="276"/>
        <w:jc w:val="left"/>
      </w:pPr>
      <w:r>
        <w:rPr>
          <w:rFonts w:ascii="Arial" w:cs="Arial" w:eastAsia="Arial" w:hAnsi="Arial"/>
          <w:b w:val="false"/>
          <w:bCs w:val="false"/>
          <w:i w:val="false"/>
          <w:iCs w:val="false"/>
          <w:caps w:val="false"/>
          <w:color w:val="000000"/>
          <w:sz w:val="20"/>
          <w:szCs w:val="20"/>
        </w:rPr>
        <w:t xml:space="preserve">This product is produced exclusively from open-source intelligence (OSINT). It does not represent classified collection. Judgments state likelihood and confidence separately and are based on public information.</w:t>
      </w:r>
    </w:p>
    <w:p>
      <w:pPr>
        <w:spacing w:after="120" w:line="276"/>
        <w:jc w:val="left"/>
      </w:pPr>
      <w:r>
        <w:rPr>
          <w:rFonts w:ascii="Arial" w:cs="Arial" w:eastAsia="Arial" w:hAnsi="Arial"/>
          <w:b w:val="false"/>
          <w:bCs w:val="false"/>
          <w:i w:val="false"/>
          <w:iCs w:val="false"/>
          <w:caps w:val="false"/>
          <w:color w:val="000000"/>
          <w:sz w:val="20"/>
          <w:szCs w:val="20"/>
        </w:rPr>
        <w:t xml:space="preserve">This product does not profile individuals and does not assess protected speech or assembly as a threat indicator.</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3: STRATEGIC OVERVIEW</w:t>
      </w:r>
    </w:p>
    <w:p>
      <w:pPr>
        <w:keepNext/>
        <w:spacing w:after="80" w:before="160"/>
      </w:pPr>
      <w:r>
        <w:rPr>
          <w:rFonts w:ascii="Arial" w:cs="Arial" w:eastAsia="Arial" w:hAnsi="Arial"/>
          <w:b/>
          <w:bCs/>
          <w:i w:val="false"/>
          <w:iCs w:val="false"/>
          <w:caps w:val="false"/>
          <w:color w:val="2E5494"/>
          <w:sz w:val="21"/>
          <w:szCs w:val="21"/>
        </w:rPr>
        <w:t xml:space="preserve">3.1 Directed Attack Inside the United States</w:t>
      </w:r>
    </w:p>
    <w:p>
      <w:pPr>
        <w:spacing w:after="120" w:line="276"/>
        <w:jc w:val="left"/>
      </w:pPr>
      <w:r>
        <w:rPr>
          <w:rFonts w:ascii="Arial" w:cs="Arial" w:eastAsia="Arial" w:hAnsi="Arial"/>
          <w:b w:val="false"/>
          <w:bCs w:val="false"/>
          <w:i w:val="false"/>
          <w:iCs w:val="false"/>
          <w:caps w:val="false"/>
          <w:color w:val="000000"/>
          <w:sz w:val="20"/>
          <w:szCs w:val="20"/>
        </w:rPr>
        <w:t xml:space="preserve">Definitions. "Directed": DOJ or FBI publicly attributes the attack to IRGC or proxy direction within 60 days of the event. "Strike resumption": any U.S. strike on Iranian territory as defined in SITREP-EF-056, which that product assesses as a roughly even chance before November 3; a limited strike counts.</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We assess it is highly improbable (5 to 20 percent) that a directed lethal attack occurs inside the United States in the next 30 days if no U.S. strike on Iranian territory occurs. We have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20"/>
          <w:szCs w:val="20"/>
        </w:rPr>
        <w:t xml:space="preserve"> confidence; a completed lethal attack in the United States would not be missed by collection, and the base rate is zero directed lethal attacks in 240 days of conflict, including the February to April period of active strikes. In the 30 days following any U.S. strike on Iranian territory, we assess it is improbable (20 to 45 percent), lower half. We have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20"/>
          <w:szCs w:val="20"/>
        </w:rPr>
        <w:t xml:space="preserve"> confidence in the conditional judgment. Because the strike condition is itself roughly even, the unconditional 30-day chance sits in the highly improbable to improbable range. Basis: the DNI memo places advanced plots abroad, not at home; the directed network documented in the al-Saadi case relied on remote recruitment of individuals with no prior ties and was interdicted before any U.S. attack; UK authorities report more than 50 Iran-linked arrests in a year, indicating the network is most active in Europe. The single completed attack on a U.S. synagogue during the war (Temple Israel, West Bloomfield, March 12) was characterized by the FBI as "a Hezbollah-inspired act of terrorism," not directed.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Fox News Oct 24; </w:t>
      </w:r>
      <w:r>
        <w:rPr>
          <w:rFonts w:ascii="Arial" w:cs="Arial" w:eastAsia="Arial" w:hAnsi="Arial"/>
          <w:b/>
          <w:bCs/>
          <w:i w:val="false"/>
          <w:iCs w:val="false"/>
          <w:caps w:val="false"/>
          <w:color w:val="1F3864"/>
          <w:sz w:val="20"/>
          <w:szCs w:val="20"/>
        </w:rPr>
        <w:t xml:space="preserve">[GOV]</w:t>
      </w:r>
      <w:r>
        <w:rPr>
          <w:rFonts w:ascii="Arial" w:cs="Arial" w:eastAsia="Arial" w:hAnsi="Arial"/>
          <w:b w:val="false"/>
          <w:bCs w:val="false"/>
          <w:i w:val="false"/>
          <w:iCs w:val="false"/>
          <w:caps w:val="false"/>
          <w:color w:val="000000"/>
          <w:sz w:val="20"/>
          <w:szCs w:val="20"/>
        </w:rPr>
        <w:t xml:space="preserve"> DOJ May 15, 2026;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JTA Mar 31, 2026;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The National Oct 19)</w:t>
      </w:r>
    </w:p>
    <w:p>
      <w:pPr>
        <w:spacing w:after="120" w:line="276"/>
        <w:ind w:left="360"/>
      </w:pPr>
      <w:r>
        <w:rPr>
          <w:rFonts w:ascii="Arial" w:cs="Arial" w:eastAsia="Arial" w:hAnsi="Arial"/>
          <w:b/>
          <w:bCs/>
          <w:i w:val="false"/>
          <w:iCs w:val="false"/>
          <w:caps w:val="false"/>
          <w:color w:val="146E87"/>
          <w:sz w:val="20"/>
          <w:szCs w:val="20"/>
        </w:rPr>
        <w:t xml:space="preserve">Alternative View: </w:t>
      </w:r>
      <w:r>
        <w:rPr>
          <w:rFonts w:ascii="Arial" w:cs="Arial" w:eastAsia="Arial" w:hAnsi="Arial"/>
          <w:b w:val="false"/>
          <w:bCs w:val="false"/>
          <w:i w:val="false"/>
          <w:iCs w:val="false"/>
          <w:caps w:val="false"/>
          <w:color w:val="000000"/>
          <w:sz w:val="20"/>
          <w:szCs w:val="20"/>
        </w:rPr>
        <w:t xml:space="preserve">The network has already tasked U.S.-based individuals and is holding them for a strike trigger, which would move the conditional branch to roughly even or higher. The DNI's "certain other countries" language and the single-sourced allegation (The Times via The National) that al-Saadi continues to direct plots from detention support this; the latter is a flag, not a basis. It would become the lead assessment if DOJ unseals a complaint naming U.S.-based recruits, or if the FBI issues a public bulletin on IRGC recruitment via Telegram or Snapchat.</w:t>
      </w:r>
    </w:p>
    <w:p>
      <w:pPr>
        <w:keepNext/>
        <w:spacing w:after="80" w:before="160"/>
      </w:pPr>
      <w:r>
        <w:rPr>
          <w:rFonts w:ascii="Arial" w:cs="Arial" w:eastAsia="Arial" w:hAnsi="Arial"/>
          <w:b/>
          <w:bCs/>
          <w:i w:val="false"/>
          <w:iCs w:val="false"/>
          <w:caps w:val="false"/>
          <w:color w:val="2E5494"/>
          <w:sz w:val="21"/>
          <w:szCs w:val="21"/>
        </w:rPr>
        <w:t xml:space="preserve">3.2 Attacks on U.S. Personnel Abroad</w:t>
      </w:r>
    </w:p>
    <w:p>
      <w:pPr>
        <w:spacing w:after="120" w:line="276"/>
        <w:jc w:val="left"/>
      </w:pPr>
      <w:r>
        <w:rPr>
          <w:rFonts w:ascii="Arial" w:cs="Arial" w:eastAsia="Arial" w:hAnsi="Arial"/>
          <w:b w:val="false"/>
          <w:bCs w:val="false"/>
          <w:i w:val="false"/>
          <w:iCs w:val="false"/>
          <w:caps w:val="false"/>
          <w:color w:val="000000"/>
          <w:sz w:val="20"/>
          <w:szCs w:val="20"/>
        </w:rPr>
        <w:t xml:space="preserve">Definition: an attack on U.S. government, military, or diplomatic personnel or facilities abroad that the U.S. government attributes to Iran or an Iranian proxy within the window. U.S.-linked commercial shipping is excluded; it is covered in SITREP-EF-056 3.3.</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We assess it is improbable (20 to 45 percent), upper half, that such an attack occurs in the next 30 days if no U.S. strike on Iranian territory occurs, and probable (55 to 80 percent), upper half, in the 30 days after any U.S. strike. We have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20"/>
          <w:szCs w:val="20"/>
        </w:rPr>
        <w:t xml:space="preserve"> confidence in the first branch and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20"/>
          <w:szCs w:val="20"/>
        </w:rPr>
        <w:t xml:space="preserve"> in the second. The no-strike branch rests on one allied-government origin, the DNI memo, and no attack on U.S. government targets has been retrieved since the April ceasefire. The memo was screened for friendly-side narrative shaping: it was released unclassified in the same week as the President's strike remarks and immediately preceded staffing actions, so it serves the record for both an ordered departure and a strike decision; it is also consistent with genuine warning. Both readings are carried. The strike branch rests on the IRGC's stated doctrine ("if a country attacks us, we will both respond and launch an offensive") and the ordered departure.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Fox Oct 24;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ABC live Oct 23;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Oct 25; </w:t>
      </w:r>
      <w:r>
        <w:rPr>
          <w:rFonts w:ascii="Arial" w:cs="Arial" w:eastAsia="Arial" w:hAnsi="Arial"/>
          <w:b/>
          <w:bCs/>
          <w:i w:val="false"/>
          <w:iCs w:val="false"/>
          <w:caps w:val="false"/>
          <w:color w:val="1F3864"/>
          <w:sz w:val="20"/>
          <w:szCs w:val="20"/>
        </w:rPr>
        <w:t xml:space="preserve">[WIRE]</w:t>
      </w:r>
      <w:r>
        <w:rPr>
          <w:rFonts w:ascii="Arial" w:cs="Arial" w:eastAsia="Arial" w:hAnsi="Arial"/>
          <w:b w:val="false"/>
          <w:bCs w:val="false"/>
          <w:i w:val="false"/>
          <w:iCs w:val="false"/>
          <w:caps w:val="false"/>
          <w:color w:val="000000"/>
          <w:sz w:val="20"/>
          <w:szCs w:val="20"/>
        </w:rPr>
        <w:t xml:space="preserve"> Reuters via Algemeiner Oct 23)</w:t>
      </w:r>
    </w:p>
    <w:p>
      <w:pPr>
        <w:spacing w:after="120" w:line="276"/>
        <w:ind w:left="360"/>
      </w:pPr>
      <w:r>
        <w:rPr>
          <w:rFonts w:ascii="Arial" w:cs="Arial" w:eastAsia="Arial" w:hAnsi="Arial"/>
          <w:b/>
          <w:bCs/>
          <w:i w:val="false"/>
          <w:iCs w:val="false"/>
          <w:caps w:val="false"/>
          <w:color w:val="146E87"/>
          <w:sz w:val="20"/>
          <w:szCs w:val="20"/>
        </w:rPr>
        <w:t xml:space="preserve">Alternative View: </w:t>
      </w:r>
      <w:r>
        <w:rPr>
          <w:rFonts w:ascii="Arial" w:cs="Arial" w:eastAsia="Arial" w:hAnsi="Arial"/>
          <w:b w:val="false"/>
          <w:bCs w:val="false"/>
          <w:i w:val="false"/>
          <w:iCs w:val="false"/>
          <w:caps w:val="false"/>
          <w:color w:val="000000"/>
          <w:sz w:val="20"/>
          <w:szCs w:val="20"/>
        </w:rPr>
        <w:t xml:space="preserve">The plots described in the memo have already been disrupted and the memo documents a disruption rather than a pending attack, as such memos often do: roughly even on the no-strike branch. The memo's own language ("did not identify specific targets or timing") supports this. It would become the lead assessment if State lifts the Saudi ordered departure within 14 days or if DOJ announces charges tied to the plots.</w:t>
      </w:r>
    </w:p>
    <w:p>
      <w:pPr>
        <w:keepNext/>
        <w:spacing w:after="80" w:before="160"/>
      </w:pPr>
      <w:r>
        <w:rPr>
          <w:rFonts w:ascii="Arial" w:cs="Arial" w:eastAsia="Arial" w:hAnsi="Arial"/>
          <w:b/>
          <w:bCs/>
          <w:i w:val="false"/>
          <w:iCs w:val="false"/>
          <w:caps w:val="false"/>
          <w:color w:val="2E5494"/>
          <w:sz w:val="21"/>
          <w:szCs w:val="21"/>
        </w:rPr>
        <w:t xml:space="preserve">3.3 Inspired or Motivated Attacks on Jewish, Israeli-Linked, and Dissident Targets</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We assess it is probable (55 to 80 percent) that, within 30 days, a federal or state charging document or an FBI or DHS public statement is issued that cites Iranian direction, inspiration, or motivation for an attack or attempted attack on a Jewish, Israeli-linked, or Iranian-dissident target in the United States. We have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20"/>
          <w:szCs w:val="20"/>
        </w:rPr>
        <w:t xml:space="preserve"> confidence. Basis: during the March to May 2026 period such events occurred at a rate of roughly one per month (Temple Israel, March 12, FBI: "Hezbollah-inspired"; al-Saadi directed plot against New York, Los Angeles, and Scottsdale institutions, charged May 15); the Israeli election and a possible strike provide trigger events; the Ashab al-Yamin propaganda apparatus remains in circulation. Completed attacks are not required for resolution; this is a law-enforcement-activity forecast.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JTA Mar 31, 2026; </w:t>
      </w:r>
      <w:r>
        <w:rPr>
          <w:rFonts w:ascii="Arial" w:cs="Arial" w:eastAsia="Arial" w:hAnsi="Arial"/>
          <w:b/>
          <w:bCs/>
          <w:i w:val="false"/>
          <w:iCs w:val="false"/>
          <w:caps w:val="false"/>
          <w:color w:val="1F3864"/>
          <w:sz w:val="20"/>
          <w:szCs w:val="20"/>
        </w:rPr>
        <w:t xml:space="preserve">[GOV]</w:t>
      </w:r>
      <w:r>
        <w:rPr>
          <w:rFonts w:ascii="Arial" w:cs="Arial" w:eastAsia="Arial" w:hAnsi="Arial"/>
          <w:b w:val="false"/>
          <w:bCs w:val="false"/>
          <w:i w:val="false"/>
          <w:iCs w:val="false"/>
          <w:caps w:val="false"/>
          <w:color w:val="000000"/>
          <w:sz w:val="20"/>
          <w:szCs w:val="20"/>
        </w:rPr>
        <w:t xml:space="preserve"> DOJ May 15, 2026;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The National Oct 19)</w:t>
      </w:r>
    </w:p>
    <w:p>
      <w:pPr>
        <w:spacing w:after="120" w:line="276"/>
        <w:ind w:left="360"/>
      </w:pPr>
      <w:r>
        <w:rPr>
          <w:rFonts w:ascii="Arial" w:cs="Arial" w:eastAsia="Arial" w:hAnsi="Arial"/>
          <w:b/>
          <w:bCs/>
          <w:i w:val="false"/>
          <w:iCs w:val="false"/>
          <w:caps w:val="false"/>
          <w:color w:val="146E87"/>
          <w:sz w:val="20"/>
          <w:szCs w:val="20"/>
        </w:rPr>
        <w:t xml:space="preserve">Alternative View: </w:t>
      </w:r>
      <w:r>
        <w:rPr>
          <w:rFonts w:ascii="Arial" w:cs="Arial" w:eastAsia="Arial" w:hAnsi="Arial"/>
          <w:b w:val="false"/>
          <w:bCs w:val="false"/>
          <w:i w:val="false"/>
          <w:iCs w:val="false"/>
          <w:caps w:val="false"/>
          <w:color w:val="000000"/>
          <w:sz w:val="20"/>
          <w:szCs w:val="20"/>
        </w:rPr>
        <w:t xml:space="preserve">The lull since May reflects successful disruption and reduced online mobilization during the ceasefire, and the ceasefire-period rate (no retrieved U.S. charging action September 10 to October 25) governs: roughly even. It would become the lead assessment if no qualifying document or statement is issued by November 15.</w:t>
      </w:r>
    </w:p>
    <w:p>
      <w:pPr>
        <w:keepNext/>
        <w:spacing w:after="80" w:before="160"/>
      </w:pPr>
      <w:r>
        <w:rPr>
          <w:rFonts w:ascii="Arial" w:cs="Arial" w:eastAsia="Arial" w:hAnsi="Arial"/>
          <w:b/>
          <w:bCs/>
          <w:i w:val="false"/>
          <w:iCs w:val="false"/>
          <w:caps w:val="false"/>
          <w:color w:val="2E5494"/>
          <w:sz w:val="21"/>
          <w:szCs w:val="21"/>
        </w:rPr>
        <w:t xml:space="preserve">3.4 Cyber and Connectivity</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We assess it is probable (55 to 80 percent) that Iranian-attributed cyber activity against U.S. and Gulf-based digital infrastructure escalates visibly within 14 days of any U.S. strike resumption, and improbable (20 to 45 percent) in the absence of resumption. We have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20"/>
          <w:szCs w:val="20"/>
        </w:rPr>
        <w:t xml:space="preserve"> confidence; no current CISA advisory was retrieved this cycle. Basis: Reuters sourcing of plans against Gulf undersea cables with the stated aim of preventing repair; Rezaei naming data centers and AI facilities; March 2026 strikes on AWS facilities in the UAE and near Bahrain. TeleGeography notes under 1 percent of international bandwidth transits Hormuz, so impact concentrates on Gulf-hosted services, not U.S. domestic connectivity. (</w:t>
      </w:r>
      <w:r>
        <w:rPr>
          <w:rFonts w:ascii="Arial" w:cs="Arial" w:eastAsia="Arial" w:hAnsi="Arial"/>
          <w:b/>
          <w:bCs/>
          <w:i w:val="false"/>
          <w:iCs w:val="false"/>
          <w:caps w:val="false"/>
          <w:color w:val="1F3864"/>
          <w:sz w:val="20"/>
          <w:szCs w:val="20"/>
        </w:rPr>
        <w:t xml:space="preserve">[WIRE]</w:t>
      </w:r>
      <w:r>
        <w:rPr>
          <w:rFonts w:ascii="Arial" w:cs="Arial" w:eastAsia="Arial" w:hAnsi="Arial"/>
          <w:b w:val="false"/>
          <w:bCs w:val="false"/>
          <w:i w:val="false"/>
          <w:iCs w:val="false"/>
          <w:caps w:val="false"/>
          <w:color w:val="000000"/>
          <w:sz w:val="20"/>
          <w:szCs w:val="20"/>
        </w:rPr>
        <w:t xml:space="preserve"> Reuters via Algemeiner Oct 23)</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4: THREAT VECTOR ASSESSMENT TABLE</w:t>
      </w:r>
    </w:p>
    <w:p>
      <w:pPr>
        <w:spacing w:after="120" w:line="276"/>
        <w:jc w:val="left"/>
      </w:pPr>
      <w:r>
        <w:rPr>
          <w:rFonts w:ascii="Arial" w:cs="Arial" w:eastAsia="Arial" w:hAnsi="Arial"/>
          <w:b w:val="false"/>
          <w:bCs w:val="false"/>
          <w:i w:val="false"/>
          <w:iCs w:val="false"/>
          <w:caps w:val="false"/>
          <w:color w:val="000000"/>
          <w:sz w:val="20"/>
          <w:szCs w:val="20"/>
        </w:rPr>
        <w:t xml:space="preserve">Table resumes from SIGACT-HF-054 (September 10). Current assessment is the 30-day likelihood band with confidence; prior ratings are held in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900"/>
        <w:gridCol w:w="2960"/>
      </w:tblGrid>
      <w:tr>
        <w:trPr>
          <w:tblHeader/>
        </w:trPr>
        <w:tc>
          <w:tcPr>
            <w:tcW w:type="dxa" w:w="2600"/>
            <w:tcBorders>
              <w:top w:val="single" w:color="BFBFBF" w:sz="4" w:space="1"/>
              <w:left w:val="single" w:color="BFBFBF" w:sz="4" w:space="1"/>
              <w:bottom w:val="single" w:color="BFBFBF" w:sz="4" w:space="1"/>
              <w:right w:val="single" w:color="BFBFBF" w:sz="4" w:space="1"/>
            </w:tcBorders>
            <w:shd w:fill="1F3864" w:color="auto" w:val="clear"/>
            <w:tcMar>
              <w:top w:type="dxa" w:w="60"/>
              <w:left w:type="dxa" w:w="100"/>
              <w:bottom w:type="dxa" w:w="60"/>
              <w:right w:type="dxa" w:w="100"/>
            </w:tcMar>
          </w:tcPr>
          <w:p>
            <w:r>
              <w:rPr>
                <w:rFonts w:ascii="Arial" w:cs="Arial" w:eastAsia="Arial" w:hAnsi="Arial"/>
                <w:b/>
                <w:bCs/>
                <w:i w:val="false"/>
                <w:iCs w:val="false"/>
                <w:caps w:val="false"/>
                <w:color w:val="FFFFFF"/>
                <w:sz w:val="18"/>
                <w:szCs w:val="18"/>
              </w:rPr>
              <w:t xml:space="preserve">Threat Vector</w:t>
            </w:r>
          </w:p>
        </w:tc>
        <w:tc>
          <w:tcPr>
            <w:tcW w:type="dxa" w:w="2900"/>
            <w:tcBorders>
              <w:top w:val="single" w:color="BFBFBF" w:sz="4" w:space="1"/>
              <w:left w:val="single" w:color="BFBFBF" w:sz="4" w:space="1"/>
              <w:bottom w:val="single" w:color="BFBFBF" w:sz="4" w:space="1"/>
              <w:right w:val="single" w:color="BFBFBF" w:sz="4" w:space="1"/>
            </w:tcBorders>
            <w:shd w:fill="1F3864" w:color="auto" w:val="clear"/>
            <w:tcMar>
              <w:top w:type="dxa" w:w="60"/>
              <w:left w:type="dxa" w:w="100"/>
              <w:bottom w:type="dxa" w:w="60"/>
              <w:right w:type="dxa" w:w="100"/>
            </w:tcMar>
          </w:tcPr>
          <w:p>
            <w:r>
              <w:rPr>
                <w:rFonts w:ascii="Arial" w:cs="Arial" w:eastAsia="Arial" w:hAnsi="Arial"/>
                <w:b/>
                <w:bCs/>
                <w:i w:val="false"/>
                <w:iCs w:val="false"/>
                <w:caps w:val="false"/>
                <w:color w:val="FFFFFF"/>
                <w:sz w:val="18"/>
                <w:szCs w:val="18"/>
              </w:rPr>
              <w:t xml:space="preserve">Current Assessment</w:t>
            </w:r>
          </w:p>
        </w:tc>
        <w:tc>
          <w:tcPr>
            <w:tcW w:type="dxa" w:w="900"/>
            <w:tcBorders>
              <w:top w:val="single" w:color="BFBFBF" w:sz="4" w:space="1"/>
              <w:left w:val="single" w:color="BFBFBF" w:sz="4" w:space="1"/>
              <w:bottom w:val="single" w:color="BFBFBF" w:sz="4" w:space="1"/>
              <w:right w:val="single" w:color="BFBFBF" w:sz="4" w:space="1"/>
            </w:tcBorders>
            <w:shd w:fill="1F3864" w:color="auto" w:val="clear"/>
            <w:tcMar>
              <w:top w:type="dxa" w:w="60"/>
              <w:left w:type="dxa" w:w="100"/>
              <w:bottom w:type="dxa" w:w="60"/>
              <w:right w:type="dxa" w:w="100"/>
            </w:tcMar>
          </w:tcPr>
          <w:p>
            <w:r>
              <w:rPr>
                <w:rFonts w:ascii="Arial" w:cs="Arial" w:eastAsia="Arial" w:hAnsi="Arial"/>
                <w:b/>
                <w:bCs/>
                <w:i w:val="false"/>
                <w:iCs w:val="false"/>
                <w:caps w:val="false"/>
                <w:color w:val="FFFFFF"/>
                <w:sz w:val="18"/>
                <w:szCs w:val="18"/>
              </w:rPr>
              <w:t xml:space="preserve">Trend</w:t>
            </w:r>
          </w:p>
        </w:tc>
        <w:tc>
          <w:tcPr>
            <w:tcW w:type="dxa" w:w="2960"/>
            <w:tcBorders>
              <w:top w:val="single" w:color="BFBFBF" w:sz="4" w:space="1"/>
              <w:left w:val="single" w:color="BFBFBF" w:sz="4" w:space="1"/>
              <w:bottom w:val="single" w:color="BFBFBF" w:sz="4" w:space="1"/>
              <w:right w:val="single" w:color="BFBFBF" w:sz="4" w:space="1"/>
            </w:tcBorders>
            <w:shd w:fill="1F3864" w:color="auto" w:val="clear"/>
            <w:tcMar>
              <w:top w:type="dxa" w:w="60"/>
              <w:left w:type="dxa" w:w="100"/>
              <w:bottom w:type="dxa" w:w="60"/>
              <w:right w:type="dxa" w:w="100"/>
            </w:tcMar>
          </w:tcPr>
          <w:p>
            <w:r>
              <w:rPr>
                <w:rFonts w:ascii="Arial" w:cs="Arial" w:eastAsia="Arial" w:hAnsi="Arial"/>
                <w:b/>
                <w:bCs/>
                <w:i w:val="false"/>
                <w:iCs w:val="false"/>
                <w:caps w:val="false"/>
                <w:color w:val="FFFFFF"/>
                <w:sz w:val="18"/>
                <w:szCs w:val="18"/>
              </w:rPr>
              <w:t xml:space="preserve">Key Observable Indicator</w:t>
            </w:r>
          </w:p>
        </w:tc>
      </w:tr>
      <w:tr>
        <w:tc>
          <w:tcPr>
            <w:tcW w:type="dxa" w:w="26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IRGC/proxy-directed lethal attack, U.S. soil</w:t>
            </w:r>
          </w:p>
        </w:tc>
        <w:tc>
          <w:tcPr>
            <w:tcW w:type="dxa" w:w="29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Highly improbable with no U.S. strike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18"/>
                <w:szCs w:val="18"/>
              </w:rPr>
              <w:t xml:space="preserve">); improbable in 30 days after a strike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18"/>
                <w:szCs w:val="18"/>
              </w:rPr>
              <w:t xml:space="preserve">)</w:t>
            </w:r>
          </w:p>
        </w:tc>
        <w:tc>
          <w:tcPr>
            <w:tcW w:type="dxa" w:w="9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Rising</w:t>
            </w:r>
          </w:p>
        </w:tc>
        <w:tc>
          <w:tcPr>
            <w:tcW w:type="dxa" w:w="296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DOJ complaint naming U.S.-based recruits; FBI bulletin on IRGC recruitment platforms</w:t>
            </w:r>
          </w:p>
        </w:tc>
      </w:tr>
      <w:tr>
        <w:tc>
          <w:tcPr>
            <w:tcW w:type="dxa" w:w="26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Charging action or FBI statement on inspired/motivated attack, Jewish, Israeli-linked, dissident targets</w:t>
            </w:r>
          </w:p>
        </w:tc>
        <w:tc>
          <w:tcPr>
            <w:tcW w:type="dxa" w:w="29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Probable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18"/>
                <w:szCs w:val="18"/>
              </w:rPr>
              <w:t xml:space="preserve">)</w:t>
            </w:r>
          </w:p>
        </w:tc>
        <w:tc>
          <w:tcPr>
            <w:tcW w:type="dxa" w:w="9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Rising</w:t>
            </w:r>
          </w:p>
        </w:tc>
        <w:tc>
          <w:tcPr>
            <w:tcW w:type="dxa" w:w="296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Federal or state charging document citing Iran or proxy motivation; Ashab al-Yamin video circulation</w:t>
            </w:r>
          </w:p>
        </w:tc>
      </w:tr>
      <w:tr>
        <w:tc>
          <w:tcPr>
            <w:tcW w:type="dxa" w:w="26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Attack on U.S. government personnel or facilities abroad</w:t>
            </w:r>
          </w:p>
        </w:tc>
        <w:tc>
          <w:tcPr>
            <w:tcW w:type="dxa" w:w="29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Improbable with no U.S. strike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18"/>
                <w:szCs w:val="18"/>
              </w:rPr>
              <w:t xml:space="preserve">); probable after a strike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18"/>
                <w:szCs w:val="18"/>
              </w:rPr>
              <w:t xml:space="preserve">)</w:t>
            </w:r>
          </w:p>
        </w:tc>
        <w:tc>
          <w:tcPr>
            <w:tcW w:type="dxa" w:w="9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Rising</w:t>
            </w:r>
          </w:p>
        </w:tc>
        <w:tc>
          <w:tcPr>
            <w:tcW w:type="dxa" w:w="296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Ordered departure extended beyond Saudi Arabia; Embassy Baghdad alert</w:t>
            </w:r>
          </w:p>
        </w:tc>
      </w:tr>
      <w:tr>
        <w:tc>
          <w:tcPr>
            <w:tcW w:type="dxa" w:w="26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Iranian cyber against U.S. critical infrastructure</w:t>
            </w:r>
          </w:p>
        </w:tc>
        <w:tc>
          <w:tcPr>
            <w:tcW w:type="dxa" w:w="29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Improbable absent strikes; probable within 14 days of strikes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18"/>
                <w:szCs w:val="18"/>
              </w:rPr>
              <w:t xml:space="preserve">)</w:t>
            </w:r>
          </w:p>
        </w:tc>
        <w:tc>
          <w:tcPr>
            <w:tcW w:type="dxa" w:w="9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Stable</w:t>
            </w:r>
          </w:p>
        </w:tc>
        <w:tc>
          <w:tcPr>
            <w:tcW w:type="dxa" w:w="296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CISA or FBI joint advisory; confirmed Gulf cable or data center damage</w:t>
            </w:r>
          </w:p>
        </w:tc>
      </w:tr>
      <w:tr>
        <w:tc>
          <w:tcPr>
            <w:tcW w:type="dxa" w:w="26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Gulf undersea cable or data center disruption</w:t>
            </w:r>
          </w:p>
        </w:tc>
        <w:tc>
          <w:tcPr>
            <w:tcW w:type="dxa" w:w="29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Improbable absent strikes; probable if strikes resume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18"/>
                <w:szCs w:val="18"/>
              </w:rPr>
              <w:t xml:space="preserve">)</w:t>
            </w:r>
          </w:p>
        </w:tc>
        <w:tc>
          <w:tcPr>
            <w:tcW w:type="dxa" w:w="9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New</w:t>
            </w:r>
          </w:p>
        </w:tc>
        <w:tc>
          <w:tcPr>
            <w:tcW w:type="dxa" w:w="296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Reported cable fault in Hormuz or Red Sea; cloud region outage in UAE or Bahrain</w:t>
            </w:r>
          </w:p>
        </w:tc>
      </w:tr>
      <w:tr>
        <w:tc>
          <w:tcPr>
            <w:tcW w:type="dxa" w:w="26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Civil aviation disruption, Gulf</w:t>
            </w:r>
          </w:p>
        </w:tc>
        <w:tc>
          <w:tcPr>
            <w:tcW w:type="dxa" w:w="29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Nearly certain to continue for Saudi routes through November 5 (</w:t>
            </w:r>
            <w:r>
              <w:rPr>
                <w:rFonts w:ascii="Arial" w:cs="Arial" w:eastAsia="Arial" w:hAnsi="Arial"/>
                <w:b/>
                <w:bCs/>
                <w:i w:val="false"/>
                <w:iCs w:val="false"/>
                <w:caps w:val="false"/>
                <w:color w:val="1A5E1A"/>
                <w:sz w:val="20"/>
                <w:szCs w:val="20"/>
              </w:rPr>
              <w:t xml:space="preserve">HIGH</w:t>
            </w:r>
            <w:r>
              <w:rPr>
                <w:rFonts w:ascii="Arial" w:cs="Arial" w:eastAsia="Arial" w:hAnsi="Arial"/>
                <w:b w:val="false"/>
                <w:bCs w:val="false"/>
                <w:i w:val="false"/>
                <w:iCs w:val="false"/>
                <w:caps w:val="false"/>
                <w:color w:val="000000"/>
                <w:sz w:val="18"/>
                <w:szCs w:val="18"/>
              </w:rPr>
              <w:t xml:space="preserve">)</w:t>
            </w:r>
          </w:p>
        </w:tc>
        <w:tc>
          <w:tcPr>
            <w:tcW w:type="dxa" w:w="9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Rising</w:t>
            </w:r>
          </w:p>
        </w:tc>
        <w:tc>
          <w:tcPr>
            <w:tcW w:type="dxa" w:w="296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Etihad and flydubai cancellation extensions; new airport strikes</w:t>
            </w:r>
          </w:p>
        </w:tc>
      </w:tr>
      <w:tr>
        <w:tc>
          <w:tcPr>
            <w:tcW w:type="dxa" w:w="26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Hostage or detention of U.S. nationals, Iraq and Iran</w:t>
            </w:r>
          </w:p>
        </w:tc>
        <w:tc>
          <w:tcPr>
            <w:tcW w:type="dxa" w:w="29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Roughly even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18"/>
                <w:szCs w:val="18"/>
              </w:rPr>
              <w:t xml:space="preserve">)</w:t>
            </w:r>
          </w:p>
        </w:tc>
        <w:tc>
          <w:tcPr>
            <w:tcW w:type="dxa" w:w="9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Stable</w:t>
            </w:r>
          </w:p>
        </w:tc>
        <w:tc>
          <w:tcPr>
            <w:tcW w:type="dxa" w:w="296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Embassy Baghdad advisory change; militia bounty messaging</w:t>
            </w:r>
          </w:p>
        </w:tc>
      </w:tr>
      <w:tr>
        <w:tc>
          <w:tcPr>
            <w:tcW w:type="dxa" w:w="26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Federal advisory gap (no NTAS)</w:t>
            </w:r>
          </w:p>
        </w:tc>
        <w:tc>
          <w:tcPr>
            <w:tcW w:type="dxa" w:w="29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Probable that no bulletin is issued by November 24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18"/>
                <w:szCs w:val="18"/>
              </w:rPr>
              <w:t xml:space="preserve">; current status unverified)</w:t>
            </w:r>
          </w:p>
        </w:tc>
        <w:tc>
          <w:tcPr>
            <w:tcW w:type="dxa" w:w="9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Unverified</w:t>
            </w:r>
          </w:p>
        </w:tc>
        <w:tc>
          <w:tcPr>
            <w:tcW w:type="dxa" w:w="296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NTAS bulletin issuance; FBI/DHS joint bulletin</w:t>
            </w:r>
          </w:p>
        </w:tc>
      </w:tr>
    </w:tbl>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5: ANALYTICAL DEVELOPMENT</w:t>
      </w:r>
    </w:p>
    <w:p>
      <w:pPr>
        <w:keepNext/>
        <w:spacing w:after="80" w:before="160"/>
      </w:pPr>
      <w:r>
        <w:rPr>
          <w:rFonts w:ascii="Arial" w:cs="Arial" w:eastAsia="Arial" w:hAnsi="Arial"/>
          <w:b/>
          <w:bCs/>
          <w:i w:val="false"/>
          <w:iCs w:val="false"/>
          <w:caps w:val="false"/>
          <w:color w:val="2E5494"/>
          <w:sz w:val="21"/>
          <w:szCs w:val="21"/>
        </w:rPr>
        <w:t xml:space="preserve">The Directed-Attack Model, Documented in Court</w:t>
      </w:r>
    </w:p>
    <w:p>
      <w:pPr>
        <w:spacing w:after="120" w:line="276"/>
        <w:jc w:val="left"/>
      </w:pPr>
      <w:r>
        <w:rPr>
          <w:rFonts w:ascii="Arial" w:cs="Arial" w:eastAsia="Arial" w:hAnsi="Arial"/>
          <w:b w:val="false"/>
          <w:bCs w:val="false"/>
          <w:i w:val="false"/>
          <w:iCs w:val="false"/>
          <w:caps w:val="false"/>
          <w:color w:val="000000"/>
          <w:sz w:val="20"/>
          <w:szCs w:val="20"/>
        </w:rPr>
        <w:t xml:space="preserve">The al-Saadi complaint (SDNY, unsealed May 15, 2026) is the clearest open-source description of how Iranian-backed networks reach the U.S. homeland without a resident cell. Al-Saadi, described by DOJ as a senior Kata'ib Hizballah commander operating abroad, is alleged to have: posted calls to "jihad" on March 9, the day the first of at least 18 attacks in Europe began; directed the Bank of New York Mellon bombing in Amsterdam (March 15 to 16); sent an undercover officer photos and maps of a New York synagogue and two other Jewish institutions in Los Angeles and Scottsdale on April 3 and directed attacks on them; and coordinated arson and stabbing attacks in Skopje and London. The network brand, Harakat Ashab al-Yamin al-Islamiya, is described as a Kata'ib Hizballah component whose videos circulate on IRGC and Hezbollah-aligned Telegram channels. (</w:t>
      </w:r>
      <w:r>
        <w:rPr>
          <w:rFonts w:ascii="Arial" w:cs="Arial" w:eastAsia="Arial" w:hAnsi="Arial"/>
          <w:b/>
          <w:bCs/>
          <w:i w:val="false"/>
          <w:iCs w:val="false"/>
          <w:caps w:val="false"/>
          <w:color w:val="1F3864"/>
          <w:sz w:val="20"/>
          <w:szCs w:val="20"/>
        </w:rPr>
        <w:t xml:space="preserve">[GOV]</w:t>
      </w:r>
      <w:r>
        <w:rPr>
          <w:rFonts w:ascii="Arial" w:cs="Arial" w:eastAsia="Arial" w:hAnsi="Arial"/>
          <w:b w:val="false"/>
          <w:bCs w:val="false"/>
          <w:i w:val="false"/>
          <w:iCs w:val="false"/>
          <w:caps w:val="false"/>
          <w:color w:val="000000"/>
          <w:sz w:val="20"/>
          <w:szCs w:val="20"/>
        </w:rPr>
        <w:t xml:space="preserve"> DOJ May 15, 2026)</w:t>
      </w:r>
    </w:p>
    <w:p>
      <w:pPr>
        <w:spacing w:after="120" w:line="276"/>
        <w:jc w:val="left"/>
      </w:pPr>
      <w:r>
        <w:rPr>
          <w:rFonts w:ascii="Arial" w:cs="Arial" w:eastAsia="Arial" w:hAnsi="Arial"/>
          <w:b w:val="false"/>
          <w:bCs w:val="false"/>
          <w:i w:val="false"/>
          <w:iCs w:val="false"/>
          <w:caps w:val="false"/>
          <w:color w:val="000000"/>
          <w:sz w:val="20"/>
          <w:szCs w:val="20"/>
        </w:rPr>
        <w:t xml:space="preserve">What the model means for protective planning: targeting is remote, recruits are individuals without prior network ties, tasking includes reconnaissance imagery and maps of specific institutions, and the propaganda cycle is tight (video within one to four days of an attack). The Times, reporting on DOJ filings, says al-Saadi has continued to direct plots from detention through coded calls, about $1 million in transfers, and propaganda oversight. That allegation is unproven and disputed by his defenders; if accurate it means detention of a single commander did not stop the tasking function.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The National Oct 19, citing The Times)</w:t>
      </w:r>
    </w:p>
    <w:p>
      <w:pPr>
        <w:keepNext/>
        <w:spacing w:after="80" w:before="160"/>
      </w:pPr>
      <w:r>
        <w:rPr>
          <w:rFonts w:ascii="Arial" w:cs="Arial" w:eastAsia="Arial" w:hAnsi="Arial"/>
          <w:b/>
          <w:bCs/>
          <w:i w:val="false"/>
          <w:iCs w:val="false"/>
          <w:caps w:val="false"/>
          <w:color w:val="2E5494"/>
          <w:sz w:val="21"/>
          <w:szCs w:val="21"/>
        </w:rPr>
        <w:t xml:space="preserve">Observable Indicators of Network Activation</w:t>
      </w:r>
    </w:p>
    <w:p>
      <w:pPr>
        <w:spacing w:after="120" w:line="276"/>
        <w:jc w:val="left"/>
      </w:pPr>
      <w:r>
        <w:rPr>
          <w:rFonts w:ascii="Arial" w:cs="Arial" w:eastAsia="Arial" w:hAnsi="Arial"/>
          <w:b w:val="false"/>
          <w:bCs w:val="false"/>
          <w:i w:val="false"/>
          <w:iCs w:val="false"/>
          <w:caps w:val="false"/>
          <w:color w:val="000000"/>
          <w:sz w:val="20"/>
          <w:szCs w:val="20"/>
        </w:rPr>
        <w:t xml:space="preserve">Clients and law enforcement liaison should watch for: new Ashab al-Yamin or Kata'ib Hizballah video releases referencing U.S. cities; DOJ unsealing of complaints involving U.S.-based recruits; FBI or JTTF outreach to Jewish community institutions in New York, Los Angeles, or Arizona; reports of hostile reconnaissance (photography, mapping, repeated visits) at religious or Israeli-linked sites; and any FBI public statement about recruitment on Telegram or Snapchat. The United Kingdom reports more than 50 Iran-linked arrests in the past year and a RUSI-briefed assessment that Iran is "operating at the maximum of its capability in the UK"; European activity has preceded U.S. activity in this network by weeks.</w:t>
      </w:r>
    </w:p>
    <w:p>
      <w:pPr>
        <w:keepNext/>
        <w:spacing w:after="80" w:before="160"/>
      </w:pPr>
      <w:r>
        <w:rPr>
          <w:rFonts w:ascii="Arial" w:cs="Arial" w:eastAsia="Arial" w:hAnsi="Arial"/>
          <w:b/>
          <w:bCs/>
          <w:i w:val="false"/>
          <w:iCs w:val="false"/>
          <w:caps w:val="false"/>
          <w:color w:val="2E5494"/>
          <w:sz w:val="21"/>
          <w:szCs w:val="21"/>
        </w:rPr>
        <w:t xml:space="preserve">Why the DNI Memo Matters Even Though It Is About Abroad</w:t>
      </w:r>
    </w:p>
    <w:p>
      <w:pPr>
        <w:spacing w:after="120" w:line="276"/>
        <w:jc w:val="left"/>
      </w:pPr>
      <w:r>
        <w:rPr>
          <w:rFonts w:ascii="Arial" w:cs="Arial" w:eastAsia="Arial" w:hAnsi="Arial"/>
          <w:b w:val="false"/>
          <w:bCs w:val="false"/>
          <w:i w:val="false"/>
          <w:iCs w:val="false"/>
          <w:caps w:val="false"/>
          <w:color w:val="000000"/>
          <w:sz w:val="20"/>
          <w:szCs w:val="20"/>
        </w:rPr>
        <w:t xml:space="preserve">The memo is unclassified and was sent to State, which has acted on it with an ordered departure and staffing changes. Its silence on the homeland is a limit of the memo's purpose, not a finding of safety. The pattern in March 2026 was that an inspired attack on a U.S. synagogue followed the start of hostilities within two weeks without any federal advisory. We therefore key Homeland posture to the strike calendar in SITREP-EF-056 (a roughly even chance of a strike before November 3 and a roughly even chance of a campaign by December 31), not to federal advisories. Dates to carry: October 27 Israeli vote, November 3 midterms, end of November force arrival.</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6: PROTECTIVE GUIDANCE</w:t>
      </w:r>
    </w:p>
    <w:p>
      <w:pPr>
        <w:keepNext/>
        <w:spacing w:after="80" w:before="160"/>
      </w:pPr>
      <w:r>
        <w:rPr>
          <w:rFonts w:ascii="Arial" w:cs="Arial" w:eastAsia="Arial" w:hAnsi="Arial"/>
          <w:b/>
          <w:bCs/>
          <w:i w:val="false"/>
          <w:iCs w:val="false"/>
          <w:caps w:val="false"/>
          <w:color w:val="2E5494"/>
          <w:sz w:val="21"/>
          <w:szCs w:val="21"/>
        </w:rPr>
        <w:t xml:space="preserve">All client categories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Treat October 28 as the posture-change date. The theater product assesses a roughly even chance of a U.S. strike before November 3 and names the Israeli result on October 28 as a branch point. Move to the pre-strike posture below by October 28 and hold through December 31 unless a signed agreement is announced.</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Confirm JTTF or FBI field office liaison contact and the reporting path for suspicious activity before November 3.</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Do not key posture to NTAS. Assume no federal advisory will precede an event.</w:t>
      </w:r>
    </w:p>
    <w:p>
      <w:pPr>
        <w:keepNext/>
        <w:spacing w:after="80" w:before="160"/>
      </w:pPr>
      <w:r>
        <w:rPr>
          <w:rFonts w:ascii="Arial" w:cs="Arial" w:eastAsia="Arial" w:hAnsi="Arial"/>
          <w:b/>
          <w:bCs/>
          <w:i w:val="false"/>
          <w:iCs w:val="false"/>
          <w:caps w:val="false"/>
          <w:color w:val="2E5494"/>
          <w:sz w:val="21"/>
          <w:szCs w:val="21"/>
        </w:rPr>
        <w:t xml:space="preserve">Category A: Corporate security, U.S. facilities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Pre-strike posture: increase exterior patrol and camera review at perimeter and parking; brief lobby and mail staff on hostile reconnaissance indicators (repeated photography, questions about schedules, unattended vehicles); verify visitor management is enforced.</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If a U.S. strike occurs: for 14 days, stand up a daily security call, restrict non-essential visitor access, and coordinate with local law enforcement on patrol frequency. Indicator for stand-down: 14 days without a federal charging document or FBI bulletin referencing Iran.</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Jewish community institutions, Israeli-linked businesses, and Iranian-dissident organizations should apply the post-strike posture now, given 3.3.</w:t>
      </w:r>
    </w:p>
    <w:p>
      <w:pPr>
        <w:keepNext/>
        <w:spacing w:after="80" w:before="160"/>
      </w:pPr>
      <w:r>
        <w:rPr>
          <w:rFonts w:ascii="Arial" w:cs="Arial" w:eastAsia="Arial" w:hAnsi="Arial"/>
          <w:b/>
          <w:bCs/>
          <w:i w:val="false"/>
          <w:iCs w:val="false"/>
          <w:caps w:val="false"/>
          <w:color w:val="2E5494"/>
          <w:sz w:val="21"/>
          <w:szCs w:val="21"/>
        </w:rPr>
        <w:t xml:space="preserve">Category B: Maritime, energy, logistics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Hormuz: assume ten or more attacks per week through November 8; the Oman-coast southern route carries 57 of 79 projectile incidents since July 6 and is not a safe alternative. Plan on Kpler flows near 68 percent of pre-war and on insurance repricing.</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Saudi sites: the ordered departure applies to U.S. government personnel; apply the same standard to non-essential contractor staff in Riyadh, Eastern Province, and the southwest. Aramco has evacuated Dhahran HQ. Patriot coverage failed at Riyadh on October 10; do not assume interception.</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Connectivity: for Gulf-hosted systems, confirm failover to regions outside the UAE and Bahrain and test it before October 28; the stated Iranian aim is to prevent repair.</w:t>
      </w:r>
    </w:p>
    <w:p>
      <w:pPr>
        <w:keepNext/>
        <w:spacing w:after="80" w:before="160"/>
      </w:pPr>
      <w:r>
        <w:rPr>
          <w:rFonts w:ascii="Arial" w:cs="Arial" w:eastAsia="Arial" w:hAnsi="Arial"/>
          <w:b/>
          <w:bCs/>
          <w:i w:val="false"/>
          <w:iCs w:val="false"/>
          <w:caps w:val="false"/>
          <w:color w:val="2E5494"/>
          <w:sz w:val="21"/>
          <w:szCs w:val="21"/>
        </w:rPr>
        <w:t xml:space="preserve">Category C: Travel and duty of care</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Saudi Arabia: defer non-essential travel; Etihad Saudi routes are cancelled through November 5 and flydubai through October 29. Riyadh airport is operating two terminals.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Israel: expect election-related disruption October 27 to 29 and a West Bank lockdown; no change to the Iran-strike risk window for travelers (see SITREP-EF-056 Section 7).</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Iraq and Lebanon: no travel. UAE, Qatar, Bahrain, Kuwait: travel permitted with a 24-hour departure plan; the trigger to depart is extension of the U.S. ordered departure to that country.</w:t>
      </w:r>
    </w:p>
    <w:p>
      <w:pPr>
        <w:keepNext/>
        <w:spacing w:after="80" w:before="160"/>
      </w:pPr>
      <w:r>
        <w:rPr>
          <w:rFonts w:ascii="Arial" w:cs="Arial" w:eastAsia="Arial" w:hAnsi="Arial"/>
          <w:b/>
          <w:bCs/>
          <w:i w:val="false"/>
          <w:iCs w:val="false"/>
          <w:caps w:val="false"/>
          <w:color w:val="2E5494"/>
          <w:sz w:val="21"/>
          <w:szCs w:val="21"/>
        </w:rPr>
        <w:t xml:space="preserve">Category D: Financial and strategic risk</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Plan Q4 and Q1 on Brent above $100 and on a roughly even chance of a U.S. campaign by December 31 with siege plus limited strikes as the main alternative; a signed agreement by November 30 is highly improbable.</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Monitor two decision points: the Israeli coalition outcome (mid-November) and the Roosevelt group arrival (end of November).</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7: ASSESSMENT AND OUTLOOK</w:t>
      </w:r>
    </w:p>
    <w:p>
      <w:pPr>
        <w:keepNext/>
        <w:spacing w:after="80" w:before="160"/>
      </w:pPr>
      <w:r>
        <w:rPr>
          <w:rFonts w:ascii="Arial" w:cs="Arial" w:eastAsia="Arial" w:hAnsi="Arial"/>
          <w:b/>
          <w:bCs/>
          <w:i w:val="false"/>
          <w:iCs w:val="false"/>
          <w:caps w:val="false"/>
          <w:color w:val="2E5494"/>
          <w:sz w:val="21"/>
          <w:szCs w:val="21"/>
        </w:rPr>
        <w:t xml:space="preserve">24 to 72 hours</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We assess it is highly improbable (5 to 20 percent) that a directed lethal attack occurs in the United States in this window. We have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20"/>
          <w:szCs w:val="20"/>
        </w:rPr>
        <w:t xml:space="preserve"> confidence. Assumption: a U.S. strike in this three-day window is itself improbable (SITREP-EF-056 Section 7). Client decision: complete liaison contact, Saudi personnel decisions, and the pre-strike posture by October 28. What would most change this: a U.S. strike on Iranian territory, or an opposition lead in Israel on October 28.</w:t>
      </w:r>
    </w:p>
    <w:p>
      <w:pPr>
        <w:keepNext/>
        <w:spacing w:after="80" w:before="160"/>
      </w:pPr>
      <w:r>
        <w:rPr>
          <w:rFonts w:ascii="Arial" w:cs="Arial" w:eastAsia="Arial" w:hAnsi="Arial"/>
          <w:b/>
          <w:bCs/>
          <w:i w:val="false"/>
          <w:iCs w:val="false"/>
          <w:caps w:val="false"/>
          <w:color w:val="2E5494"/>
          <w:sz w:val="21"/>
          <w:szCs w:val="21"/>
        </w:rPr>
        <w:t xml:space="preserve">7 to 14 days</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We assess it is probable (55 to 80 percent) that at least one publicly reported arrest, charge, or interdiction tied to Iran or its proxies occurs in the United States or an allied country in this window. We have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20"/>
          <w:szCs w:val="20"/>
        </w:rPr>
        <w:t xml:space="preserve"> confidence. Assumption: law enforcement tempo continues at the UK-reported rate. Client decision: pre-strike posture held. What would most change this: DOJ unsealing involving U.S.-based recruits (upgrade) or State lifting the Saudi ordered departure (downgrade).</w:t>
      </w:r>
    </w:p>
    <w:p>
      <w:pPr>
        <w:keepNext/>
        <w:spacing w:after="80" w:before="160"/>
      </w:pPr>
      <w:r>
        <w:rPr>
          <w:rFonts w:ascii="Arial" w:cs="Arial" w:eastAsia="Arial" w:hAnsi="Arial"/>
          <w:b/>
          <w:bCs/>
          <w:i w:val="false"/>
          <w:iCs w:val="false"/>
          <w:caps w:val="false"/>
          <w:color w:val="2E5494"/>
          <w:sz w:val="21"/>
          <w:szCs w:val="21"/>
        </w:rPr>
        <w:t xml:space="preserve">30 to 90 days</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We assess a roughly even chance (45 to 55 percent) that a U.S. campaign occurs between November 4 and December 31 and, in the 30 days after any U.S. strike on Iranian territory, an improbable (20 to 45 percent) chance that a directed lethal attack is attempted inside the United States. We have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20"/>
          <w:szCs w:val="20"/>
        </w:rPr>
        <w:t xml:space="preserve"> confidence in the first and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20"/>
          <w:szCs w:val="20"/>
        </w:rPr>
        <w:t xml:space="preserve"> in the second. Assumption: the directed-attack model documented in the al-Saadi case remains the network's method. Client decision: budget for a 60-day elevated posture beginning October 28. What would most change this: a signed agreement, or evidence that the network has shifted from remote tasking to pre-positioned operatives.</w:t>
      </w:r>
    </w:p>
    <w:p>
      <w:pPr>
        <w:keepNext/>
        <w:spacing w:after="80" w:before="160"/>
      </w:pPr>
      <w:r>
        <w:rPr>
          <w:rFonts w:ascii="Arial" w:cs="Arial" w:eastAsia="Arial" w:hAnsi="Arial"/>
          <w:b/>
          <w:bCs/>
          <w:i w:val="false"/>
          <w:iCs w:val="false"/>
          <w:caps w:val="false"/>
          <w:color w:val="2E5494"/>
          <w:sz w:val="21"/>
          <w:szCs w:val="21"/>
        </w:rPr>
        <w:t xml:space="preserve">6 to 12 months</w:t>
      </w:r>
    </w:p>
    <w:p>
      <w:pPr>
        <w:spacing w:after="120" w:line="276"/>
        <w:jc w:val="left"/>
      </w:pPr>
      <w:r>
        <w:rPr>
          <w:rFonts w:ascii="Arial" w:cs="Arial" w:eastAsia="Arial" w:hAnsi="Arial"/>
          <w:b w:val="false"/>
          <w:bCs w:val="false"/>
          <w:i w:val="false"/>
          <w:iCs w:val="false"/>
          <w:caps w:val="false"/>
          <w:color w:val="000000"/>
          <w:sz w:val="20"/>
          <w:szCs w:val="20"/>
        </w:rPr>
        <w:t xml:space="preserve">Characterization: the Homeland threat tracks the theater calendar and is not mitigated by federal advisories. Long-horizon scenarios are reserved for STRAT-EF-001.</w:t>
      </w:r>
    </w:p>
    <w:p>
      <w:pPr>
        <w:keepNext/>
        <w:spacing w:after="80" w:before="160"/>
      </w:pPr>
      <w:r>
        <w:rPr>
          <w:rFonts w:ascii="Arial" w:cs="Arial" w:eastAsia="Arial" w:hAnsi="Arial"/>
          <w:b/>
          <w:bCs/>
          <w:i w:val="false"/>
          <w:iCs w:val="false"/>
          <w:caps w:val="false"/>
          <w:color w:val="2E5494"/>
          <w:sz w:val="21"/>
          <w:szCs w:val="21"/>
        </w:rPr>
        <w:t xml:space="preserve">Downgrade Criteria</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A signed U.S.-Iran instrument announced by both governments.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State lifts the Saudi ordered departure.</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Thirty days pass after any strike resumption without a federal charging document or FBI bulletin referencing Iran or its proxies.</w:t>
      </w:r>
    </w:p>
    <w:p>
      <w:pPr>
        <w:keepNext/>
        <w:spacing w:after="80" w:before="160"/>
      </w:pPr>
      <w:r>
        <w:rPr>
          <w:rFonts w:ascii="Arial" w:cs="Arial" w:eastAsia="Arial" w:hAnsi="Arial"/>
          <w:b/>
          <w:bCs/>
          <w:i w:val="false"/>
          <w:iCs w:val="false"/>
          <w:caps w:val="false"/>
          <w:color w:val="2E5494"/>
          <w:sz w:val="21"/>
          <w:szCs w:val="21"/>
        </w:rPr>
        <w:t xml:space="preserve">Upgrade Criteria</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DOJ unseals a complaint naming U.S.-based individuals tasked by IRGC or Kata'ib Hizballah.</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FBI or DHS issues any public bulletin on Iranian recruitment or targeting in the United States.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A completed attack on a Jewish, Israeli-linked, or dissident site in the United States with stated Iran-related motivation.</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Ordered departure extended to a second Gulf state, or Embassy Baghdad evacuation.</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Confirmed Gulf undersea cable damage or Gulf data center strike.</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8: INFORMATION GAPS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Priority one: current NTAS status. dhs.gov/ntas not reachable this session and no reporting of a new bulletin retrieved; the DNI memo is the kind of event that preceded the June 2025 bulletin. Changes the federal advisory vector and the Section 6 assumption that no advisory will precede an event.</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Whether any current CISA or FBI advisory on Iranian cyber activity exists; none retrieved. Changes 3.4 confidence.</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Whether the "certain other countries" in the DNI memo include any in the Western Hemisphere. Changes 3.1 directly.</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Status and terms of al-Saadi's continued-direction allegation (court filing versus press characterization). Changes the activation indicator set in Section 5.</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Any U.S. domestic arrests or charges referencing Iran between September 10 and October 25; none retrieved this cycle, which may reflect collection limits rather than absence.</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9: SOURCES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Fox News, "Iran has 'substantially increased' efforts to target Americans abroad, US intelligence memo warns," October 24, 2026 (DNI memo, State Department ordered departure; Axios first).</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2.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ABC News live updates, October 23 to 25, 2026 (DNI memo dated October 23; UKMTO; Saudi civil defense).</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3. </w:t>
      </w:r>
      <w:r>
        <w:rPr>
          <w:rFonts w:ascii="Arial" w:cs="Arial" w:eastAsia="Arial" w:hAnsi="Arial"/>
          <w:b/>
          <w:bCs/>
          <w:i w:val="false"/>
          <w:iCs w:val="false"/>
          <w:caps w:val="false"/>
          <w:color w:val="1F3864"/>
          <w:sz w:val="20"/>
          <w:szCs w:val="20"/>
        </w:rPr>
        <w:t xml:space="preserve">[GOV]</w:t>
      </w:r>
      <w:r>
        <w:rPr>
          <w:rFonts w:ascii="Arial" w:cs="Arial" w:eastAsia="Arial" w:hAnsi="Arial"/>
          <w:b w:val="false"/>
          <w:bCs w:val="false"/>
          <w:i w:val="false"/>
          <w:iCs w:val="false"/>
          <w:caps w:val="false"/>
          <w:color w:val="000000"/>
          <w:sz w:val="20"/>
          <w:szCs w:val="20"/>
        </w:rPr>
        <w:t xml:space="preserve"> U.S. Department of Justice, Office of Public Affairs, "Iraqi National Arrested and Charged with Providing Material Support to Iranian-Backed Terrorist Organizations and Directing Attacks Targeting U.S. Citizens and Interests," May 15,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4.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The National (UAE), "Iranian 'terror mastermind' feared to be plotting attacks from behind bars," October 19, 2026 (citing The Times and DOJ filings; allegations unproven).</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5. </w:t>
      </w:r>
      <w:r>
        <w:rPr>
          <w:rFonts w:ascii="Arial" w:cs="Arial" w:eastAsia="Arial" w:hAnsi="Arial"/>
          <w:b/>
          <w:bCs/>
          <w:i w:val="false"/>
          <w:iCs w:val="false"/>
          <w:caps w:val="false"/>
          <w:color w:val="1F3864"/>
          <w:sz w:val="20"/>
          <w:szCs w:val="20"/>
        </w:rPr>
        <w:t xml:space="preserve">[WIRE]</w:t>
      </w:r>
      <w:r>
        <w:rPr>
          <w:rFonts w:ascii="Arial" w:cs="Arial" w:eastAsia="Arial" w:hAnsi="Arial"/>
          <w:b w:val="false"/>
          <w:bCs w:val="false"/>
          <w:i w:val="false"/>
          <w:iCs w:val="false"/>
          <w:caps w:val="false"/>
          <w:color w:val="000000"/>
          <w:sz w:val="20"/>
          <w:szCs w:val="20"/>
        </w:rPr>
        <w:t xml:space="preserve"> Reuters via The Algemeiner, "Iran has detailed plans to hit Gulf undersea cables if war resumes, officials say," October 23,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6.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UPI, "U.S. State Department orders some staff, families to leave Saudi Arabia," October 21,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7.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Gulf News, "US-Israel-Iran war: What UAE residents need to know today, October 24, 2026" (airline cancellations).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8. </w:t>
      </w:r>
      <w:r>
        <w:rPr>
          <w:rFonts w:ascii="Arial" w:cs="Arial" w:eastAsia="Arial" w:hAnsi="Arial"/>
          <w:b/>
          <w:bCs/>
          <w:i w:val="false"/>
          <w:iCs w:val="false"/>
          <w:caps w:val="false"/>
          <w:color w:val="1F3864"/>
          <w:sz w:val="20"/>
          <w:szCs w:val="20"/>
        </w:rPr>
        <w:t xml:space="preserve">[WIRE]</w:t>
      </w:r>
      <w:r>
        <w:rPr>
          <w:rFonts w:ascii="Arial" w:cs="Arial" w:eastAsia="Arial" w:hAnsi="Arial"/>
          <w:b w:val="false"/>
          <w:bCs w:val="false"/>
          <w:i w:val="false"/>
          <w:iCs w:val="false"/>
          <w:caps w:val="false"/>
          <w:color w:val="000000"/>
          <w:sz w:val="20"/>
          <w:szCs w:val="20"/>
        </w:rPr>
        <w:t xml:space="preserve"> Associated Press via PBS NewsHour, "Saudis probe how defense systems failed," October 12,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9.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"US and Iran both claim control of Strait of Hormuz," October 17, 2026; "CENTCOM reportedly has plans for Iran strikes," October 25,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10.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Fox News live, October 23, 2026 (UKMTO route data).</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11.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Jewish Telegraphic Agency, "FBI confirms that Temple Israel attacker was 'Hezbollah-inspired'," March 31,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12.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"Trump says US will not strike Iran before midterm elections," October 9, 2026 (Truth Social text).</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13. SITREP-EF-056, October 25, 2026 (theater judgments cross-referenced in 3.1, 3.2, and Section 7).</w:t>
      </w: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2E5494" w:sz="6" w:space="1"/>
      </w:pBdr>
      <w:spacing w:after="40"/>
      <w:jc w:val="center"/>
    </w:pPr>
    <w:r>
      <w:rPr>
        <w:rFonts w:ascii="Arial" w:cs="Arial" w:eastAsia="Arial" w:hAnsi="Arial"/>
        <w:b/>
        <w:bCs/>
        <w:i w:val="false"/>
        <w:iCs w:val="false"/>
        <w:caps w:val="false"/>
        <w:color w:val="C00000"/>
        <w:sz w:val="18"/>
        <w:szCs w:val="18"/>
      </w:rPr>
      <w:t xml:space="preserve">CONFIDENTIAL</w:t>
    </w:r>
  </w:p>
  <w:p>
    <w:pPr>
      <w:tabs>
        <w:tab w:val="right" w:pos="9360"/>
      </w:tabs>
    </w:pPr>
    <w:r>
      <w:rPr>
        <w:rFonts w:ascii="Arial" w:cs="Arial" w:eastAsia="Arial" w:hAnsi="Arial"/>
        <w:b w:val="false"/>
        <w:bCs w:val="false"/>
        <w:i w:val="false"/>
        <w:iCs w:val="false"/>
        <w:caps w:val="false"/>
        <w:color w:val="1F3864"/>
        <w:sz w:val="14"/>
        <w:szCs w:val="14"/>
      </w:rPr>
      <w:t xml:space="preserve">Prepared by Regent Intel Group, Threat Development Analyst | Authorized Recipients Only</w:t>
    </w:r>
    <w:r>
      <w:rPr>
        <w:rFonts w:ascii="Arial" w:cs="Arial" w:eastAsia="Arial" w:hAnsi="Arial"/>
        <w:b/>
        <w:bCs/>
        <w:color w:val="1F3864"/>
        <w:sz w:val="14"/>
        <w:szCs w:val="14"/>
      </w:rPr>
      <w:t xml:space="preserve">	CONFIDENTIAL</w:t>
    </w:r>
    <w:r>
      <w:rPr>
        <w:rFonts w:ascii="Arial" w:cs="Arial" w:eastAsia="Arial" w:hAnsi="Arial"/>
        <w:color w:val="1F3864"/>
        <w:sz w:val="14"/>
        <w:szCs w:val="14"/>
      </w:rPr>
      <w:t xml:space="preserve">  Page </w:t>
    </w:r>
    <w:r>
      <w:rPr>
        <w:rFonts w:ascii="Arial" w:cs="Arial" w:eastAsia="Arial" w:hAnsi="Arial"/>
        <w:color w:val="1F3864"/>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2E5494" w:sz="6" w:space="1"/>
      </w:pBdr>
      <w:spacing w:after="40"/>
      <w:jc w:val="center"/>
    </w:pPr>
    <w:r>
      <w:rPr>
        <w:rFonts w:ascii="Arial" w:cs="Arial" w:eastAsia="Arial" w:hAnsi="Arial"/>
        <w:b/>
        <w:bCs/>
        <w:i w:val="false"/>
        <w:iCs w:val="false"/>
        <w:caps w:val="false"/>
        <w:color w:val="C00000"/>
        <w:sz w:val="18"/>
        <w:szCs w:val="18"/>
      </w:rPr>
      <w:t xml:space="preserve">CONFIDENTIAL</w:t>
    </w:r>
  </w:p>
  <w:p>
    <w:pPr>
      <w:tabs>
        <w:tab w:val="right" w:pos="9360"/>
      </w:tabs>
    </w:pPr>
    <w:r>
      <w:rPr>
        <w:rFonts w:ascii="Arial" w:cs="Arial" w:eastAsia="Arial" w:hAnsi="Arial"/>
        <w:b w:val="false"/>
        <w:bCs w:val="false"/>
        <w:i w:val="false"/>
        <w:iCs w:val="false"/>
        <w:caps w:val="false"/>
        <w:color w:val="1F3864"/>
        <w:sz w:val="14"/>
        <w:szCs w:val="14"/>
      </w:rPr>
      <w:t xml:space="preserve">Prepared by Regent Intel Group, Threat Development Analyst | Authorized Recipients Only</w:t>
    </w:r>
    <w:r>
      <w:rPr>
        <w:rFonts w:ascii="Arial" w:cs="Arial" w:eastAsia="Arial" w:hAnsi="Arial"/>
        <w:b/>
        <w:bCs/>
        <w:color w:val="1F3864"/>
        <w:sz w:val="14"/>
        <w:szCs w:val="14"/>
      </w:rPr>
      <w:t xml:space="preserve">	CONFIDENTIAL</w:t>
    </w:r>
    <w:r>
      <w:rPr>
        <w:rFonts w:ascii="Arial" w:cs="Arial" w:eastAsia="Arial" w:hAnsi="Arial"/>
        <w:color w:val="1F3864"/>
        <w:sz w:val="14"/>
        <w:szCs w:val="14"/>
      </w:rPr>
      <w:t xml:space="preserve">  Page </w:t>
    </w:r>
    <w:r>
      <w:rPr>
        <w:rFonts w:ascii="Arial" w:cs="Arial" w:eastAsia="Arial" w:hAnsi="Arial"/>
        <w:color w:val="1F386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4" w:sz="6" w:space="1"/>
      </w:pBdr>
      <w:tabs>
        <w:tab w:val="right" w:pos="9360"/>
      </w:tabs>
    </w:pPr>
    <w:r>
      <w:rPr>
        <w:rFonts w:ascii="Arial" w:cs="Arial" w:eastAsia="Arial" w:hAnsi="Arial"/>
        <w:b/>
        <w:bCs/>
        <w:i w:val="false"/>
        <w:iCs w:val="false"/>
        <w:caps w:val="false"/>
        <w:color w:val="1F3864"/>
        <w:sz w:val="16"/>
        <w:szCs w:val="16"/>
      </w:rPr>
      <w:t xml:space="preserve">CONFIDENTIAL, REGENT INTEL GROUP</w:t>
    </w:r>
    <w:r>
      <w:rPr>
        <w:rFonts w:ascii="Arial" w:cs="Arial" w:eastAsia="Arial" w:hAnsi="Arial"/>
        <w:color w:val="1F3864"/>
        <w:sz w:val="16"/>
        <w:szCs w:val="16"/>
      </w:rPr>
      <w:t xml:space="preserve">	SIGACT-HF-055</w:t>
    </w:r>
  </w:p>
  <w:p>
    <w:pPr>
      <w:spacing w:after="40" w:before="40"/>
      <w:jc w:val="center"/>
    </w:pPr>
    <w:r>
      <w:rPr>
        <w:rFonts w:ascii="Arial" w:cs="Arial" w:eastAsia="Arial" w:hAnsi="Arial"/>
        <w:b/>
        <w:bCs/>
        <w:i w:val="false"/>
        <w:iCs w:val="false"/>
        <w:caps w:val="false"/>
        <w:color w:val="C00000"/>
        <w:sz w:val="18"/>
        <w:szCs w:val="18"/>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SIGACT-HF-055 OPERATION EPIC FURY: HOMELAND FOCUS SIGNIFICANT ACTIVITY REPORT</dc:title>
  <dc:creator>Regent Intel Group</dc:creator>
  <cp:lastModifiedBy>Un-named</cp:lastModifiedBy>
  <cp:revision>1</cp:revision>
  <dcterms:created xsi:type="dcterms:W3CDTF">2026-10-25T22:07:13.978Z</dcterms:created>
  <dcterms:modified xsi:type="dcterms:W3CDTF">2026-10-25T22:07:13.978Z</dcterms:modified>
</cp:coreProperties>
</file>

<file path=docProps/custom.xml><?xml version="1.0" encoding="utf-8"?>
<Properties xmlns="http://schemas.openxmlformats.org/officeDocument/2006/custom-properties" xmlns:vt="http://schemas.openxmlformats.org/officeDocument/2006/docPropsVTypes"/>
</file>