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6B" w:rsidRPr="00FF2C7A" w:rsidRDefault="00FF2C7A" w:rsidP="00B62CD4">
      <w:pPr>
        <w:pStyle w:val="Body"/>
        <w:jc w:val="center"/>
        <w:rPr>
          <w:rFonts w:ascii="Open Sans" w:hAnsi="Open Sans" w:cs="Open Sans"/>
          <w:b/>
          <w:bCs/>
          <w:color w:val="auto"/>
          <w:sz w:val="36"/>
          <w:szCs w:val="36"/>
        </w:rPr>
      </w:pPr>
      <w:r w:rsidRPr="00FF2C7A">
        <w:rPr>
          <w:rFonts w:ascii="Open Sans" w:hAnsi="Open Sans" w:cs="Open Sans"/>
          <w:b/>
          <w:bCs/>
          <w:color w:val="auto"/>
          <w:sz w:val="36"/>
          <w:szCs w:val="36"/>
        </w:rPr>
        <w:t>Tenant-led regeneration – a</w:t>
      </w:r>
      <w:r w:rsidR="00C2714C">
        <w:rPr>
          <w:rFonts w:ascii="Open Sans" w:hAnsi="Open Sans" w:cs="Open Sans"/>
          <w:b/>
          <w:bCs/>
          <w:color w:val="auto"/>
          <w:sz w:val="36"/>
          <w:szCs w:val="36"/>
        </w:rPr>
        <w:t>lternatives to demolition</w:t>
      </w:r>
    </w:p>
    <w:p w:rsidR="00DD006B" w:rsidRPr="00B62CD4" w:rsidRDefault="00DD006B" w:rsidP="00B62CD4">
      <w:pPr>
        <w:pStyle w:val="Body"/>
        <w:rPr>
          <w:rFonts w:ascii="Open Sans" w:hAnsi="Open Sans" w:cs="Open Sans"/>
          <w:color w:val="auto"/>
          <w:sz w:val="8"/>
          <w:szCs w:val="8"/>
        </w:rPr>
      </w:pPr>
    </w:p>
    <w:p w:rsidR="00FF2C7A" w:rsidRDefault="00A16337" w:rsidP="00B62CD4">
      <w:pPr>
        <w:pStyle w:val="Body"/>
        <w:rPr>
          <w:rFonts w:ascii="Open Sans" w:hAnsi="Open Sans" w:cs="Open Sans"/>
          <w:color w:val="auto"/>
          <w:sz w:val="24"/>
          <w:szCs w:val="24"/>
        </w:rPr>
      </w:pPr>
      <w:r w:rsidRPr="00FF2C7A">
        <w:rPr>
          <w:rFonts w:ascii="Open Sans" w:hAnsi="Open Sans" w:cs="Open Sans"/>
          <w:color w:val="auto"/>
          <w:sz w:val="24"/>
          <w:szCs w:val="24"/>
        </w:rPr>
        <w:t>If your home or neighbourhood is facing demolition, it is understandable that you might feel hopeless or that demolition is a ‘done deal’. It isn’t</w:t>
      </w:r>
      <w:r w:rsidR="00B62CD4">
        <w:rPr>
          <w:rFonts w:ascii="Open Sans" w:hAnsi="Open Sans" w:cs="Open Sans"/>
          <w:color w:val="auto"/>
          <w:sz w:val="24"/>
          <w:szCs w:val="24"/>
        </w:rPr>
        <w:t xml:space="preserve"> and w</w:t>
      </w:r>
      <w:r w:rsidR="00DB2C04">
        <w:rPr>
          <w:rFonts w:ascii="Open Sans" w:hAnsi="Open Sans" w:cs="Open Sans"/>
          <w:color w:val="auto"/>
          <w:sz w:val="24"/>
          <w:szCs w:val="24"/>
        </w:rPr>
        <w:t>e have some</w:t>
      </w:r>
      <w:r w:rsidR="00FF2C7A">
        <w:rPr>
          <w:rFonts w:ascii="Open Sans" w:hAnsi="Open Sans" w:cs="Open Sans"/>
          <w:color w:val="auto"/>
          <w:sz w:val="24"/>
          <w:szCs w:val="24"/>
        </w:rPr>
        <w:t xml:space="preserve"> rights that </w:t>
      </w:r>
      <w:r w:rsidR="00204D85">
        <w:rPr>
          <w:rFonts w:ascii="Open Sans" w:hAnsi="Open Sans" w:cs="Open Sans"/>
          <w:color w:val="auto"/>
          <w:sz w:val="24"/>
          <w:szCs w:val="24"/>
        </w:rPr>
        <w:t>we mig</w:t>
      </w:r>
      <w:r w:rsidR="00DB2C04">
        <w:rPr>
          <w:rFonts w:ascii="Open Sans" w:hAnsi="Open Sans" w:cs="Open Sans"/>
          <w:color w:val="auto"/>
          <w:sz w:val="24"/>
          <w:szCs w:val="24"/>
        </w:rPr>
        <w:t>ht draw on</w:t>
      </w:r>
      <w:r w:rsidR="00FF2C7A">
        <w:rPr>
          <w:rFonts w:ascii="Open Sans" w:hAnsi="Open Sans" w:cs="Open Sans"/>
          <w:color w:val="auto"/>
          <w:sz w:val="24"/>
          <w:szCs w:val="24"/>
        </w:rPr>
        <w:t xml:space="preserve">: </w:t>
      </w:r>
    </w:p>
    <w:p w:rsidR="00FF2C7A" w:rsidRPr="00400E2F" w:rsidRDefault="00FF2C7A" w:rsidP="00B62CD4">
      <w:pPr>
        <w:pStyle w:val="Body"/>
        <w:rPr>
          <w:rFonts w:ascii="Open Sans" w:hAnsi="Open Sans" w:cs="Open Sans"/>
          <w:color w:val="auto"/>
          <w:sz w:val="16"/>
          <w:szCs w:val="16"/>
        </w:rPr>
      </w:pPr>
    </w:p>
    <w:p w:rsidR="00FF2C7A" w:rsidRPr="00400E2F" w:rsidRDefault="001B39C5" w:rsidP="00B62CD4">
      <w:pPr>
        <w:pStyle w:val="Body"/>
        <w:numPr>
          <w:ilvl w:val="0"/>
          <w:numId w:val="3"/>
        </w:numPr>
        <w:ind w:left="426" w:hanging="426"/>
        <w:rPr>
          <w:rFonts w:ascii="Open Sans" w:hAnsi="Open Sans" w:cs="Open Sans"/>
          <w:b/>
          <w:bCs/>
          <w:color w:val="auto"/>
          <w:sz w:val="24"/>
          <w:szCs w:val="24"/>
        </w:rPr>
      </w:pPr>
      <w:r>
        <w:rPr>
          <w:rFonts w:ascii="Open Sans" w:hAnsi="Open Sans" w:cs="Open Sans"/>
          <w:b/>
          <w:bCs/>
          <w:color w:val="auto"/>
          <w:sz w:val="24"/>
          <w:szCs w:val="24"/>
        </w:rPr>
        <w:t>A</w:t>
      </w:r>
      <w:r w:rsidR="00DB2C04">
        <w:rPr>
          <w:rFonts w:ascii="Open Sans" w:hAnsi="Open Sans" w:cs="Open Sans"/>
          <w:b/>
          <w:bCs/>
          <w:color w:val="auto"/>
          <w:sz w:val="24"/>
          <w:szCs w:val="24"/>
        </w:rPr>
        <w:t xml:space="preserve"> C</w:t>
      </w:r>
      <w:r w:rsidR="00FF2C7A" w:rsidRPr="00FF2C7A">
        <w:rPr>
          <w:rFonts w:ascii="Open Sans" w:hAnsi="Open Sans" w:cs="Open Sans"/>
          <w:b/>
          <w:bCs/>
          <w:color w:val="auto"/>
          <w:sz w:val="24"/>
          <w:szCs w:val="24"/>
        </w:rPr>
        <w:t>ommunity Plan</w:t>
      </w:r>
      <w:r w:rsidR="00400E2F">
        <w:rPr>
          <w:rFonts w:ascii="Open Sans" w:hAnsi="Open Sans" w:cs="Open Sans"/>
          <w:b/>
          <w:bCs/>
          <w:color w:val="auto"/>
          <w:sz w:val="24"/>
          <w:szCs w:val="24"/>
        </w:rPr>
        <w:t xml:space="preserve">: </w:t>
      </w:r>
      <w:r>
        <w:rPr>
          <w:rFonts w:ascii="Open Sans" w:hAnsi="Open Sans" w:cs="Open Sans"/>
          <w:color w:val="auto"/>
          <w:sz w:val="24"/>
          <w:szCs w:val="24"/>
        </w:rPr>
        <w:t>Developing a Community Plan</w:t>
      </w:r>
      <w:r w:rsidR="00DB2C04">
        <w:rPr>
          <w:rFonts w:ascii="Open Sans" w:hAnsi="Open Sans" w:cs="Open Sans"/>
          <w:color w:val="auto"/>
          <w:sz w:val="24"/>
          <w:szCs w:val="24"/>
        </w:rPr>
        <w:t xml:space="preserve"> is a</w:t>
      </w:r>
      <w:r w:rsidR="00FF2C7A" w:rsidRPr="00400E2F">
        <w:rPr>
          <w:rFonts w:ascii="Open Sans" w:hAnsi="Open Sans" w:cs="Open Sans"/>
          <w:color w:val="auto"/>
          <w:sz w:val="24"/>
          <w:szCs w:val="24"/>
        </w:rPr>
        <w:t>good way</w:t>
      </w:r>
      <w:r w:rsidR="00B62CD4">
        <w:rPr>
          <w:rFonts w:ascii="Open Sans" w:hAnsi="Open Sans" w:cs="Open Sans"/>
          <w:color w:val="auto"/>
          <w:sz w:val="24"/>
          <w:szCs w:val="24"/>
        </w:rPr>
        <w:t xml:space="preserve"> to</w:t>
      </w:r>
      <w:r w:rsidR="00DF0B3E" w:rsidRPr="00400E2F">
        <w:rPr>
          <w:rFonts w:ascii="Open Sans" w:hAnsi="Open Sans" w:cs="Open Sans"/>
          <w:color w:val="auto"/>
          <w:sz w:val="24"/>
          <w:szCs w:val="24"/>
        </w:rPr>
        <w:t xml:space="preserve">bring tenants and residents </w:t>
      </w:r>
      <w:r w:rsidR="00400E2F">
        <w:rPr>
          <w:rFonts w:ascii="Open Sans" w:hAnsi="Open Sans" w:cs="Open Sans"/>
          <w:color w:val="auto"/>
          <w:sz w:val="24"/>
          <w:szCs w:val="24"/>
        </w:rPr>
        <w:t>together</w:t>
      </w:r>
      <w:r w:rsidR="00DB2C04">
        <w:rPr>
          <w:rFonts w:ascii="Open Sans" w:hAnsi="Open Sans" w:cs="Open Sans"/>
          <w:color w:val="auto"/>
          <w:sz w:val="24"/>
          <w:szCs w:val="24"/>
        </w:rPr>
        <w:t xml:space="preserve"> to draw up their own estate regeneration plans</w:t>
      </w:r>
      <w:r w:rsidR="008054FF">
        <w:rPr>
          <w:rFonts w:ascii="Open Sans" w:hAnsi="Open Sans" w:cs="Open Sans"/>
          <w:color w:val="auto"/>
          <w:sz w:val="24"/>
          <w:szCs w:val="24"/>
        </w:rPr>
        <w:t xml:space="preserve">, </w:t>
      </w:r>
      <w:r w:rsidR="00332364">
        <w:rPr>
          <w:rFonts w:ascii="Open Sans" w:hAnsi="Open Sans" w:cs="Open Sans"/>
          <w:color w:val="auto"/>
          <w:sz w:val="24"/>
          <w:szCs w:val="24"/>
        </w:rPr>
        <w:t>al</w:t>
      </w:r>
      <w:r w:rsidR="00B62CD4">
        <w:rPr>
          <w:rFonts w:ascii="Open Sans" w:hAnsi="Open Sans" w:cs="Open Sans"/>
          <w:color w:val="auto"/>
          <w:sz w:val="24"/>
          <w:szCs w:val="24"/>
        </w:rPr>
        <w:t>ong</w:t>
      </w:r>
      <w:r w:rsidR="008054FF">
        <w:rPr>
          <w:rFonts w:ascii="Open Sans" w:hAnsi="Open Sans" w:cs="Open Sans"/>
          <w:color w:val="auto"/>
          <w:sz w:val="24"/>
          <w:szCs w:val="24"/>
        </w:rPr>
        <w:t>with neighbours and local stakeholders</w:t>
      </w:r>
      <w:r w:rsidR="00DB2C04">
        <w:rPr>
          <w:rFonts w:ascii="Open Sans" w:hAnsi="Open Sans" w:cs="Open Sans"/>
          <w:color w:val="auto"/>
          <w:sz w:val="24"/>
          <w:szCs w:val="24"/>
        </w:rPr>
        <w:t>,</w:t>
      </w:r>
      <w:r w:rsidR="008054FF">
        <w:rPr>
          <w:rFonts w:ascii="Open Sans" w:hAnsi="Open Sans" w:cs="Open Sans"/>
          <w:color w:val="auto"/>
          <w:sz w:val="24"/>
          <w:szCs w:val="24"/>
        </w:rPr>
        <w:t xml:space="preserve"> if desired</w:t>
      </w:r>
      <w:r w:rsidR="00DB2C04">
        <w:rPr>
          <w:rFonts w:ascii="Open Sans" w:hAnsi="Open Sans" w:cs="Open Sans"/>
          <w:color w:val="auto"/>
          <w:sz w:val="24"/>
          <w:szCs w:val="24"/>
        </w:rPr>
        <w:t>.</w:t>
      </w:r>
      <w:r>
        <w:rPr>
          <w:rStyle w:val="FootnoteReference"/>
          <w:rFonts w:ascii="Open Sans" w:hAnsi="Open Sans" w:cs="Open Sans"/>
          <w:color w:val="auto"/>
          <w:sz w:val="24"/>
          <w:szCs w:val="24"/>
        </w:rPr>
        <w:footnoteReference w:id="2"/>
      </w:r>
      <w:r w:rsidR="00DF0B3E" w:rsidRPr="00400E2F">
        <w:rPr>
          <w:rFonts w:ascii="Open Sans" w:hAnsi="Open Sans" w:cs="Open Sans"/>
          <w:color w:val="auto"/>
          <w:sz w:val="24"/>
          <w:szCs w:val="24"/>
        </w:rPr>
        <w:t>While</w:t>
      </w:r>
      <w:r w:rsidR="008054FF">
        <w:rPr>
          <w:rFonts w:ascii="Open Sans" w:hAnsi="Open Sans" w:cs="Open Sans"/>
          <w:color w:val="auto"/>
          <w:sz w:val="24"/>
          <w:szCs w:val="24"/>
        </w:rPr>
        <w:t xml:space="preserve"> they</w:t>
      </w:r>
      <w:r w:rsidR="00DF0B3E" w:rsidRPr="00400E2F">
        <w:rPr>
          <w:rFonts w:ascii="Open Sans" w:hAnsi="Open Sans" w:cs="Open Sans"/>
          <w:color w:val="auto"/>
          <w:sz w:val="24"/>
          <w:szCs w:val="24"/>
        </w:rPr>
        <w:t xml:space="preserve"> have no legal status, if</w:t>
      </w:r>
      <w:r w:rsidR="00204D85">
        <w:rPr>
          <w:rFonts w:ascii="Open Sans" w:hAnsi="Open Sans" w:cs="Open Sans"/>
          <w:color w:val="auto"/>
          <w:sz w:val="24"/>
          <w:szCs w:val="24"/>
        </w:rPr>
        <w:t xml:space="preserve"> based on</w:t>
      </w:r>
      <w:r w:rsidR="00DF0B3E" w:rsidRPr="00400E2F">
        <w:rPr>
          <w:rFonts w:ascii="Open Sans" w:hAnsi="Open Sans" w:cs="Open Sans"/>
          <w:color w:val="auto"/>
          <w:sz w:val="24"/>
          <w:szCs w:val="24"/>
        </w:rPr>
        <w:t xml:space="preserve"> thorough consultation, they can </w:t>
      </w:r>
      <w:r w:rsidR="00204D85">
        <w:rPr>
          <w:rFonts w:ascii="Open Sans" w:hAnsi="Open Sans" w:cs="Open Sans"/>
          <w:color w:val="auto"/>
          <w:sz w:val="24"/>
          <w:szCs w:val="24"/>
        </w:rPr>
        <w:t>help to</w:t>
      </w:r>
      <w:r w:rsidR="00400E2F">
        <w:rPr>
          <w:rFonts w:ascii="Open Sans" w:hAnsi="Open Sans" w:cs="Open Sans"/>
          <w:color w:val="auto"/>
          <w:sz w:val="24"/>
          <w:szCs w:val="24"/>
        </w:rPr>
        <w:t xml:space="preserve">put tenants and residents on a more equal footing </w:t>
      </w:r>
      <w:r w:rsidR="00B62CD4">
        <w:rPr>
          <w:rFonts w:ascii="Open Sans" w:hAnsi="Open Sans" w:cs="Open Sans"/>
          <w:color w:val="auto"/>
          <w:sz w:val="24"/>
          <w:szCs w:val="24"/>
        </w:rPr>
        <w:t>when</w:t>
      </w:r>
      <w:r w:rsidR="00400E2F" w:rsidRPr="00400E2F">
        <w:rPr>
          <w:rFonts w:ascii="Open Sans" w:hAnsi="Open Sans" w:cs="Open Sans"/>
          <w:color w:val="auto"/>
          <w:sz w:val="24"/>
          <w:szCs w:val="24"/>
        </w:rPr>
        <w:t>negotiat</w:t>
      </w:r>
      <w:r w:rsidR="00332364">
        <w:rPr>
          <w:rFonts w:ascii="Open Sans" w:hAnsi="Open Sans" w:cs="Open Sans"/>
          <w:color w:val="auto"/>
          <w:sz w:val="24"/>
          <w:szCs w:val="24"/>
        </w:rPr>
        <w:t>ing</w:t>
      </w:r>
      <w:r w:rsidR="00DF0B3E" w:rsidRPr="00400E2F">
        <w:rPr>
          <w:rFonts w:ascii="Open Sans" w:hAnsi="Open Sans" w:cs="Open Sans"/>
          <w:color w:val="auto"/>
          <w:sz w:val="24"/>
          <w:szCs w:val="24"/>
        </w:rPr>
        <w:t xml:space="preserve"> with</w:t>
      </w:r>
      <w:r w:rsidR="00204D85">
        <w:rPr>
          <w:rFonts w:ascii="Open Sans" w:hAnsi="Open Sans" w:cs="Open Sans"/>
          <w:color w:val="auto"/>
          <w:sz w:val="24"/>
          <w:szCs w:val="24"/>
        </w:rPr>
        <w:t>their</w:t>
      </w:r>
      <w:r w:rsidR="00DF0B3E" w:rsidRPr="00400E2F">
        <w:rPr>
          <w:rFonts w:ascii="Open Sans" w:hAnsi="Open Sans" w:cs="Open Sans"/>
          <w:color w:val="auto"/>
          <w:sz w:val="24"/>
          <w:szCs w:val="24"/>
        </w:rPr>
        <w:t xml:space="preserve"> landlord</w:t>
      </w:r>
      <w:r w:rsidR="00400E2F">
        <w:rPr>
          <w:rFonts w:ascii="Open Sans" w:hAnsi="Open Sans" w:cs="Open Sans"/>
          <w:color w:val="auto"/>
          <w:sz w:val="24"/>
          <w:szCs w:val="24"/>
        </w:rPr>
        <w:t>s</w:t>
      </w:r>
      <w:r w:rsidR="00DF0B3E" w:rsidRPr="00400E2F">
        <w:rPr>
          <w:rFonts w:ascii="Open Sans" w:hAnsi="Open Sans" w:cs="Open Sans"/>
          <w:color w:val="auto"/>
          <w:sz w:val="24"/>
          <w:szCs w:val="24"/>
        </w:rPr>
        <w:t xml:space="preserve"> and local planning authority</w:t>
      </w:r>
      <w:r w:rsidR="00400E2F">
        <w:rPr>
          <w:rFonts w:ascii="Open Sans" w:hAnsi="Open Sans" w:cs="Open Sans"/>
          <w:color w:val="auto"/>
          <w:sz w:val="24"/>
          <w:szCs w:val="24"/>
        </w:rPr>
        <w:t>.</w:t>
      </w:r>
      <w:r w:rsidR="00027222">
        <w:rPr>
          <w:rFonts w:ascii="Open Sans" w:hAnsi="Open Sans" w:cs="Open Sans"/>
          <w:color w:val="auto"/>
          <w:sz w:val="24"/>
          <w:szCs w:val="24"/>
        </w:rPr>
        <w:t>They can</w:t>
      </w:r>
      <w:r w:rsidR="00332364">
        <w:rPr>
          <w:rFonts w:ascii="Open Sans" w:hAnsi="Open Sans" w:cs="Open Sans"/>
          <w:color w:val="auto"/>
          <w:sz w:val="24"/>
          <w:szCs w:val="24"/>
        </w:rPr>
        <w:t xml:space="preserve"> also</w:t>
      </w:r>
      <w:r w:rsidR="00027222">
        <w:rPr>
          <w:rFonts w:ascii="Open Sans" w:hAnsi="Open Sans" w:cs="Open Sans"/>
          <w:color w:val="auto"/>
          <w:sz w:val="24"/>
          <w:szCs w:val="24"/>
        </w:rPr>
        <w:t xml:space="preserve"> form the basis for developing a Neighbourhood Plan. </w:t>
      </w:r>
    </w:p>
    <w:p w:rsidR="005D47FC" w:rsidRDefault="00400E2F" w:rsidP="00B62CD4">
      <w:pPr>
        <w:pStyle w:val="Body"/>
        <w:numPr>
          <w:ilvl w:val="0"/>
          <w:numId w:val="3"/>
        </w:numPr>
        <w:ind w:left="426" w:hanging="426"/>
        <w:rPr>
          <w:rFonts w:ascii="Open Sans" w:hAnsi="Open Sans" w:cs="Open Sans"/>
          <w:b/>
          <w:bCs/>
          <w:color w:val="auto"/>
          <w:sz w:val="24"/>
          <w:szCs w:val="24"/>
        </w:rPr>
      </w:pPr>
      <w:r w:rsidRPr="002F7DFF">
        <w:rPr>
          <w:rFonts w:ascii="Open Sans" w:hAnsi="Open Sans" w:cs="Open Sans"/>
          <w:b/>
          <w:bCs/>
          <w:color w:val="auto"/>
          <w:sz w:val="24"/>
          <w:szCs w:val="24"/>
        </w:rPr>
        <w:t xml:space="preserve">The Right to Manage: </w:t>
      </w:r>
      <w:r w:rsidR="00027222">
        <w:rPr>
          <w:rFonts w:ascii="Open Sans" w:hAnsi="Open Sans" w:cs="Open Sans"/>
          <w:color w:val="auto"/>
          <w:sz w:val="24"/>
          <w:szCs w:val="24"/>
        </w:rPr>
        <w:t>gives</w:t>
      </w:r>
      <w:r w:rsidR="002F7DFF" w:rsidRPr="002F7DFF">
        <w:rPr>
          <w:rFonts w:ascii="Open Sans" w:hAnsi="Open Sans" w:cs="Open Sans"/>
          <w:color w:val="auto"/>
          <w:sz w:val="24"/>
          <w:szCs w:val="24"/>
        </w:rPr>
        <w:t xml:space="preserve"> council tenant</w:t>
      </w:r>
      <w:r w:rsidR="004A0607">
        <w:rPr>
          <w:rFonts w:ascii="Open Sans" w:hAnsi="Open Sans" w:cs="Open Sans"/>
          <w:color w:val="auto"/>
          <w:sz w:val="24"/>
          <w:szCs w:val="24"/>
        </w:rPr>
        <w:t xml:space="preserve">s and residentsthe </w:t>
      </w:r>
      <w:r w:rsidR="002F7DFF" w:rsidRPr="002F7DFF">
        <w:rPr>
          <w:rFonts w:ascii="Open Sans" w:hAnsi="Open Sans" w:cs="Open Sans"/>
          <w:color w:val="auto"/>
          <w:sz w:val="24"/>
          <w:szCs w:val="24"/>
        </w:rPr>
        <w:t>right to set up a Tenant Management Organisation (TMO) to take over</w:t>
      </w:r>
      <w:r w:rsidR="004A0607">
        <w:rPr>
          <w:rFonts w:ascii="Open Sans" w:hAnsi="Open Sans" w:cs="Open Sans"/>
          <w:color w:val="auto"/>
          <w:sz w:val="24"/>
          <w:szCs w:val="24"/>
        </w:rPr>
        <w:t>:</w:t>
      </w:r>
      <w:r w:rsidR="002F7DFF" w:rsidRPr="002F7DFF">
        <w:rPr>
          <w:rFonts w:ascii="Open Sans" w:hAnsi="Open Sans" w:cs="Open Sans"/>
          <w:color w:val="auto"/>
          <w:sz w:val="24"/>
          <w:szCs w:val="24"/>
        </w:rPr>
        <w:t xml:space="preserve"> managing and maintaining homes on </w:t>
      </w:r>
      <w:r w:rsidR="00027222">
        <w:rPr>
          <w:rFonts w:ascii="Open Sans" w:hAnsi="Open Sans" w:cs="Open Sans"/>
          <w:color w:val="auto"/>
          <w:sz w:val="24"/>
          <w:szCs w:val="24"/>
        </w:rPr>
        <w:t>their</w:t>
      </w:r>
      <w:r w:rsidR="002F7DFF" w:rsidRPr="002F7DFF">
        <w:rPr>
          <w:rFonts w:ascii="Open Sans" w:hAnsi="Open Sans" w:cs="Open Sans"/>
          <w:color w:val="auto"/>
          <w:sz w:val="24"/>
          <w:szCs w:val="24"/>
        </w:rPr>
        <w:t xml:space="preserve"> estate</w:t>
      </w:r>
      <w:r w:rsidR="00332364">
        <w:rPr>
          <w:rFonts w:ascii="Open Sans" w:hAnsi="Open Sans" w:cs="Open Sans"/>
          <w:color w:val="auto"/>
          <w:sz w:val="24"/>
          <w:szCs w:val="24"/>
        </w:rPr>
        <w:t>with</w:t>
      </w:r>
      <w:r w:rsidR="002F7DFF" w:rsidRPr="002F7DFF">
        <w:rPr>
          <w:rFonts w:ascii="Open Sans" w:hAnsi="Open Sans" w:cs="Open Sans"/>
          <w:color w:val="auto"/>
          <w:sz w:val="24"/>
          <w:szCs w:val="24"/>
        </w:rPr>
        <w:t xml:space="preserve">responsibility for the budget </w:t>
      </w:r>
      <w:r w:rsidR="004A0607">
        <w:rPr>
          <w:rFonts w:ascii="Open Sans" w:hAnsi="Open Sans" w:cs="Open Sans"/>
          <w:color w:val="auto"/>
          <w:sz w:val="24"/>
          <w:szCs w:val="24"/>
        </w:rPr>
        <w:t>to</w:t>
      </w:r>
      <w:r w:rsidR="002F7DFF" w:rsidRPr="002F7DFF">
        <w:rPr>
          <w:rFonts w:ascii="Open Sans" w:hAnsi="Open Sans" w:cs="Open Sans"/>
          <w:color w:val="auto"/>
          <w:sz w:val="24"/>
          <w:szCs w:val="24"/>
        </w:rPr>
        <w:t xml:space="preserve"> spend on repairs and improvements. </w:t>
      </w:r>
      <w:r w:rsidR="004A0607">
        <w:rPr>
          <w:rFonts w:ascii="Open Sans" w:hAnsi="Open Sans" w:cs="Open Sans"/>
          <w:color w:val="auto"/>
          <w:sz w:val="24"/>
          <w:szCs w:val="24"/>
        </w:rPr>
        <w:t xml:space="preserve">While the local authority retains the ownership of the estate, </w:t>
      </w:r>
      <w:r w:rsidR="00204D85">
        <w:rPr>
          <w:rFonts w:ascii="Open Sans" w:hAnsi="Open Sans" w:cs="Open Sans"/>
          <w:color w:val="auto"/>
          <w:sz w:val="24"/>
          <w:szCs w:val="24"/>
        </w:rPr>
        <w:t>a TMO can gain</w:t>
      </w:r>
      <w:r w:rsidR="004A0607">
        <w:rPr>
          <w:rFonts w:ascii="Open Sans" w:hAnsi="Open Sans" w:cs="Open Sans"/>
          <w:color w:val="auto"/>
          <w:sz w:val="24"/>
          <w:szCs w:val="24"/>
        </w:rPr>
        <w:t xml:space="preserve"> lot of information t</w:t>
      </w:r>
      <w:r w:rsidR="00027222">
        <w:rPr>
          <w:rFonts w:ascii="Open Sans" w:hAnsi="Open Sans" w:cs="Open Sans"/>
          <w:color w:val="auto"/>
          <w:sz w:val="24"/>
          <w:szCs w:val="24"/>
        </w:rPr>
        <w:t>o</w:t>
      </w:r>
      <w:r w:rsidR="004A0607">
        <w:rPr>
          <w:rFonts w:ascii="Open Sans" w:hAnsi="Open Sans" w:cs="Open Sans"/>
          <w:color w:val="auto"/>
          <w:sz w:val="24"/>
          <w:szCs w:val="24"/>
        </w:rPr>
        <w:t xml:space="preserve"> use in drawing up alternative plans for </w:t>
      </w:r>
      <w:r w:rsidR="00204D85">
        <w:rPr>
          <w:rFonts w:ascii="Open Sans" w:hAnsi="Open Sans" w:cs="Open Sans"/>
          <w:color w:val="auto"/>
          <w:sz w:val="24"/>
          <w:szCs w:val="24"/>
        </w:rPr>
        <w:t>their</w:t>
      </w:r>
      <w:r w:rsidR="004A0607">
        <w:rPr>
          <w:rFonts w:ascii="Open Sans" w:hAnsi="Open Sans" w:cs="Open Sans"/>
          <w:color w:val="auto"/>
          <w:sz w:val="24"/>
          <w:szCs w:val="24"/>
        </w:rPr>
        <w:t xml:space="preserve"> estate. </w:t>
      </w:r>
      <w:r w:rsidR="00027222">
        <w:rPr>
          <w:rFonts w:ascii="Open Sans" w:hAnsi="Open Sans" w:cs="Open Sans"/>
          <w:color w:val="auto"/>
          <w:sz w:val="24"/>
          <w:szCs w:val="24"/>
        </w:rPr>
        <w:t>More can be found on the National Federation of TMO’s website.</w:t>
      </w:r>
      <w:r w:rsidR="00027222">
        <w:rPr>
          <w:rStyle w:val="FootnoteReference"/>
          <w:rFonts w:ascii="Open Sans" w:hAnsi="Open Sans" w:cs="Open Sans"/>
          <w:color w:val="auto"/>
          <w:sz w:val="24"/>
          <w:szCs w:val="24"/>
        </w:rPr>
        <w:footnoteReference w:id="3"/>
      </w:r>
    </w:p>
    <w:p w:rsidR="005D47FC" w:rsidRPr="005D47FC" w:rsidRDefault="004A0607" w:rsidP="00B62CD4">
      <w:pPr>
        <w:pStyle w:val="Body"/>
        <w:numPr>
          <w:ilvl w:val="0"/>
          <w:numId w:val="3"/>
        </w:numPr>
        <w:ind w:left="426" w:hanging="426"/>
        <w:rPr>
          <w:rFonts w:ascii="Open Sans" w:hAnsi="Open Sans" w:cs="Open Sans"/>
          <w:b/>
          <w:bCs/>
          <w:color w:val="auto"/>
          <w:sz w:val="24"/>
          <w:szCs w:val="24"/>
        </w:rPr>
      </w:pPr>
      <w:r w:rsidRPr="005D47FC">
        <w:rPr>
          <w:rFonts w:ascii="Open Sans" w:hAnsi="Open Sans" w:cs="Open Sans"/>
          <w:b/>
          <w:bCs/>
          <w:color w:val="auto"/>
          <w:sz w:val="24"/>
          <w:szCs w:val="24"/>
        </w:rPr>
        <w:t xml:space="preserve">The Right to Transfer: </w:t>
      </w:r>
      <w:r w:rsidR="005D47FC" w:rsidRPr="005D47FC">
        <w:rPr>
          <w:rFonts w:ascii="Open Sans" w:hAnsi="Open Sans" w:cs="Open Sans"/>
          <w:color w:val="auto"/>
          <w:sz w:val="24"/>
          <w:szCs w:val="24"/>
        </w:rPr>
        <w:t xml:space="preserve">gives council tenants the right to request </w:t>
      </w:r>
      <w:r w:rsidR="00204D85">
        <w:rPr>
          <w:rFonts w:ascii="Open Sans" w:hAnsi="Open Sans" w:cs="Open Sans"/>
          <w:color w:val="auto"/>
          <w:sz w:val="24"/>
          <w:szCs w:val="24"/>
        </w:rPr>
        <w:t>t</w:t>
      </w:r>
      <w:r w:rsidR="00027222">
        <w:rPr>
          <w:rFonts w:ascii="Open Sans" w:hAnsi="Open Sans" w:cs="Open Sans"/>
          <w:color w:val="auto"/>
          <w:sz w:val="24"/>
          <w:szCs w:val="24"/>
        </w:rPr>
        <w:t>he</w:t>
      </w:r>
      <w:r w:rsidR="005D47FC" w:rsidRPr="005D47FC">
        <w:rPr>
          <w:rFonts w:ascii="Open Sans" w:hAnsi="Open Sans" w:cs="Open Sans"/>
          <w:color w:val="auto"/>
          <w:sz w:val="24"/>
          <w:szCs w:val="24"/>
        </w:rPr>
        <w:t xml:space="preserve"> transfer </w:t>
      </w:r>
      <w:r w:rsidR="00027222">
        <w:rPr>
          <w:rFonts w:ascii="Open Sans" w:hAnsi="Open Sans" w:cs="Open Sans"/>
          <w:color w:val="auto"/>
          <w:sz w:val="24"/>
          <w:szCs w:val="24"/>
        </w:rPr>
        <w:t xml:space="preserve">the </w:t>
      </w:r>
      <w:r w:rsidR="005D47FC" w:rsidRPr="005D47FC">
        <w:rPr>
          <w:rFonts w:ascii="Open Sans" w:hAnsi="Open Sans" w:cs="Open Sans"/>
          <w:color w:val="auto"/>
          <w:sz w:val="24"/>
          <w:szCs w:val="24"/>
        </w:rPr>
        <w:t xml:space="preserve">management </w:t>
      </w:r>
      <w:r w:rsidR="005D47FC" w:rsidRPr="00332364">
        <w:rPr>
          <w:rFonts w:ascii="Open Sans" w:hAnsi="Open Sans" w:cs="Open Sans"/>
          <w:color w:val="auto"/>
          <w:sz w:val="24"/>
          <w:szCs w:val="24"/>
          <w:u w:val="single"/>
        </w:rPr>
        <w:t>and ownership</w:t>
      </w:r>
      <w:r w:rsidR="005D47FC" w:rsidRPr="005D47FC">
        <w:rPr>
          <w:rFonts w:ascii="Open Sans" w:hAnsi="Open Sans" w:cs="Open Sans"/>
          <w:color w:val="auto"/>
          <w:sz w:val="24"/>
          <w:szCs w:val="24"/>
        </w:rPr>
        <w:t xml:space="preserve"> of their estate to themselves </w:t>
      </w:r>
      <w:r w:rsidR="00204D85">
        <w:rPr>
          <w:rFonts w:ascii="Open Sans" w:hAnsi="Open Sans" w:cs="Open Sans"/>
          <w:color w:val="auto"/>
          <w:sz w:val="24"/>
          <w:szCs w:val="24"/>
        </w:rPr>
        <w:t>as</w:t>
      </w:r>
      <w:r w:rsidR="005D47FC" w:rsidRPr="005D47FC">
        <w:rPr>
          <w:rFonts w:ascii="Open Sans" w:hAnsi="Open Sans" w:cs="Open Sans"/>
          <w:color w:val="auto"/>
          <w:sz w:val="24"/>
          <w:szCs w:val="24"/>
        </w:rPr>
        <w:t xml:space="preserve"> a Community Housing Association</w:t>
      </w:r>
      <w:r w:rsidR="00204D85">
        <w:rPr>
          <w:rFonts w:ascii="Open Sans" w:hAnsi="Open Sans" w:cs="Open Sans"/>
          <w:color w:val="auto"/>
          <w:sz w:val="24"/>
          <w:szCs w:val="24"/>
        </w:rPr>
        <w:t>. Th</w:t>
      </w:r>
      <w:r w:rsidR="008054FF">
        <w:rPr>
          <w:rFonts w:ascii="Open Sans" w:hAnsi="Open Sans" w:cs="Open Sans"/>
          <w:color w:val="auto"/>
          <w:sz w:val="24"/>
          <w:szCs w:val="24"/>
        </w:rPr>
        <w:t>e association is</w:t>
      </w:r>
      <w:r w:rsidR="005D47FC" w:rsidRPr="005D47FC">
        <w:rPr>
          <w:rFonts w:ascii="Open Sans" w:hAnsi="Open Sans" w:cs="Open Sans"/>
          <w:color w:val="auto"/>
          <w:sz w:val="24"/>
          <w:szCs w:val="24"/>
        </w:rPr>
        <w:t>created and run by a tenant and resident majority board</w:t>
      </w:r>
      <w:r w:rsidR="00027222">
        <w:rPr>
          <w:rFonts w:ascii="Open Sans" w:hAnsi="Open Sans" w:cs="Open Sans"/>
          <w:color w:val="auto"/>
          <w:sz w:val="24"/>
          <w:szCs w:val="24"/>
        </w:rPr>
        <w:t xml:space="preserve"> that is</w:t>
      </w:r>
      <w:r w:rsidR="005D47FC" w:rsidRPr="005D47FC">
        <w:rPr>
          <w:rFonts w:ascii="Open Sans" w:hAnsi="Open Sans" w:cs="Open Sans"/>
          <w:color w:val="auto"/>
          <w:sz w:val="24"/>
          <w:szCs w:val="24"/>
        </w:rPr>
        <w:t xml:space="preserve"> elected by tenants and residents.</w:t>
      </w:r>
      <w:r w:rsidR="00204D85">
        <w:rPr>
          <w:rFonts w:ascii="Open Sans" w:hAnsi="Open Sans" w:cs="Open Sans"/>
          <w:sz w:val="24"/>
          <w:szCs w:val="24"/>
        </w:rPr>
        <w:t>It</w:t>
      </w:r>
      <w:r w:rsidR="005D47FC" w:rsidRPr="005D47FC">
        <w:rPr>
          <w:rFonts w:ascii="Open Sans" w:hAnsi="Open Sans" w:cs="Open Sans"/>
          <w:sz w:val="24"/>
          <w:szCs w:val="24"/>
        </w:rPr>
        <w:t xml:space="preserve"> is a</w:t>
      </w:r>
      <w:r w:rsidR="005D47FC">
        <w:rPr>
          <w:rFonts w:ascii="Open Sans" w:hAnsi="Open Sans" w:cs="Open Sans"/>
          <w:sz w:val="24"/>
          <w:szCs w:val="24"/>
        </w:rPr>
        <w:t xml:space="preserve"> very</w:t>
      </w:r>
      <w:r w:rsidR="005D47FC" w:rsidRPr="005D47FC">
        <w:rPr>
          <w:rFonts w:ascii="Open Sans" w:hAnsi="Open Sans" w:cs="Open Sans"/>
          <w:sz w:val="24"/>
          <w:szCs w:val="24"/>
        </w:rPr>
        <w:t xml:space="preserve"> ambitious undertaking</w:t>
      </w:r>
      <w:r w:rsidR="00027222">
        <w:rPr>
          <w:rFonts w:ascii="Open Sans" w:hAnsi="Open Sans" w:cs="Open Sans"/>
          <w:sz w:val="24"/>
          <w:szCs w:val="24"/>
        </w:rPr>
        <w:t>,</w:t>
      </w:r>
      <w:r w:rsidR="005D47FC" w:rsidRPr="005D47FC">
        <w:rPr>
          <w:rFonts w:ascii="Open Sans" w:hAnsi="Open Sans" w:cs="Open Sans"/>
          <w:sz w:val="24"/>
          <w:szCs w:val="24"/>
        </w:rPr>
        <w:t xml:space="preserve"> but it has been done and i</w:t>
      </w:r>
      <w:r w:rsidR="00204D85">
        <w:rPr>
          <w:rFonts w:ascii="Open Sans" w:hAnsi="Open Sans" w:cs="Open Sans"/>
          <w:sz w:val="24"/>
          <w:szCs w:val="24"/>
        </w:rPr>
        <w:t>s</w:t>
      </w:r>
      <w:r w:rsidR="005D47FC" w:rsidRPr="005D47FC">
        <w:rPr>
          <w:rFonts w:ascii="Open Sans" w:hAnsi="Open Sans" w:cs="Open Sans"/>
          <w:sz w:val="24"/>
          <w:szCs w:val="24"/>
        </w:rPr>
        <w:t xml:space="preserve"> the</w:t>
      </w:r>
      <w:r w:rsidR="005D47FC">
        <w:rPr>
          <w:rFonts w:ascii="Open Sans" w:hAnsi="Open Sans" w:cs="Open Sans"/>
          <w:sz w:val="24"/>
          <w:szCs w:val="24"/>
        </w:rPr>
        <w:t xml:space="preserve"> ultimate</w:t>
      </w:r>
      <w:r w:rsidR="005D47FC" w:rsidRPr="005D47FC">
        <w:rPr>
          <w:rFonts w:ascii="Open Sans" w:hAnsi="Open Sans" w:cs="Open Sans"/>
          <w:sz w:val="24"/>
          <w:szCs w:val="24"/>
        </w:rPr>
        <w:t xml:space="preserve"> effective way </w:t>
      </w:r>
      <w:r w:rsidR="00204D85">
        <w:rPr>
          <w:rFonts w:ascii="Open Sans" w:hAnsi="Open Sans" w:cs="Open Sans"/>
          <w:sz w:val="24"/>
          <w:szCs w:val="24"/>
        </w:rPr>
        <w:t>of</w:t>
      </w:r>
      <w:r w:rsidR="005D47FC" w:rsidRPr="005D47FC">
        <w:rPr>
          <w:rFonts w:ascii="Open Sans" w:hAnsi="Open Sans" w:cs="Open Sans"/>
          <w:sz w:val="24"/>
          <w:szCs w:val="24"/>
        </w:rPr>
        <w:t xml:space="preserve"> ensur</w:t>
      </w:r>
      <w:r w:rsidR="00204D85">
        <w:rPr>
          <w:rFonts w:ascii="Open Sans" w:hAnsi="Open Sans" w:cs="Open Sans"/>
          <w:sz w:val="24"/>
          <w:szCs w:val="24"/>
        </w:rPr>
        <w:t>ing</w:t>
      </w:r>
      <w:r w:rsidR="005D47FC" w:rsidRPr="005D47FC">
        <w:rPr>
          <w:rFonts w:ascii="Open Sans" w:hAnsi="Open Sans" w:cs="Open Sans"/>
          <w:sz w:val="24"/>
          <w:szCs w:val="24"/>
        </w:rPr>
        <w:t xml:space="preserve"> that </w:t>
      </w:r>
      <w:r w:rsidR="008054FF">
        <w:rPr>
          <w:rFonts w:ascii="Open Sans" w:hAnsi="Open Sans" w:cs="Open Sans"/>
          <w:sz w:val="24"/>
          <w:szCs w:val="24"/>
        </w:rPr>
        <w:t>tenants and residents</w:t>
      </w:r>
      <w:r w:rsidR="005D47FC" w:rsidRPr="005D47FC">
        <w:rPr>
          <w:rFonts w:ascii="Open Sans" w:hAnsi="Open Sans" w:cs="Open Sans"/>
          <w:sz w:val="24"/>
          <w:szCs w:val="24"/>
        </w:rPr>
        <w:t xml:space="preserve"> have long</w:t>
      </w:r>
      <w:r w:rsidR="00027222">
        <w:rPr>
          <w:rFonts w:ascii="Open Sans" w:hAnsi="Open Sans" w:cs="Open Sans"/>
          <w:sz w:val="24"/>
          <w:szCs w:val="24"/>
        </w:rPr>
        <w:t>-</w:t>
      </w:r>
      <w:r w:rsidR="005D47FC" w:rsidRPr="005D47FC">
        <w:rPr>
          <w:rFonts w:ascii="Open Sans" w:hAnsi="Open Sans" w:cs="Open Sans"/>
          <w:sz w:val="24"/>
          <w:szCs w:val="24"/>
        </w:rPr>
        <w:t xml:space="preserve">term control when it comes to decisions about </w:t>
      </w:r>
      <w:r w:rsidR="008054FF">
        <w:rPr>
          <w:rFonts w:ascii="Open Sans" w:hAnsi="Open Sans" w:cs="Open Sans"/>
          <w:sz w:val="24"/>
          <w:szCs w:val="24"/>
        </w:rPr>
        <w:t>their</w:t>
      </w:r>
      <w:r w:rsidR="005D47FC" w:rsidRPr="005D47FC">
        <w:rPr>
          <w:rFonts w:ascii="Open Sans" w:hAnsi="Open Sans" w:cs="Open Sans"/>
          <w:sz w:val="24"/>
          <w:szCs w:val="24"/>
        </w:rPr>
        <w:t xml:space="preserve"> homes. The</w:t>
      </w:r>
      <w:r w:rsidR="00204D85">
        <w:rPr>
          <w:rFonts w:ascii="Open Sans" w:hAnsi="Open Sans" w:cs="Open Sans"/>
          <w:sz w:val="24"/>
          <w:szCs w:val="24"/>
        </w:rPr>
        <w:t>re is</w:t>
      </w:r>
      <w:r w:rsidR="005D47FC" w:rsidRPr="005D47FC">
        <w:rPr>
          <w:rFonts w:ascii="Open Sans" w:hAnsi="Open Sans" w:cs="Open Sans"/>
          <w:sz w:val="24"/>
          <w:szCs w:val="24"/>
        </w:rPr>
        <w:t xml:space="preserve"> government’s guidance on the Right to Transfe</w:t>
      </w:r>
      <w:r w:rsidR="00204D85">
        <w:rPr>
          <w:rFonts w:ascii="Open Sans" w:hAnsi="Open Sans" w:cs="Open Sans"/>
          <w:sz w:val="24"/>
          <w:szCs w:val="24"/>
        </w:rPr>
        <w:t>r</w:t>
      </w:r>
      <w:r w:rsidR="00204D85">
        <w:rPr>
          <w:rStyle w:val="FootnoteReference"/>
          <w:rFonts w:ascii="Open Sans" w:hAnsi="Open Sans" w:cs="Open Sans"/>
          <w:sz w:val="24"/>
          <w:szCs w:val="24"/>
        </w:rPr>
        <w:footnoteReference w:id="4"/>
      </w:r>
    </w:p>
    <w:p w:rsidR="00C81035" w:rsidRDefault="001B39C5" w:rsidP="00C81035">
      <w:pPr>
        <w:pStyle w:val="Body"/>
        <w:numPr>
          <w:ilvl w:val="0"/>
          <w:numId w:val="3"/>
        </w:numPr>
        <w:ind w:left="426" w:hanging="426"/>
        <w:rPr>
          <w:rFonts w:ascii="Open Sans" w:hAnsi="Open Sans" w:cs="Open Sans"/>
          <w:b/>
          <w:bCs/>
          <w:color w:val="auto"/>
          <w:sz w:val="24"/>
          <w:szCs w:val="24"/>
        </w:rPr>
      </w:pPr>
      <w:r>
        <w:rPr>
          <w:rFonts w:ascii="Open Sans" w:hAnsi="Open Sans" w:cs="Open Sans"/>
          <w:b/>
          <w:bCs/>
          <w:color w:val="auto"/>
          <w:sz w:val="24"/>
          <w:szCs w:val="24"/>
        </w:rPr>
        <w:t>A</w:t>
      </w:r>
      <w:r w:rsidR="008054FF">
        <w:rPr>
          <w:rFonts w:ascii="Open Sans" w:hAnsi="Open Sans" w:cs="Open Sans"/>
          <w:b/>
          <w:bCs/>
          <w:color w:val="auto"/>
          <w:sz w:val="24"/>
          <w:szCs w:val="24"/>
        </w:rPr>
        <w:t xml:space="preserve">Neighbourhood Plan: </w:t>
      </w:r>
      <w:r>
        <w:rPr>
          <w:rFonts w:ascii="Open Sans" w:hAnsi="Open Sans" w:cs="Open Sans"/>
          <w:color w:val="auto"/>
          <w:sz w:val="24"/>
          <w:szCs w:val="24"/>
        </w:rPr>
        <w:t>Neighbourhood planning</w:t>
      </w:r>
      <w:r>
        <w:rPr>
          <w:rStyle w:val="FootnoteReference"/>
          <w:rFonts w:ascii="Open Sans" w:hAnsi="Open Sans" w:cs="Open Sans"/>
          <w:color w:val="auto"/>
          <w:sz w:val="24"/>
          <w:szCs w:val="24"/>
        </w:rPr>
        <w:footnoteReference w:id="5"/>
      </w:r>
      <w:r w:rsidR="00027222">
        <w:rPr>
          <w:rFonts w:ascii="Open Sans" w:hAnsi="Open Sans" w:cs="Open Sans"/>
          <w:color w:val="auto"/>
          <w:sz w:val="24"/>
          <w:szCs w:val="24"/>
        </w:rPr>
        <w:t>give</w:t>
      </w:r>
      <w:r>
        <w:rPr>
          <w:rFonts w:ascii="Open Sans" w:hAnsi="Open Sans" w:cs="Open Sans"/>
          <w:color w:val="auto"/>
          <w:sz w:val="24"/>
          <w:szCs w:val="24"/>
        </w:rPr>
        <w:t>s</w:t>
      </w:r>
      <w:r w:rsidR="00027222">
        <w:rPr>
          <w:rFonts w:ascii="Open Sans" w:hAnsi="Open Sans" w:cs="Open Sans"/>
          <w:color w:val="auto"/>
          <w:sz w:val="24"/>
          <w:szCs w:val="24"/>
        </w:rPr>
        <w:t xml:space="preserve"> power to local communities to determine their future through setting</w:t>
      </w:r>
      <w:r>
        <w:rPr>
          <w:rFonts w:ascii="Open Sans" w:hAnsi="Open Sans" w:cs="Open Sans"/>
          <w:color w:val="auto"/>
          <w:sz w:val="24"/>
          <w:szCs w:val="24"/>
        </w:rPr>
        <w:t xml:space="preserve">their own </w:t>
      </w:r>
      <w:r w:rsidR="0024138F">
        <w:rPr>
          <w:rFonts w:ascii="Open Sans" w:hAnsi="Open Sans" w:cs="Open Sans"/>
          <w:color w:val="auto"/>
          <w:sz w:val="24"/>
          <w:szCs w:val="24"/>
        </w:rPr>
        <w:t>planning</w:t>
      </w:r>
      <w:r w:rsidR="00027222">
        <w:rPr>
          <w:rFonts w:ascii="Open Sans" w:hAnsi="Open Sans" w:cs="Open Sans"/>
          <w:color w:val="auto"/>
          <w:sz w:val="24"/>
          <w:szCs w:val="24"/>
        </w:rPr>
        <w:t xml:space="preserve"> policy for their neighbourhood.</w:t>
      </w:r>
      <w:r>
        <w:rPr>
          <w:rStyle w:val="FootnoteReference"/>
          <w:rFonts w:ascii="Open Sans" w:hAnsi="Open Sans" w:cs="Open Sans"/>
          <w:color w:val="auto"/>
          <w:sz w:val="24"/>
          <w:szCs w:val="24"/>
        </w:rPr>
        <w:footnoteReference w:id="6"/>
      </w:r>
      <w:r w:rsidR="00332364">
        <w:rPr>
          <w:rFonts w:ascii="Open Sans" w:hAnsi="Open Sans" w:cs="Open Sans"/>
          <w:color w:val="auto"/>
          <w:sz w:val="24"/>
          <w:szCs w:val="24"/>
        </w:rPr>
        <w:t>The downside is</w:t>
      </w:r>
      <w:r>
        <w:rPr>
          <w:rFonts w:ascii="Open Sans" w:hAnsi="Open Sans" w:cs="Open Sans"/>
          <w:color w:val="auto"/>
          <w:sz w:val="24"/>
          <w:szCs w:val="24"/>
        </w:rPr>
        <w:t xml:space="preserve"> that</w:t>
      </w:r>
      <w:r w:rsidR="00332364">
        <w:rPr>
          <w:rFonts w:ascii="Open Sans" w:hAnsi="Open Sans" w:cs="Open Sans"/>
          <w:color w:val="auto"/>
          <w:sz w:val="24"/>
          <w:szCs w:val="24"/>
        </w:rPr>
        <w:t xml:space="preserve"> it</w:t>
      </w:r>
      <w:r w:rsidR="00027222">
        <w:rPr>
          <w:rFonts w:ascii="Open Sans" w:hAnsi="Open Sans" w:cs="Open Sans"/>
          <w:color w:val="auto"/>
          <w:sz w:val="24"/>
          <w:szCs w:val="24"/>
        </w:rPr>
        <w:t xml:space="preserve"> involves a lot of hard work in carrying out formal consultation</w:t>
      </w:r>
      <w:r w:rsidR="0024138F">
        <w:rPr>
          <w:rFonts w:ascii="Open Sans" w:hAnsi="Open Sans" w:cs="Open Sans"/>
          <w:color w:val="auto"/>
          <w:sz w:val="24"/>
          <w:szCs w:val="24"/>
        </w:rPr>
        <w:t>s</w:t>
      </w:r>
      <w:r w:rsidR="00027222">
        <w:rPr>
          <w:rFonts w:ascii="Open Sans" w:hAnsi="Open Sans" w:cs="Open Sans"/>
          <w:color w:val="auto"/>
          <w:sz w:val="24"/>
          <w:szCs w:val="24"/>
        </w:rPr>
        <w:t xml:space="preserve"> with tenants, residents, neighb</w:t>
      </w:r>
      <w:r w:rsidR="00D84332">
        <w:rPr>
          <w:rFonts w:ascii="Open Sans" w:hAnsi="Open Sans" w:cs="Open Sans"/>
          <w:color w:val="auto"/>
          <w:sz w:val="24"/>
          <w:szCs w:val="24"/>
        </w:rPr>
        <w:t>o</w:t>
      </w:r>
      <w:r w:rsidR="00027222">
        <w:rPr>
          <w:rFonts w:ascii="Open Sans" w:hAnsi="Open Sans" w:cs="Open Sans"/>
          <w:color w:val="auto"/>
          <w:sz w:val="24"/>
          <w:szCs w:val="24"/>
        </w:rPr>
        <w:t>urs and local stakeholders, working with the local planning authority and understanding how to draw up</w:t>
      </w:r>
      <w:r w:rsidR="0024138F">
        <w:rPr>
          <w:rFonts w:ascii="Open Sans" w:hAnsi="Open Sans" w:cs="Open Sans"/>
          <w:color w:val="auto"/>
          <w:sz w:val="24"/>
          <w:szCs w:val="24"/>
        </w:rPr>
        <w:t xml:space="preserve"> local</w:t>
      </w:r>
      <w:r w:rsidR="00027222">
        <w:rPr>
          <w:rFonts w:ascii="Open Sans" w:hAnsi="Open Sans" w:cs="Open Sans"/>
          <w:color w:val="auto"/>
          <w:sz w:val="24"/>
          <w:szCs w:val="24"/>
        </w:rPr>
        <w:t xml:space="preserve"> planning policy a</w:t>
      </w:r>
      <w:r w:rsidR="00332364">
        <w:rPr>
          <w:rFonts w:ascii="Open Sans" w:hAnsi="Open Sans" w:cs="Open Sans"/>
          <w:color w:val="auto"/>
          <w:sz w:val="24"/>
          <w:szCs w:val="24"/>
        </w:rPr>
        <w:t>nd</w:t>
      </w:r>
      <w:r w:rsidR="0024138F">
        <w:rPr>
          <w:rFonts w:ascii="Open Sans" w:hAnsi="Open Sans" w:cs="Open Sans"/>
          <w:color w:val="auto"/>
          <w:sz w:val="24"/>
          <w:szCs w:val="24"/>
        </w:rPr>
        <w:t xml:space="preserve">how </w:t>
      </w:r>
      <w:r w:rsidR="00331638">
        <w:rPr>
          <w:rFonts w:ascii="Open Sans" w:hAnsi="Open Sans" w:cs="Open Sans"/>
          <w:color w:val="auto"/>
          <w:sz w:val="24"/>
          <w:szCs w:val="24"/>
        </w:rPr>
        <w:t>it fits</w:t>
      </w:r>
      <w:r w:rsidR="00027222">
        <w:rPr>
          <w:rFonts w:ascii="Open Sans" w:hAnsi="Open Sans" w:cs="Open Sans"/>
          <w:color w:val="auto"/>
          <w:sz w:val="24"/>
          <w:szCs w:val="24"/>
        </w:rPr>
        <w:t xml:space="preserve">with </w:t>
      </w:r>
      <w:r w:rsidR="00332364">
        <w:rPr>
          <w:rFonts w:ascii="Open Sans" w:hAnsi="Open Sans" w:cs="Open Sans"/>
          <w:color w:val="auto"/>
          <w:sz w:val="24"/>
          <w:szCs w:val="24"/>
        </w:rPr>
        <w:t>borough, regional and national planning policy</w:t>
      </w:r>
      <w:r w:rsidR="00027222">
        <w:rPr>
          <w:rFonts w:ascii="Open Sans" w:hAnsi="Open Sans" w:cs="Open Sans"/>
          <w:color w:val="auto"/>
          <w:sz w:val="24"/>
          <w:szCs w:val="24"/>
        </w:rPr>
        <w:t xml:space="preserve">. </w:t>
      </w:r>
    </w:p>
    <w:p w:rsidR="00DD006B" w:rsidRPr="00C81035" w:rsidRDefault="00A16337" w:rsidP="00C81035">
      <w:pPr>
        <w:pStyle w:val="Body"/>
        <w:numPr>
          <w:ilvl w:val="0"/>
          <w:numId w:val="3"/>
        </w:numPr>
        <w:ind w:left="426" w:hanging="426"/>
        <w:rPr>
          <w:rFonts w:ascii="Open Sans" w:hAnsi="Open Sans" w:cs="Open Sans"/>
          <w:b/>
          <w:bCs/>
          <w:color w:val="auto"/>
          <w:sz w:val="24"/>
          <w:szCs w:val="24"/>
        </w:rPr>
      </w:pPr>
      <w:r w:rsidRPr="00C81035">
        <w:rPr>
          <w:rFonts w:ascii="Open Sans" w:hAnsi="Open Sans" w:cs="Open Sans"/>
          <w:b/>
          <w:bCs/>
          <w:sz w:val="24"/>
          <w:szCs w:val="24"/>
        </w:rPr>
        <w:t>Legal challenges</w:t>
      </w:r>
      <w:r w:rsidR="00332364" w:rsidRPr="00C81035">
        <w:rPr>
          <w:rFonts w:ascii="Open Sans" w:hAnsi="Open Sans" w:cs="Open Sans"/>
          <w:sz w:val="24"/>
          <w:szCs w:val="24"/>
        </w:rPr>
        <w:t>:</w:t>
      </w:r>
      <w:r w:rsidR="00D84332" w:rsidRPr="00C81035">
        <w:rPr>
          <w:rFonts w:ascii="Open Sans" w:hAnsi="Open Sans" w:cs="Open Sans"/>
          <w:sz w:val="24"/>
          <w:szCs w:val="24"/>
        </w:rPr>
        <w:t>At times it may be possible to seek a Judicial Review, through the courts</w:t>
      </w:r>
      <w:r w:rsidR="00B62CD4" w:rsidRPr="00C81035">
        <w:rPr>
          <w:rFonts w:ascii="Open Sans" w:hAnsi="Open Sans" w:cs="Open Sans"/>
          <w:sz w:val="24"/>
          <w:szCs w:val="24"/>
        </w:rPr>
        <w:t>,</w:t>
      </w:r>
      <w:r w:rsidR="00D84332" w:rsidRPr="00C81035">
        <w:rPr>
          <w:rFonts w:ascii="Open Sans" w:hAnsi="Open Sans" w:cs="Open Sans"/>
          <w:sz w:val="24"/>
          <w:szCs w:val="24"/>
        </w:rPr>
        <w:t xml:space="preserve"> for exampleon a decision made </w:t>
      </w:r>
      <w:r w:rsidR="00B62CD4" w:rsidRPr="00C81035">
        <w:rPr>
          <w:rFonts w:ascii="Open Sans" w:hAnsi="Open Sans" w:cs="Open Sans"/>
          <w:sz w:val="24"/>
          <w:szCs w:val="24"/>
        </w:rPr>
        <w:t>to demolish your homes in</w:t>
      </w:r>
      <w:r w:rsidR="00D84332" w:rsidRPr="00C81035">
        <w:rPr>
          <w:rFonts w:ascii="Open Sans" w:hAnsi="Open Sans" w:cs="Open Sans"/>
          <w:sz w:val="24"/>
          <w:szCs w:val="24"/>
        </w:rPr>
        <w:t xml:space="preserve"> a </w:t>
      </w:r>
      <w:r w:rsidRPr="00C81035">
        <w:rPr>
          <w:rFonts w:ascii="Open Sans" w:hAnsi="Open Sans" w:cs="Open Sans"/>
          <w:sz w:val="24"/>
          <w:szCs w:val="24"/>
        </w:rPr>
        <w:t>planning application</w:t>
      </w:r>
      <w:r w:rsidR="00D84332" w:rsidRPr="00C81035">
        <w:rPr>
          <w:rFonts w:ascii="Open Sans" w:hAnsi="Open Sans" w:cs="Open Sans"/>
          <w:sz w:val="24"/>
          <w:szCs w:val="24"/>
        </w:rPr>
        <w:t>. Leaseholders might put in a legal challenge when being issued with a ‘Compulsory Purchase Order’</w:t>
      </w:r>
      <w:r w:rsidRPr="00C81035">
        <w:rPr>
          <w:rFonts w:ascii="Open Sans" w:hAnsi="Open Sans" w:cs="Open Sans"/>
          <w:sz w:val="24"/>
          <w:szCs w:val="24"/>
        </w:rPr>
        <w:t xml:space="preserve">. </w:t>
      </w:r>
      <w:r w:rsidR="00B62CD4" w:rsidRPr="00C81035">
        <w:rPr>
          <w:rFonts w:ascii="Open Sans" w:hAnsi="Open Sans" w:cs="Open Sans"/>
          <w:sz w:val="24"/>
          <w:szCs w:val="24"/>
        </w:rPr>
        <w:t>The</w:t>
      </w:r>
      <w:r w:rsidRPr="00C81035">
        <w:rPr>
          <w:rFonts w:ascii="Open Sans" w:hAnsi="Open Sans" w:cs="Open Sans"/>
          <w:sz w:val="24"/>
          <w:szCs w:val="24"/>
        </w:rPr>
        <w:t xml:space="preserve"> chances of </w:t>
      </w:r>
      <w:r w:rsidR="00D84332" w:rsidRPr="00C81035">
        <w:rPr>
          <w:rFonts w:ascii="Open Sans" w:hAnsi="Open Sans" w:cs="Open Sans"/>
          <w:sz w:val="24"/>
          <w:szCs w:val="24"/>
        </w:rPr>
        <w:t>staving off plans long-term</w:t>
      </w:r>
      <w:r w:rsidR="00B62CD4" w:rsidRPr="00C81035">
        <w:rPr>
          <w:rFonts w:ascii="Open Sans" w:hAnsi="Open Sans" w:cs="Open Sans"/>
          <w:sz w:val="24"/>
          <w:szCs w:val="24"/>
        </w:rPr>
        <w:t xml:space="preserve"> through this route are very slim</w:t>
      </w:r>
      <w:r w:rsidR="00D84332" w:rsidRPr="00C81035">
        <w:rPr>
          <w:rFonts w:ascii="Open Sans" w:hAnsi="Open Sans" w:cs="Open Sans"/>
          <w:sz w:val="24"/>
          <w:szCs w:val="24"/>
        </w:rPr>
        <w:t xml:space="preserve">, </w:t>
      </w:r>
      <w:r w:rsidR="00B62CD4" w:rsidRPr="00C81035">
        <w:rPr>
          <w:rFonts w:ascii="Open Sans" w:hAnsi="Open Sans" w:cs="Open Sans"/>
          <w:sz w:val="24"/>
          <w:szCs w:val="24"/>
        </w:rPr>
        <w:t xml:space="preserve">but </w:t>
      </w:r>
      <w:r w:rsidR="00D84332" w:rsidRPr="00C81035">
        <w:rPr>
          <w:rFonts w:ascii="Open Sans" w:hAnsi="Open Sans" w:cs="Open Sans"/>
          <w:sz w:val="24"/>
          <w:szCs w:val="24"/>
        </w:rPr>
        <w:t>they can be a useful delaying tactic</w:t>
      </w:r>
      <w:r w:rsidR="00B62CD4" w:rsidRPr="00C81035">
        <w:rPr>
          <w:rFonts w:ascii="Open Sans" w:hAnsi="Open Sans" w:cs="Open Sans"/>
          <w:sz w:val="24"/>
          <w:szCs w:val="24"/>
        </w:rPr>
        <w:t>, while you are working on other alternative plans</w:t>
      </w:r>
      <w:r w:rsidRPr="00C81035">
        <w:rPr>
          <w:rFonts w:ascii="Open Sans" w:hAnsi="Open Sans" w:cs="Open Sans"/>
          <w:sz w:val="24"/>
          <w:szCs w:val="24"/>
        </w:rPr>
        <w:t xml:space="preserve">. </w:t>
      </w:r>
    </w:p>
    <w:sectPr w:rsidR="00DD006B" w:rsidRPr="00C81035" w:rsidSect="004A0607">
      <w:headerReference w:type="default" r:id="rId8"/>
      <w:pgSz w:w="11906" w:h="16838"/>
      <w:pgMar w:top="1440" w:right="1080" w:bottom="1440" w:left="1080" w:header="709" w:footer="85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165" w:rsidRDefault="004C2165">
      <w:r>
        <w:separator/>
      </w:r>
    </w:p>
  </w:endnote>
  <w:endnote w:type="continuationSeparator" w:id="1">
    <w:p w:rsidR="004C2165" w:rsidRDefault="004C21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165" w:rsidRDefault="004C2165">
      <w:r>
        <w:separator/>
      </w:r>
    </w:p>
  </w:footnote>
  <w:footnote w:type="continuationSeparator" w:id="1">
    <w:p w:rsidR="004C2165" w:rsidRDefault="004C2165">
      <w:r>
        <w:continuationSeparator/>
      </w:r>
    </w:p>
  </w:footnote>
  <w:footnote w:id="2">
    <w:p w:rsidR="001B39C5" w:rsidRPr="00DB2C04" w:rsidRDefault="001B39C5" w:rsidP="001B39C5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West Ken and Gibbs Green ‘Peoples Plan’ - </w:t>
      </w:r>
      <w:r w:rsidRPr="0024138F">
        <w:t>https://westkengibbsgreen.wordpress.com/the-peoples-plan/</w:t>
      </w:r>
    </w:p>
  </w:footnote>
  <w:footnote w:id="3">
    <w:p w:rsidR="00027222" w:rsidRPr="00204D85" w:rsidRDefault="00027222" w:rsidP="00027222">
      <w:pPr>
        <w:pStyle w:val="FootnoteText"/>
      </w:pPr>
      <w:r>
        <w:rPr>
          <w:rStyle w:val="FootnoteReference"/>
        </w:rPr>
        <w:footnoteRef/>
      </w:r>
      <w:hyperlink r:id="rId1" w:history="1">
        <w:r w:rsidRPr="00CC6FBF">
          <w:rPr>
            <w:rStyle w:val="Hyperlink"/>
          </w:rPr>
          <w:t>http://www.nftmo.co.uk/content/content_toolbox_detail07c5.html?i=15</w:t>
        </w:r>
      </w:hyperlink>
    </w:p>
  </w:footnote>
  <w:footnote w:id="4">
    <w:p w:rsidR="00204D85" w:rsidRPr="00204D85" w:rsidRDefault="00204D85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204D85">
        <w:t>https://www.gov.uk/government/publications/the-housing-right-to-transfer-from-a-local-authority-landlord-england-regulations-2013</w:t>
      </w:r>
    </w:p>
  </w:footnote>
  <w:footnote w:id="5">
    <w:p w:rsidR="001B39C5" w:rsidRPr="001B39C5" w:rsidRDefault="001B39C5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1B39C5">
        <w:t>https://neighbourhoodplanning.org/</w:t>
      </w:r>
    </w:p>
  </w:footnote>
  <w:footnote w:id="6">
    <w:p w:rsidR="001B39C5" w:rsidRPr="0024138F" w:rsidRDefault="001B39C5" w:rsidP="001B39C5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Carpenters NP – submission version - </w:t>
      </w:r>
      <w:r w:rsidRPr="0024138F">
        <w:t>https://greater-carpenters.co.uk/our-work/greater-carpenters-neighbourhood-plan/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06B" w:rsidRPr="0024138F" w:rsidRDefault="0024138F">
    <w:pPr>
      <w:rPr>
        <w:rFonts w:ascii="Open Sans Light" w:hAnsi="Open Sans Light" w:cs="Open Sans Light"/>
      </w:rPr>
    </w:pPr>
    <w:r>
      <w:rPr>
        <w:rFonts w:ascii="Open Sans Light" w:hAnsi="Open Sans Light" w:cs="Open Sans Light"/>
        <w:b/>
        <w:bCs/>
      </w:rPr>
      <w:t xml:space="preserve">ESTATE WATCH - </w:t>
    </w:r>
    <w:r>
      <w:rPr>
        <w:rFonts w:ascii="Open Sans Light" w:hAnsi="Open Sans Light" w:cs="Open Sans Light"/>
      </w:rPr>
      <w:t>Handout 3 for TRAs and active tenants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04775"/>
    <w:multiLevelType w:val="hybridMultilevel"/>
    <w:tmpl w:val="EFB45FD0"/>
    <w:numStyleLink w:val="Numbered"/>
  </w:abstractNum>
  <w:abstractNum w:abstractNumId="1">
    <w:nsid w:val="444415B4"/>
    <w:multiLevelType w:val="hybridMultilevel"/>
    <w:tmpl w:val="38DE2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513AA1"/>
    <w:multiLevelType w:val="hybridMultilevel"/>
    <w:tmpl w:val="EFB45FD0"/>
    <w:styleLink w:val="Numbered"/>
    <w:lvl w:ilvl="0" w:tplc="0D80350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26036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A06B8E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54DAC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B05C8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4EBB20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E85CE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86A93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420A6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D006B"/>
    <w:rsid w:val="00027222"/>
    <w:rsid w:val="001B39C5"/>
    <w:rsid w:val="00204D85"/>
    <w:rsid w:val="0024138F"/>
    <w:rsid w:val="00282959"/>
    <w:rsid w:val="002F7DFF"/>
    <w:rsid w:val="00331638"/>
    <w:rsid w:val="00332364"/>
    <w:rsid w:val="00400E2F"/>
    <w:rsid w:val="004A0607"/>
    <w:rsid w:val="004C2165"/>
    <w:rsid w:val="00550C09"/>
    <w:rsid w:val="00574138"/>
    <w:rsid w:val="005D47FC"/>
    <w:rsid w:val="008054FF"/>
    <w:rsid w:val="00A16337"/>
    <w:rsid w:val="00B62CD4"/>
    <w:rsid w:val="00C2714C"/>
    <w:rsid w:val="00C81035"/>
    <w:rsid w:val="00D84332"/>
    <w:rsid w:val="00DB2C04"/>
    <w:rsid w:val="00DD006B"/>
    <w:rsid w:val="00DF0B3E"/>
    <w:rsid w:val="00F2298A"/>
    <w:rsid w:val="00FF2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95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82959"/>
    <w:rPr>
      <w:u w:val="single"/>
    </w:rPr>
  </w:style>
  <w:style w:type="paragraph" w:customStyle="1" w:styleId="Body">
    <w:name w:val="Body"/>
    <w:rsid w:val="00282959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Hyperlink"/>
    <w:rsid w:val="00282959"/>
    <w:rPr>
      <w:u w:val="single"/>
    </w:rPr>
  </w:style>
  <w:style w:type="numbering" w:customStyle="1" w:styleId="Numbered">
    <w:name w:val="Numbered"/>
    <w:rsid w:val="00282959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F7DF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7DFF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F7DFF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47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13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38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413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38F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ftmo.co.uk/content/content_toolbox_detail07c5.html?i=15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260C9-DD79-4CA3-B166-028C41D0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LTF LTF</dc:creator>
  <cp:lastModifiedBy>richard</cp:lastModifiedBy>
  <cp:revision>2</cp:revision>
  <cp:lastPrinted>2020-06-02T09:26:00Z</cp:lastPrinted>
  <dcterms:created xsi:type="dcterms:W3CDTF">2020-06-04T13:39:00Z</dcterms:created>
  <dcterms:modified xsi:type="dcterms:W3CDTF">2020-06-04T13:39:00Z</dcterms:modified>
</cp:coreProperties>
</file>