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pacing w:before="0" w:after="120"/>
        <w:jc w:val="center"/>
        <w:rPr/>
      </w:pPr>
      <w:r>
        <w:rPr>
          <w:rFonts w:cs="Open Sans" w:ascii="Open Sans" w:hAnsi="Open Sans"/>
          <w:b/>
          <w:sz w:val="28"/>
          <w:szCs w:val="28"/>
          <w:u w:val="none" w:color="000000"/>
        </w:rPr>
        <w:t>Five guarantees leaseholders should seek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color w:val="000000"/>
          <w:sz w:val="22"/>
          <w:szCs w:val="22"/>
          <w:u w:val="none" w:color="000000"/>
          <w:lang w:val="en-US"/>
        </w:rPr>
        <w:t xml:space="preserve">Leaseholders (and freeholders) have a legal right to be rehoused on their redeveloped estate without incurring any additional financial burden. </w:t>
      </w:r>
      <w:hyperlink r:id="rId2">
        <w:r>
          <w:rPr>
            <w:rStyle w:val="InternetLink"/>
            <w:rFonts w:cs="Open Sans" w:ascii="Open Sans" w:hAnsi="Open Sans"/>
            <w:color w:val="000000"/>
            <w:sz w:val="22"/>
            <w:szCs w:val="22"/>
            <w:u w:val="none" w:color="000000"/>
            <w:lang w:val="en-US"/>
          </w:rPr>
          <w:t>Section 233(paras 5 &amp; 7) of the Town and Country Planning Act 1990</w:t>
        </w:r>
      </w:hyperlink>
      <w:r>
        <w:rPr>
          <w:rFonts w:cs="Open Sans" w:ascii="Open Sans" w:hAnsi="Open Sans"/>
          <w:color w:val="000000"/>
          <w:sz w:val="22"/>
          <w:szCs w:val="22"/>
          <w:u w:val="none" w:color="000000"/>
          <w:lang w:val="en-US"/>
        </w:rPr>
        <w:t>, says that persons compulsorily removed from their homes for planning purposes must be offered ‘</w:t>
      </w:r>
      <w:r>
        <w:rPr>
          <w:rFonts w:cs="Open Sans" w:ascii="Open Sans" w:hAnsi="Open Sans"/>
          <w:i/>
          <w:iCs/>
          <w:color w:val="000000"/>
          <w:sz w:val="22"/>
          <w:szCs w:val="22"/>
          <w:u w:val="none" w:color="000000"/>
          <w:lang w:val="en-US"/>
        </w:rPr>
        <w:t>suitable accommodation</w:t>
      </w:r>
      <w:r>
        <w:rPr>
          <w:rFonts w:cs="Open Sans" w:ascii="Open Sans" w:hAnsi="Open Sans"/>
          <w:color w:val="000000"/>
          <w:sz w:val="22"/>
          <w:szCs w:val="22"/>
          <w:u w:val="none" w:color="000000"/>
          <w:lang w:val="en-US"/>
        </w:rPr>
        <w:t>’ on the redeveloped land ‘</w:t>
      </w:r>
      <w:r>
        <w:rPr>
          <w:rFonts w:cs="Open Sans" w:ascii="Open Sans" w:hAnsi="Open Sans"/>
          <w:i/>
          <w:iCs/>
          <w:color w:val="000000"/>
          <w:sz w:val="22"/>
          <w:szCs w:val="22"/>
          <w:u w:val="none" w:color="000000"/>
          <w:lang w:val="en-US"/>
        </w:rPr>
        <w:t>on terms settled with due regard to the price at which any such land has been acquired from him</w:t>
      </w:r>
      <w:r>
        <w:rPr>
          <w:rFonts w:cs="Open Sans" w:ascii="Open Sans" w:hAnsi="Open Sans"/>
          <w:color w:val="000000"/>
          <w:sz w:val="22"/>
          <w:szCs w:val="22"/>
          <w:u w:val="none" w:color="000000"/>
          <w:lang w:val="en-US"/>
        </w:rPr>
        <w:t>’.</w:t>
      </w:r>
      <w:r>
        <w:rPr>
          <w:rFonts w:cs="Open Sans" w:ascii="Open Sans" w:hAnsi="Open Sans"/>
          <w:sz w:val="22"/>
          <w:szCs w:val="22"/>
          <w:u w:val="none" w:color="000000"/>
        </w:rPr>
        <w:t xml:space="preserve"> 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 xml:space="preserve">The government’s </w:t>
      </w:r>
      <w:hyperlink r:id="rId3">
        <w:r>
          <w:rPr>
            <w:rStyle w:val="InternetLink"/>
            <w:rFonts w:cs="Open Sans" w:ascii="Open Sans" w:hAnsi="Open Sans"/>
            <w:sz w:val="22"/>
            <w:szCs w:val="22"/>
            <w:u w:val="none" w:color="000000"/>
          </w:rPr>
          <w:t>Compulsory Purchase Code</w:t>
        </w:r>
      </w:hyperlink>
      <w:r>
        <w:rPr>
          <w:rFonts w:cs="Open Sans" w:ascii="Open Sans" w:hAnsi="Open Sans"/>
          <w:sz w:val="22"/>
          <w:szCs w:val="22"/>
          <w:u w:val="none" w:color="000000"/>
        </w:rPr>
        <w:t xml:space="preserve"> goes further to set out a general ‘</w:t>
      </w:r>
      <w:r>
        <w:rPr>
          <w:rFonts w:cs="Open Sans" w:ascii="Open Sans" w:hAnsi="Open Sans"/>
          <w:i/>
          <w:iCs/>
          <w:sz w:val="22"/>
          <w:szCs w:val="22"/>
          <w:u w:val="none" w:color="000000"/>
        </w:rPr>
        <w:t>principle of equivalence</w:t>
      </w:r>
      <w:r>
        <w:rPr>
          <w:rFonts w:cs="Open Sans" w:ascii="Open Sans" w:hAnsi="Open Sans"/>
          <w:sz w:val="22"/>
          <w:szCs w:val="22"/>
          <w:u w:val="none" w:color="000000"/>
        </w:rPr>
        <w:t>’:</w:t>
      </w:r>
    </w:p>
    <w:p>
      <w:pPr>
        <w:pStyle w:val="Body"/>
        <w:spacing w:before="0" w:after="1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3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Open Sans" w:ascii="Open Sans" w:hAnsi="Open Sans"/>
          <w:sz w:val="22"/>
          <w:szCs w:val="22"/>
          <w:u w:val="none" w:color="000000"/>
        </w:rPr>
        <w:t>T</w:t>
      </w:r>
      <w:r>
        <w:rPr>
          <w:rFonts w:cs="Open Sans" w:ascii="Open Sans" w:hAnsi="Open Sans"/>
          <w:sz w:val="22"/>
          <w:szCs w:val="22"/>
          <w:u w:val="none" w:color="000000"/>
        </w:rPr>
        <w:t>his is why most estate regenerations generally offer leaseholders the right to one of the new homes being built on what is known as a ‘shared equity’ or ‘equity loan’ scheme.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color w:val="000000"/>
          <w:sz w:val="22"/>
          <w:szCs w:val="22"/>
          <w:u w:val="none" w:color="000000"/>
          <w:lang w:val="en-US"/>
        </w:rPr>
        <w:t xml:space="preserve">In theory, these schemes enable </w:t>
      </w:r>
      <w:r>
        <w:rPr>
          <w:rFonts w:cs="Open Sans" w:ascii="Open Sans" w:hAnsi="Open Sans"/>
          <w:sz w:val="22"/>
          <w:szCs w:val="22"/>
          <w:u w:val="none" w:color="000000"/>
        </w:rPr>
        <w:t>leaseholders to buy a share in one of the new (higher value) replacement homes, using the market value compensation for their existing (lower value) homes - without having to pay rent on the share retained by the Council or its development partner.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In practice, Council’s and their development partners have often sought to attach small print clauses to such schemes, which result in leaseholders being financially disadvantaged or not placed in an equivalent position.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For example, some schemes require leaseholders to sink their personal savings into the purchase of a shared equity home, or take out a mortgage (on top of any existing mortgage), or in some cases schemes require a minimum share of say 50% or 70% (which has the same effect).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Some schemes also deny succession for their shared-equity schemes, meaning that any descendants living with leaseholders would have to sell and move out of their homes when the named leaseholder passes away.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Some schemes require leaseholders to pay rent on the equity share they don’t own (</w:t>
      </w:r>
      <w:hyperlink r:id="rId5">
        <w:r>
          <w:rPr>
            <w:rStyle w:val="InternetLink"/>
            <w:rFonts w:cs="Open Sans" w:ascii="Open Sans" w:hAnsi="Open Sans"/>
            <w:sz w:val="22"/>
            <w:szCs w:val="22"/>
            <w:u w:val="none" w:color="000000"/>
          </w:rPr>
          <w:t>see Greenwich</w:t>
        </w:r>
      </w:hyperlink>
      <w:r>
        <w:rPr>
          <w:rFonts w:cs="Open Sans" w:ascii="Open Sans" w:hAnsi="Open Sans"/>
          <w:sz w:val="22"/>
          <w:szCs w:val="22"/>
          <w:u w:val="none" w:color="000000"/>
        </w:rPr>
        <w:t>).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Some schemes are effectively ‘gatekept’ behind a financial assessment, whereby the Council assesses the leaseholders’ finances and only offers the shared equity if it deems the leaseholder able to afford shared ownership (</w:t>
      </w:r>
      <w:r>
        <w:rPr>
          <w:rFonts w:cs="Open Sans" w:ascii="Open Sans" w:hAnsi="Open Sans"/>
          <w:sz w:val="22"/>
          <w:szCs w:val="22"/>
          <w:u w:val="none" w:color="000000"/>
        </w:rPr>
        <w:t>i.</w:t>
      </w:r>
      <w:r>
        <w:rPr>
          <w:rFonts w:cs="Open Sans" w:ascii="Open Sans" w:hAnsi="Open Sans"/>
          <w:sz w:val="22"/>
          <w:szCs w:val="22"/>
          <w:u w:val="none" w:color="000000"/>
        </w:rPr>
        <w:t>e. paying rent on the unowned share).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 xml:space="preserve">Such small print clauses were </w:t>
      </w:r>
      <w:hyperlink r:id="rId6">
        <w:r>
          <w:rPr>
            <w:rStyle w:val="InternetLink"/>
            <w:rFonts w:cs="Open Sans" w:ascii="Open Sans" w:hAnsi="Open Sans"/>
            <w:sz w:val="22"/>
            <w:szCs w:val="22"/>
            <w:u w:val="none" w:color="000000"/>
          </w:rPr>
          <w:t>deemed unlawful</w:t>
        </w:r>
      </w:hyperlink>
      <w:r>
        <w:rPr>
          <w:rFonts w:cs="Open Sans" w:ascii="Open Sans" w:hAnsi="Open Sans"/>
          <w:sz w:val="22"/>
          <w:szCs w:val="22"/>
          <w:u w:val="none" w:color="000000"/>
        </w:rPr>
        <w:t xml:space="preserve"> at by the Secretary of State at the 2015 Aylesbury estate CPO inquiry, which required Southwark to </w:t>
      </w:r>
      <w:hyperlink r:id="rId7">
        <w:r>
          <w:rPr>
            <w:rStyle w:val="InternetLink"/>
            <w:rFonts w:cs="Open Sans" w:ascii="Open Sans" w:hAnsi="Open Sans"/>
            <w:sz w:val="22"/>
            <w:szCs w:val="22"/>
            <w:u w:val="none" w:color="000000"/>
          </w:rPr>
          <w:t>amend its shared equity policy</w:t>
        </w:r>
      </w:hyperlink>
      <w:r>
        <w:rPr>
          <w:rFonts w:cs="Open Sans" w:ascii="Open Sans" w:hAnsi="Open Sans"/>
          <w:sz w:val="22"/>
          <w:szCs w:val="22"/>
          <w:u w:val="none" w:color="000000"/>
        </w:rPr>
        <w:t>.</w:t>
      </w:r>
    </w:p>
    <w:p>
      <w:pPr>
        <w:pStyle w:val="Body"/>
        <w:spacing w:before="0" w:after="160"/>
        <w:rPr>
          <w:rFonts w:ascii="Open Sans" w:hAnsi="Open Sans" w:cs="Open Sans"/>
          <w:sz w:val="22"/>
          <w:szCs w:val="22"/>
          <w:u w:val="none" w:color="000000"/>
        </w:rPr>
      </w:pPr>
      <w:r>
        <w:rPr>
          <w:rFonts w:cs="Open Sans" w:ascii="Open Sans" w:hAnsi="Open Sans"/>
          <w:sz w:val="22"/>
          <w:szCs w:val="22"/>
          <w:u w:val="none" w:color="000000"/>
        </w:rPr>
      </w:r>
    </w:p>
    <w:p>
      <w:pPr>
        <w:pStyle w:val="Body"/>
        <w:spacing w:before="0" w:after="160"/>
        <w:rPr>
          <w:rFonts w:ascii="Open Sans" w:hAnsi="Open Sans" w:cs="Open Sans"/>
          <w:sz w:val="22"/>
          <w:szCs w:val="22"/>
          <w:u w:val="none" w:color="000000"/>
        </w:rPr>
      </w:pPr>
      <w:r>
        <w:rPr>
          <w:rFonts w:cs="Open Sans" w:ascii="Open Sans" w:hAnsi="Open Sans"/>
          <w:sz w:val="22"/>
          <w:szCs w:val="22"/>
          <w:u w:val="none" w:color="000000"/>
        </w:rPr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The key amendments to Southwark’s policy were as follows:</w:t>
      </w:r>
    </w:p>
    <w:p>
      <w:pPr>
        <w:pStyle w:val="Body"/>
        <w:spacing w:before="0" w:after="160"/>
        <w:ind w:left="720" w:hanging="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1. The minimum equity share requirement was reduced from 50% to 25% - the high value of new-build replacement homes, many leaseholders were having to invest savings and take out mortgages to reach the 50% minimum requirement.</w:t>
      </w:r>
    </w:p>
    <w:p>
      <w:pPr>
        <w:pStyle w:val="Body"/>
        <w:spacing w:before="0" w:after="160"/>
        <w:ind w:left="720" w:hanging="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2. The inheritance clause was amended enabling a leaseholder to allow the shared equity deal to be inherited by a spouse or descendant. Previously the clause required the house to be sold upon the death of the named leaseholder.</w:t>
      </w:r>
    </w:p>
    <w:p>
      <w:pPr>
        <w:pStyle w:val="Body"/>
        <w:spacing w:before="0" w:after="160"/>
        <w:ind w:left="720" w:hanging="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3. Major works charges were apportioned according to the percentage of the share owned by the leaseholder.</w:t>
      </w:r>
    </w:p>
    <w:p>
      <w:pPr>
        <w:pStyle w:val="Body"/>
        <w:spacing w:before="0" w:after="160"/>
        <w:ind w:left="720" w:hanging="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4. If agreement can’t be reached about the value of the leaseholder’s existing home, the Council agreed to make an initial payment of 90% of the its valuation pending referral to the Tribunal - with the balance payable following determination. Previously leaseholders were forced to forgo their right to challenge the Council’s valuation if they wanted to take up the shared equity offer.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 xml:space="preserve">Some estate regenerations offer more generous deals for leaseholders like the </w:t>
      </w:r>
      <w:hyperlink r:id="rId8">
        <w:r>
          <w:rPr>
            <w:rStyle w:val="InternetLink"/>
            <w:rFonts w:cs="Open Sans" w:ascii="Open Sans" w:hAnsi="Open Sans"/>
            <w:sz w:val="22"/>
            <w:szCs w:val="22"/>
            <w:u w:val="none" w:color="000000"/>
          </w:rPr>
          <w:t>Clarion schemes in Merton</w:t>
        </w:r>
      </w:hyperlink>
      <w:r>
        <w:rPr>
          <w:rFonts w:cs="Open Sans" w:ascii="Open Sans" w:hAnsi="Open Sans"/>
          <w:sz w:val="22"/>
          <w:szCs w:val="22"/>
          <w:u w:val="none" w:color="000000"/>
        </w:rPr>
        <w:t xml:space="preserve">, or the </w:t>
      </w:r>
      <w:hyperlink r:id="rId9">
        <w:r>
          <w:rPr>
            <w:rStyle w:val="InternetLink"/>
            <w:rFonts w:cs="Open Sans" w:ascii="Open Sans" w:hAnsi="Open Sans"/>
            <w:sz w:val="22"/>
            <w:szCs w:val="22"/>
            <w:u w:val="none" w:color="000000"/>
          </w:rPr>
          <w:t>Poplar HARCA schemes in Tower Hamlets</w:t>
        </w:r>
      </w:hyperlink>
      <w:r>
        <w:rPr>
          <w:rFonts w:cs="Open Sans" w:ascii="Open Sans" w:hAnsi="Open Sans"/>
          <w:sz w:val="22"/>
          <w:szCs w:val="22"/>
          <w:u w:val="none" w:color="000000"/>
        </w:rPr>
        <w:t xml:space="preserve"> – which allow proportions of the shared equity loan to be written off after a number of years.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These should be used as examples in leaseholders’ negotiations with Landlords in estate regenerations, as well as the government’s Estate Regeneration Guidance</w:t>
      </w:r>
      <w:r>
        <w:rPr>
          <w:rStyle w:val="FootnoteAnchor"/>
          <w:rFonts w:cs="Open Sans" w:ascii="Open Sans" w:hAnsi="Open Sans"/>
          <w:sz w:val="22"/>
          <w:szCs w:val="22"/>
          <w:u w:val="none" w:color="000000"/>
        </w:rPr>
        <w:footnoteReference w:id="2"/>
      </w:r>
      <w:r>
        <w:rPr>
          <w:rFonts w:cs="Open Sans" w:ascii="Open Sans" w:hAnsi="Open Sans"/>
          <w:sz w:val="22"/>
          <w:szCs w:val="22"/>
          <w:u w:val="none" w:color="000000"/>
        </w:rPr>
        <w:t xml:space="preserve"> which encourages such loan write-offs after 7 years.</w:t>
      </w:r>
    </w:p>
    <w:p>
      <w:pPr>
        <w:pStyle w:val="Body"/>
        <w:spacing w:before="0" w:after="16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In the meantime, leaseholders should ensure that the shared equity scheme provides the following 7 guarantees and ensure that these are included in detail in any formal Landlord Offer before voting in favour of regeneration.</w:t>
      </w:r>
    </w:p>
    <w:p>
      <w:pPr>
        <w:pStyle w:val="Body"/>
        <w:spacing w:before="0" w:after="160"/>
        <w:ind w:left="720" w:hanging="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1. The required minimum equity share is not higher than 25%.</w:t>
      </w:r>
    </w:p>
    <w:p>
      <w:pPr>
        <w:pStyle w:val="Body"/>
        <w:spacing w:before="0" w:after="160"/>
        <w:ind w:left="720" w:hanging="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2. The equity share agreement can be inherited by a spouse or descendant.</w:t>
      </w:r>
    </w:p>
    <w:p>
      <w:pPr>
        <w:pStyle w:val="Body"/>
        <w:spacing w:before="0" w:after="160"/>
        <w:ind w:left="720" w:hanging="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3. Any future Major Works charges are apportioned to the percentage share owned.</w:t>
      </w:r>
    </w:p>
    <w:p>
      <w:pPr>
        <w:pStyle w:val="Body"/>
        <w:spacing w:before="0" w:after="160"/>
        <w:ind w:left="720" w:hanging="0"/>
        <w:rPr/>
      </w:pPr>
      <w:r>
        <w:rPr>
          <w:rFonts w:cs="Open Sans" w:ascii="Open Sans" w:hAnsi="Open Sans"/>
          <w:sz w:val="22"/>
          <w:szCs w:val="22"/>
          <w:u w:val="none" w:color="000000"/>
        </w:rPr>
        <w:t>4. Any disagreement about the valuations of the existing homes or the new-builds is referred to the District Valuer (at the Council/Landlord’s cost).</w:t>
      </w:r>
    </w:p>
    <w:p>
      <w:pPr>
        <w:pStyle w:val="Body"/>
        <w:spacing w:before="0" w:after="160"/>
        <w:rPr/>
      </w:pPr>
      <w:r>
        <w:rPr>
          <w:rStyle w:val="None"/>
          <w:rFonts w:cs="Open Sans" w:ascii="Open Sans" w:hAnsi="Open Sans"/>
          <w:sz w:val="22"/>
          <w:szCs w:val="22"/>
          <w:u w:val="none" w:color="000000"/>
        </w:rPr>
        <w:t>Finally, there must be a fall-back for those leaseholders in severe financial hardship who cannot afford the minimum 25% equity share.</w:t>
      </w:r>
    </w:p>
    <w:p>
      <w:pPr>
        <w:pStyle w:val="Body"/>
        <w:spacing w:before="0" w:after="160"/>
        <w:rPr/>
      </w:pPr>
      <w:r>
        <w:rPr>
          <w:rStyle w:val="None"/>
          <w:rFonts w:cs="Open Sans" w:ascii="Open Sans" w:hAnsi="Open Sans"/>
          <w:sz w:val="22"/>
          <w:szCs w:val="22"/>
          <w:u w:val="none" w:color="000000"/>
        </w:rPr>
        <w:t xml:space="preserve">This is a minimum statutory requirement – </w:t>
      </w:r>
      <w:r>
        <w:rPr>
          <w:rStyle w:val="None"/>
          <w:rFonts w:cs="Open Sans" w:ascii="Open Sans" w:hAnsi="Open Sans"/>
          <w:sz w:val="22"/>
          <w:szCs w:val="22"/>
          <w:u w:val="none" w:color="000000"/>
        </w:rPr>
        <w:t>i.</w:t>
      </w:r>
      <w:r>
        <w:rPr>
          <w:rStyle w:val="None"/>
          <w:rFonts w:cs="Open Sans" w:ascii="Open Sans" w:hAnsi="Open Sans"/>
          <w:sz w:val="22"/>
          <w:szCs w:val="22"/>
          <w:u w:val="none" w:color="000000"/>
        </w:rPr>
        <w:t xml:space="preserve">e. that nobody is made homeless by Compulsory Purchase (see section 39 of the Land Compensation Act 1973). </w:t>
      </w:r>
    </w:p>
    <w:p>
      <w:pPr>
        <w:pStyle w:val="Body"/>
        <w:spacing w:before="0" w:after="160"/>
        <w:rPr/>
      </w:pPr>
      <w:r>
        <w:rPr>
          <w:rStyle w:val="None"/>
          <w:rFonts w:cs="Open Sans" w:ascii="Open Sans" w:hAnsi="Open Sans"/>
          <w:sz w:val="22"/>
          <w:szCs w:val="22"/>
          <w:u w:val="none" w:color="000000"/>
        </w:rPr>
        <w:t xml:space="preserve">However, several Councils seek to reduce the amount of compensation to those leaseholders rehoused. For example, the small print in Camden’s policy means </w:t>
      </w:r>
      <w:hyperlink r:id="rId10">
        <w:r>
          <w:rPr>
            <w:rStyle w:val="None"/>
            <w:rFonts w:cs="Open Sans" w:ascii="Open Sans" w:hAnsi="Open Sans"/>
            <w:sz w:val="22"/>
            <w:szCs w:val="22"/>
            <w:u w:val="none" w:color="000000"/>
          </w:rPr>
          <w:t>leaseholders receive just 25%</w:t>
        </w:r>
      </w:hyperlink>
      <w:r>
        <w:rPr>
          <w:rStyle w:val="None"/>
          <w:rFonts w:cs="Open Sans" w:ascii="Open Sans" w:hAnsi="Open Sans"/>
          <w:sz w:val="22"/>
          <w:szCs w:val="22"/>
          <w:u w:val="none" w:color="000000"/>
        </w:rPr>
        <w:t xml:space="preserve"> of the market value of their homes if they seek rehousing, which is a clear breach of the government’s </w:t>
      </w:r>
      <w:hyperlink r:id="rId11">
        <w:r>
          <w:rPr>
            <w:rStyle w:val="None"/>
            <w:rFonts w:cs="Open Sans" w:ascii="Open Sans" w:hAnsi="Open Sans"/>
            <w:sz w:val="22"/>
            <w:szCs w:val="22"/>
            <w:u w:val="none" w:color="000000"/>
          </w:rPr>
          <w:t>Compulsory Purchase Code</w:t>
        </w:r>
      </w:hyperlink>
      <w:r>
        <w:rPr>
          <w:rStyle w:val="None"/>
          <w:rFonts w:cs="Open Sans" w:ascii="Open Sans" w:hAnsi="Open Sans"/>
          <w:sz w:val="22"/>
          <w:szCs w:val="22"/>
          <w:u w:val="none" w:color="000000"/>
        </w:rPr>
        <w:t>:</w:t>
      </w:r>
    </w:p>
    <w:p>
      <w:pPr>
        <w:pStyle w:val="Body"/>
        <w:spacing w:before="0" w:after="160"/>
        <w:rPr>
          <w:rStyle w:val="None"/>
          <w:rFonts w:ascii="Open Sans" w:hAnsi="Open Sans" w:cs="Open Sans"/>
          <w:sz w:val="22"/>
          <w:szCs w:val="22"/>
          <w:u w:val="none" w:color="000000"/>
        </w:rPr>
      </w:pPr>
      <w:r>
        <w:rPr>
          <w:rFonts w:cs="Open Sans" w:ascii="Open Sans" w:hAnsi="Open Sans"/>
          <w:sz w:val="22"/>
          <w:szCs w:val="22"/>
          <w:u w:val="none" w:color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2055" cy="694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01" t="-1452" r="-201" b="-1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6940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Body"/>
        <w:spacing w:before="0" w:after="160"/>
        <w:rPr>
          <w:rStyle w:val="None"/>
          <w:rFonts w:ascii="Open Sans" w:hAnsi="Open Sans" w:cs="Open Sans"/>
          <w:sz w:val="22"/>
          <w:szCs w:val="22"/>
          <w:u w:val="none" w:color="000000"/>
        </w:rPr>
      </w:pPr>
      <w:r>
        <w:rPr>
          <w:rFonts w:cs="Open Sans" w:ascii="Open Sans" w:hAnsi="Open Sans"/>
          <w:sz w:val="22"/>
          <w:szCs w:val="22"/>
          <w:u w:val="none" w:color="000000"/>
        </w:rPr>
      </w:r>
    </w:p>
    <w:p>
      <w:pPr>
        <w:pStyle w:val="Body"/>
        <w:spacing w:before="0" w:after="160"/>
        <w:rPr>
          <w:rStyle w:val="None"/>
          <w:rFonts w:ascii="Open Sans" w:hAnsi="Open Sans" w:cs="Open Sans"/>
          <w:sz w:val="22"/>
          <w:szCs w:val="22"/>
          <w:u w:val="none" w:color="000000"/>
        </w:rPr>
      </w:pPr>
      <w:r>
        <w:rPr>
          <w:rFonts w:cs="Open Sans" w:ascii="Open Sans" w:hAnsi="Open Sans"/>
          <w:sz w:val="22"/>
          <w:szCs w:val="22"/>
          <w:u w:val="none" w:color="000000"/>
        </w:rPr>
      </w:r>
    </w:p>
    <w:p>
      <w:pPr>
        <w:pStyle w:val="Body"/>
        <w:spacing w:before="0" w:after="160"/>
        <w:rPr/>
      </w:pPr>
      <w:r>
        <w:rPr>
          <w:rStyle w:val="None"/>
          <w:rFonts w:cs="Open Sans" w:ascii="Open Sans" w:hAnsi="Open Sans"/>
          <w:sz w:val="22"/>
          <w:szCs w:val="22"/>
          <w:u w:val="none" w:color="000000"/>
        </w:rPr>
        <w:t xml:space="preserve">Leaseholders should scan the Council’s policy and any Landlord offer thoroughly for such clauses before voting in any ballot on the regeneration of their homes.  </w:t>
      </w:r>
    </w:p>
    <w:sectPr>
      <w:headerReference w:type="default" r:id="rId13"/>
      <w:footnotePr>
        <w:numFmt w:val="decimal"/>
      </w:footnotePr>
      <w:type w:val="nextPage"/>
      <w:pgSz w:w="11906" w:h="16838"/>
      <w:pgMar w:left="1134" w:right="1134" w:header="709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 Regular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Open Sans">
    <w:charset w:val="01"/>
    <w:family w:val="roman"/>
    <w:pitch w:val="variable"/>
  </w:font>
  <w:font w:name="Open Sans Light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>See page 9 (Home-Swap model) https://assets.publishing.service.gov.uk/government/uploads/system/uploads/attachment_data/file/575578/Estate_Regeneration_National_Strategy_-_Resident_Engagement_and_Protection.pdf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Open Sans Light" w:ascii="Open Sans Light" w:hAnsi="Open Sans Light"/>
        <w:b/>
        <w:sz w:val="20"/>
        <w:szCs w:val="20"/>
      </w:rPr>
      <w:t>ESTATE WATCH</w:t>
    </w:r>
    <w:r>
      <w:rPr>
        <w:rFonts w:cs="Open Sans Light" w:ascii="Open Sans Light" w:hAnsi="Open Sans Light"/>
        <w:sz w:val="20"/>
        <w:szCs w:val="20"/>
      </w:rPr>
      <w:t xml:space="preserve"> – </w:t>
    </w:r>
    <w:r>
      <w:rPr>
        <w:rFonts w:cs="Open Sans Light" w:ascii="Open Sans Light" w:hAnsi="Open Sans Light"/>
        <w:b/>
        <w:sz w:val="20"/>
        <w:szCs w:val="20"/>
      </w:rPr>
      <w:t>Handout 5 for leaseholders</w:t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5fad"/>
    <w:pPr>
      <w:widowControl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425fad"/>
    <w:rPr>
      <w:u w:val="single"/>
    </w:rPr>
  </w:style>
  <w:style w:type="character" w:styleId="Hyperlink0" w:customStyle="1">
    <w:name w:val="Hyperlink.0"/>
    <w:basedOn w:val="InternetLink"/>
    <w:qFormat/>
    <w:rsid w:val="00425fad"/>
    <w:rPr>
      <w:u w:val="single"/>
    </w:rPr>
  </w:style>
  <w:style w:type="character" w:styleId="None" w:customStyle="1">
    <w:name w:val="None"/>
    <w:qFormat/>
    <w:rsid w:val="00425fad"/>
    <w:rPr/>
  </w:style>
  <w:style w:type="character" w:styleId="Hyperlink1" w:customStyle="1">
    <w:name w:val="Hyperlink.1"/>
    <w:basedOn w:val="None"/>
    <w:qFormat/>
    <w:rsid w:val="00425fad"/>
    <w:rPr>
      <w:rFonts w:ascii="Open Sans Regular" w:hAnsi="Open Sans Regular" w:eastAsia="Open Sans Regular" w:cs="Open Sans Regular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b607c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b607c"/>
    <w:rPr>
      <w:sz w:val="24"/>
      <w:szCs w:val="24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607c"/>
    <w:rPr>
      <w:rFonts w:ascii="Tahoma" w:hAnsi="Tahoma" w:cs="Tahoma"/>
      <w:sz w:val="16"/>
      <w:szCs w:val="16"/>
      <w:lang w:val="en-US" w:eastAsia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66724"/>
    <w:rPr>
      <w:lang w:val="en-US" w:eastAsia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6672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66724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" w:customStyle="1">
    <w:name w:val="Body"/>
    <w:qFormat/>
    <w:rsid w:val="00425fad"/>
    <w:pPr>
      <w:widowControl/>
      <w:bidi w:val="0"/>
      <w:spacing w:before="16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US" w:eastAsia="en-GB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607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b607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607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99b"/>
    <w:pPr>
      <w:spacing w:before="0" w:after="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66724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umbered" w:customStyle="1">
    <w:name w:val="Numbered"/>
    <w:qFormat/>
    <w:rsid w:val="00425fad"/>
  </w:style>
  <w:style w:type="numbering" w:styleId="Bullet" w:customStyle="1">
    <w:name w:val="Bullet"/>
    <w:qFormat/>
    <w:rsid w:val="00425fad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ection 233(paras 5 &amp; 7) of the Town and Country Planning Act 1990" TargetMode="External"/><Relationship Id="rId3" Type="http://schemas.openxmlformats.org/officeDocument/2006/relationships/hyperlink" Target="https://assets.publishing.service.gov.uk/government/uploads/system/uploads/attachment_data/file/571453/booklet4.pdf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estatewatch.london/estates/greenwich/morriswalk/" TargetMode="External"/><Relationship Id="rId6" Type="http://schemas.openxmlformats.org/officeDocument/2006/relationships/hyperlink" Target="https://www.theguardian.com/society/2016/sep/16/government-blocks-controversial-plan-to-force-out-housing-estate-residents" TargetMode="External"/><Relationship Id="rId7" Type="http://schemas.openxmlformats.org/officeDocument/2006/relationships/hyperlink" Target="http://moderngov.southwarksites.com/documents/s74901/Report Amending the shared equity rehousing policy for qualifying homeowners affected by regenerati.pdf" TargetMode="External"/><Relationship Id="rId8" Type="http://schemas.openxmlformats.org/officeDocument/2006/relationships/hyperlink" Target="http://estatewatch.london/underthreat/merton/" TargetMode="External"/><Relationship Id="rId9" Type="http://schemas.openxmlformats.org/officeDocument/2006/relationships/hyperlink" Target="http://estatewatch.london/estates/towerhamlets/teviot/" TargetMode="External"/><Relationship Id="rId10" Type="http://schemas.openxmlformats.org/officeDocument/2006/relationships/hyperlink" Target="http://estatewatch.london/estates/camden/agargrove/" TargetMode="External"/><Relationship Id="rId11" Type="http://schemas.openxmlformats.org/officeDocument/2006/relationships/hyperlink" Target="https://assets.publishing.service.gov.uk/government/uploads/system/uploads/attachment_data/file/571453/booklet4.pdf" TargetMode="Externa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notes" Target="footnotes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E9A3-D693-49E7-993C-915A1B16A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LibreOffice/6.3.4.2.0$FreeBSD_X86_64 LibreOffice_project/30$Build-2</Application>
  <Pages>2</Pages>
  <Words>828</Words>
  <Characters>4538</Characters>
  <CharactersWithSpaces>5344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2020-06-04T13:16:00Z</dcterms:created>
  <dc:creator>LTF LTF</dc:creator>
  <dc:description/>
  <dc:language>en-US</dc:language>
  <cp:lastModifiedBy/>
  <cp:lastPrinted>2020-06-02T09:41:00Z</cp:lastPrinted>
  <dcterms:modified xsi:type="dcterms:W3CDTF">2020-06-16T14:37:40Z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