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before="0" w:after="120"/>
        <w:jc w:val="center"/>
        <w:rPr/>
      </w:pPr>
      <w:r>
        <w:rPr>
          <w:rFonts w:cs="Open Sans" w:ascii="Open Sans" w:hAnsi="Open Sans"/>
          <w:b/>
          <w:sz w:val="28"/>
          <w:szCs w:val="28"/>
          <w:u w:val="none" w:color="000000"/>
        </w:rPr>
        <w:t>Five guarantees leaseholders should seek</w:t>
      </w:r>
    </w:p>
    <w:p>
      <w:pPr>
        <w:pStyle w:val="Body"/>
        <w:spacing w:before="0" w:after="160"/>
        <w:rPr/>
      </w:pPr>
      <w:r>
        <w:rPr>
          <w:rFonts w:cs="Open Sans" w:ascii="Open Sans" w:hAnsi="Open Sans"/>
          <w:color w:val="000000"/>
          <w:sz w:val="22"/>
          <w:szCs w:val="22"/>
          <w:u w:val="none" w:color="000000"/>
          <w:lang w:val="en-US"/>
        </w:rPr>
        <w:t xml:space="preserve">Leaseholders (and freeholders) have a legal right to be rehoused on their redeveloped estate without incurring any additional financial burden. </w:t>
      </w:r>
      <w:hyperlink r:id="rId2">
        <w:r>
          <w:rPr>
            <w:rStyle w:val="InternetLink"/>
            <w:rFonts w:cs="Open Sans" w:ascii="Open Sans" w:hAnsi="Open Sans"/>
            <w:color w:val="000000"/>
            <w:sz w:val="22"/>
            <w:szCs w:val="22"/>
            <w:u w:val="none" w:color="000000"/>
            <w:lang w:val="en-US"/>
          </w:rPr>
          <w:t>Section 233(paras 5 &amp; 7) of the Town and Country Planning Act 1990</w:t>
        </w:r>
      </w:hyperlink>
      <w:r>
        <w:rPr>
          <w:rFonts w:cs="Open Sans" w:ascii="Open Sans" w:hAnsi="Open Sans"/>
          <w:color w:val="000000"/>
          <w:sz w:val="22"/>
          <w:szCs w:val="22"/>
          <w:u w:val="none" w:color="000000"/>
          <w:lang w:val="en-US"/>
        </w:rPr>
        <w:t>, says that persons compulsorily removed from their homes for planning purposes must be offered ‘</w:t>
      </w:r>
      <w:r>
        <w:rPr>
          <w:rFonts w:cs="Open Sans" w:ascii="Open Sans" w:hAnsi="Open Sans"/>
          <w:i/>
          <w:iCs/>
          <w:color w:val="000000"/>
          <w:sz w:val="22"/>
          <w:szCs w:val="22"/>
          <w:u w:val="none" w:color="000000"/>
          <w:lang w:val="en-US"/>
        </w:rPr>
        <w:t>suitable accommodation</w:t>
      </w:r>
      <w:r>
        <w:rPr>
          <w:rFonts w:cs="Open Sans" w:ascii="Open Sans" w:hAnsi="Open Sans"/>
          <w:color w:val="000000"/>
          <w:sz w:val="22"/>
          <w:szCs w:val="22"/>
          <w:u w:val="none" w:color="000000"/>
          <w:lang w:val="en-US"/>
        </w:rPr>
        <w:t>’ on the redeveloped land ‘</w:t>
      </w:r>
      <w:r>
        <w:rPr>
          <w:rFonts w:cs="Open Sans" w:ascii="Open Sans" w:hAnsi="Open Sans"/>
          <w:i/>
          <w:iCs/>
          <w:color w:val="000000"/>
          <w:sz w:val="22"/>
          <w:szCs w:val="22"/>
          <w:u w:val="none" w:color="000000"/>
          <w:lang w:val="en-US"/>
        </w:rPr>
        <w:t>on terms settled with due regard to the price at which any such land has been acquired from him</w:t>
      </w:r>
      <w:r>
        <w:rPr>
          <w:rFonts w:cs="Open Sans" w:ascii="Open Sans" w:hAnsi="Open Sans"/>
          <w:color w:val="000000"/>
          <w:sz w:val="22"/>
          <w:szCs w:val="22"/>
          <w:u w:val="none" w:color="000000"/>
          <w:lang w:val="en-US"/>
        </w:rPr>
        <w:t>’.</w:t>
      </w:r>
      <w:r>
        <w:rPr>
          <w:rFonts w:cs="Open Sans" w:ascii="Open Sans" w:hAnsi="Open Sans"/>
          <w:sz w:val="22"/>
          <w:szCs w:val="22"/>
          <w:u w:val="none" w:color="000000"/>
        </w:rPr>
        <w:t xml:space="preserve"> </w:t>
      </w:r>
    </w:p>
    <w:p>
      <w:pPr>
        <w:pStyle w:val="Body"/>
        <w:spacing w:before="0" w:after="160"/>
        <w:rPr/>
      </w:pPr>
      <w:r>
        <w:rPr>
          <w:rFonts w:cs="Open Sans" w:ascii="Open Sans" w:hAnsi="Open Sans"/>
          <w:sz w:val="22"/>
          <w:szCs w:val="22"/>
          <w:u w:val="none" w:color="000000"/>
        </w:rPr>
        <w:t xml:space="preserve">The government’s </w:t>
      </w:r>
      <w:hyperlink r:id="rId3">
        <w:r>
          <w:rPr>
            <w:rStyle w:val="InternetLink"/>
            <w:rFonts w:cs="Open Sans" w:ascii="Open Sans" w:hAnsi="Open Sans"/>
            <w:sz w:val="22"/>
            <w:szCs w:val="22"/>
            <w:u w:val="none" w:color="000000"/>
          </w:rPr>
          <w:t>Compulsory Purchase Code</w:t>
        </w:r>
      </w:hyperlink>
      <w:r>
        <w:rPr>
          <w:rFonts w:cs="Open Sans" w:ascii="Open Sans" w:hAnsi="Open Sans"/>
          <w:sz w:val="22"/>
          <w:szCs w:val="22"/>
          <w:u w:val="none" w:color="000000"/>
        </w:rPr>
        <w:t xml:space="preserve"> goes further to set out a general ‘</w:t>
      </w:r>
      <w:r>
        <w:rPr>
          <w:rFonts w:cs="Open Sans" w:ascii="Open Sans" w:hAnsi="Open Sans"/>
          <w:i/>
          <w:iCs/>
          <w:sz w:val="22"/>
          <w:szCs w:val="22"/>
          <w:u w:val="none" w:color="000000"/>
        </w:rPr>
        <w:t>principle of equivalence</w:t>
      </w:r>
      <w:r>
        <w:rPr>
          <w:rFonts w:cs="Open Sans" w:ascii="Open Sans" w:hAnsi="Open Sans"/>
          <w:sz w:val="22"/>
          <w:szCs w:val="22"/>
          <w:u w:val="none" w:color="000000"/>
        </w:rPr>
        <w:t>’:</w:t>
      </w:r>
    </w:p>
    <w:p>
      <w:pPr>
        <w:pStyle w:val="Body"/>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93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1593215"/>
                    </a:xfrm>
                    <a:prstGeom prst="rect">
                      <a:avLst/>
                    </a:prstGeom>
                  </pic:spPr>
                </pic:pic>
              </a:graphicData>
            </a:graphic>
          </wp:anchor>
        </w:drawing>
      </w:r>
      <w:r>
        <w:rPr>
          <w:rFonts w:cs="Open Sans" w:ascii="Open Sans" w:hAnsi="Open Sans"/>
          <w:sz w:val="22"/>
          <w:szCs w:val="22"/>
          <w:u w:val="none" w:color="000000"/>
        </w:rPr>
        <w:t>T</w:t>
      </w:r>
      <w:r>
        <w:rPr>
          <w:rFonts w:cs="Open Sans" w:ascii="Open Sans" w:hAnsi="Open Sans"/>
          <w:sz w:val="22"/>
          <w:szCs w:val="22"/>
          <w:u w:val="none" w:color="000000"/>
        </w:rPr>
        <w:t>his is why most estate regenerations generally offer leaseholders the right to one of the new homes being built on what is known as a ‘shared equity’ or ‘equity loan’ scheme.</w:t>
      </w:r>
    </w:p>
    <w:p>
      <w:pPr>
        <w:pStyle w:val="Body"/>
        <w:spacing w:before="0" w:after="160"/>
        <w:rPr/>
      </w:pPr>
      <w:r>
        <w:rPr>
          <w:rFonts w:cs="Open Sans" w:ascii="Open Sans" w:hAnsi="Open Sans"/>
          <w:color w:val="000000"/>
          <w:sz w:val="22"/>
          <w:szCs w:val="22"/>
          <w:u w:val="none" w:color="000000"/>
          <w:lang w:val="en-US"/>
        </w:rPr>
        <w:t xml:space="preserve">In theory, these schemes enable </w:t>
      </w:r>
      <w:r>
        <w:rPr>
          <w:rFonts w:cs="Open Sans" w:ascii="Open Sans" w:hAnsi="Open Sans"/>
          <w:sz w:val="22"/>
          <w:szCs w:val="22"/>
          <w:u w:val="none" w:color="000000"/>
        </w:rPr>
        <w:t>leaseholders to buy a share in one of the new (higher value) replacement homes, using the market value compensation for their existing (lower value) homes - without having to pay rent on the share retained by the Council or its development partner.</w:t>
      </w:r>
    </w:p>
    <w:p>
      <w:pPr>
        <w:pStyle w:val="Body"/>
        <w:spacing w:before="0" w:after="160"/>
        <w:rPr/>
      </w:pPr>
      <w:r>
        <w:rPr>
          <w:rFonts w:cs="Open Sans" w:ascii="Open Sans" w:hAnsi="Open Sans"/>
          <w:sz w:val="22"/>
          <w:szCs w:val="22"/>
          <w:u w:val="none" w:color="000000"/>
        </w:rPr>
        <w:t>In practice, Council’s and their development partners have often sought to attach small print clauses to such schemes, which result in leaseholders being financially disadvantaged or not placed in an equivalent position.</w:t>
      </w:r>
    </w:p>
    <w:p>
      <w:pPr>
        <w:pStyle w:val="Body"/>
        <w:spacing w:before="0" w:after="160"/>
        <w:rPr/>
      </w:pPr>
      <w:r>
        <w:rPr>
          <w:rFonts w:cs="Open Sans" w:ascii="Open Sans" w:hAnsi="Open Sans"/>
          <w:sz w:val="22"/>
          <w:szCs w:val="22"/>
          <w:u w:val="none" w:color="000000"/>
        </w:rPr>
        <w:t>For example, some schemes require leaseholders to sink their personal savings into the purchase of a shared equity home, or take out a mortgage (on top of any existing mortgage), or in some cases schemes require a minimum share of say 50% or 70% (which has the same effect).</w:t>
      </w:r>
    </w:p>
    <w:p>
      <w:pPr>
        <w:pStyle w:val="Body"/>
        <w:spacing w:before="0" w:after="160"/>
        <w:rPr/>
      </w:pPr>
      <w:r>
        <w:rPr>
          <w:rFonts w:cs="Open Sans" w:ascii="Open Sans" w:hAnsi="Open Sans"/>
          <w:sz w:val="22"/>
          <w:szCs w:val="22"/>
          <w:u w:val="none" w:color="000000"/>
        </w:rPr>
        <w:t>Some schemes also deny succession for their shared-equity schemes, meaning that any descendants living with leaseholders would have to sell and move out of their homes when the named leaseholder passes away.</w:t>
      </w:r>
    </w:p>
    <w:p>
      <w:pPr>
        <w:pStyle w:val="Body"/>
        <w:spacing w:before="0" w:after="160"/>
        <w:rPr/>
      </w:pPr>
      <w:r>
        <w:rPr>
          <w:rFonts w:cs="Open Sans" w:ascii="Open Sans" w:hAnsi="Open Sans"/>
          <w:sz w:val="22"/>
          <w:szCs w:val="22"/>
          <w:u w:val="none" w:color="000000"/>
        </w:rPr>
        <w:t>Some schemes require leaseholders to pay rent on the equity share they don’t own (see Greenwich).</w:t>
      </w:r>
    </w:p>
    <w:p>
      <w:pPr>
        <w:pStyle w:val="Body"/>
        <w:spacing w:before="0" w:after="160"/>
        <w:rPr/>
      </w:pPr>
      <w:r>
        <w:rPr>
          <w:rFonts w:cs="Open Sans" w:ascii="Open Sans" w:hAnsi="Open Sans"/>
          <w:sz w:val="22"/>
          <w:szCs w:val="22"/>
          <w:u w:val="none" w:color="000000"/>
        </w:rPr>
        <w:t>Some schemes are effectively ‘gatekept’ behind a financial assessment, whereby the Council assesses the leaseholders’ finances and only offers the shared equity if it deems the leaseholder able to afford shared ownership (ie. paying rent on the unowned share).</w:t>
      </w:r>
    </w:p>
    <w:p>
      <w:pPr>
        <w:pStyle w:val="Body"/>
        <w:spacing w:before="0" w:after="160"/>
        <w:rPr/>
      </w:pPr>
      <w:r>
        <w:rPr>
          <w:rFonts w:cs="Open Sans" w:ascii="Open Sans" w:hAnsi="Open Sans"/>
          <w:sz w:val="22"/>
          <w:szCs w:val="22"/>
          <w:u w:val="none" w:color="000000"/>
        </w:rPr>
        <w:t xml:space="preserve">Such small print clauses were </w:t>
      </w:r>
      <w:hyperlink r:id="rId5">
        <w:r>
          <w:rPr>
            <w:rStyle w:val="InternetLink"/>
            <w:rFonts w:cs="Open Sans" w:ascii="Open Sans" w:hAnsi="Open Sans"/>
            <w:sz w:val="22"/>
            <w:szCs w:val="22"/>
            <w:u w:val="none" w:color="000000"/>
          </w:rPr>
          <w:t>deemed unlawful</w:t>
        </w:r>
      </w:hyperlink>
      <w:r>
        <w:rPr>
          <w:rFonts w:cs="Open Sans" w:ascii="Open Sans" w:hAnsi="Open Sans"/>
          <w:sz w:val="22"/>
          <w:szCs w:val="22"/>
          <w:u w:val="none" w:color="000000"/>
        </w:rPr>
        <w:t xml:space="preserve"> at by the Secretary of State at the 2015 Aylesbury estate CPO inquiry, which required Southwark to </w:t>
      </w:r>
      <w:hyperlink r:id="rId6">
        <w:r>
          <w:rPr>
            <w:rStyle w:val="InternetLink"/>
            <w:rFonts w:cs="Open Sans" w:ascii="Open Sans" w:hAnsi="Open Sans"/>
            <w:sz w:val="22"/>
            <w:szCs w:val="22"/>
            <w:u w:val="none" w:color="000000"/>
          </w:rPr>
          <w:t>amend its shared equity policy</w:t>
        </w:r>
      </w:hyperlink>
      <w:r>
        <w:rPr>
          <w:rFonts w:cs="Open Sans" w:ascii="Open Sans" w:hAnsi="Open Sans"/>
          <w:sz w:val="22"/>
          <w:szCs w:val="22"/>
          <w:u w:val="none" w:color="000000"/>
        </w:rPr>
        <w:t>.</w:t>
      </w:r>
    </w:p>
    <w:p>
      <w:pPr>
        <w:pStyle w:val="Body"/>
        <w:spacing w:before="0" w:after="160"/>
        <w:rPr>
          <w:rFonts w:ascii="Open Sans" w:hAnsi="Open Sans" w:cs="Open Sans"/>
          <w:sz w:val="22"/>
          <w:szCs w:val="22"/>
          <w:u w:val="none" w:color="000000"/>
        </w:rPr>
      </w:pPr>
      <w:r>
        <w:rPr>
          <w:rFonts w:cs="Open Sans" w:ascii="Open Sans" w:hAnsi="Open Sans"/>
          <w:sz w:val="22"/>
          <w:szCs w:val="22"/>
          <w:u w:val="none" w:color="000000"/>
        </w:rPr>
      </w:r>
    </w:p>
    <w:p>
      <w:pPr>
        <w:pStyle w:val="Body"/>
        <w:spacing w:before="0" w:after="160"/>
        <w:rPr>
          <w:rFonts w:ascii="Open Sans" w:hAnsi="Open Sans" w:cs="Open Sans"/>
          <w:sz w:val="22"/>
          <w:szCs w:val="22"/>
          <w:u w:val="none" w:color="000000"/>
        </w:rPr>
      </w:pPr>
      <w:r>
        <w:rPr>
          <w:rFonts w:cs="Open Sans" w:ascii="Open Sans" w:hAnsi="Open Sans"/>
          <w:sz w:val="22"/>
          <w:szCs w:val="22"/>
          <w:u w:val="none" w:color="000000"/>
        </w:rPr>
      </w:r>
    </w:p>
    <w:p>
      <w:pPr>
        <w:pStyle w:val="Body"/>
        <w:spacing w:before="0" w:after="160"/>
        <w:rPr/>
      </w:pPr>
      <w:r>
        <w:rPr>
          <w:rFonts w:cs="Open Sans" w:ascii="Open Sans" w:hAnsi="Open Sans"/>
          <w:sz w:val="22"/>
          <w:szCs w:val="22"/>
          <w:u w:val="none" w:color="000000"/>
        </w:rPr>
        <w:t>The key amendments to Southwark’s policy were as follows:</w:t>
      </w:r>
    </w:p>
    <w:p>
      <w:pPr>
        <w:pStyle w:val="Body"/>
        <w:spacing w:before="0" w:after="160"/>
        <w:ind w:left="720" w:hanging="0"/>
        <w:rPr/>
      </w:pPr>
      <w:r>
        <w:rPr>
          <w:rFonts w:cs="Open Sans" w:ascii="Open Sans" w:hAnsi="Open Sans"/>
          <w:sz w:val="22"/>
          <w:szCs w:val="22"/>
          <w:u w:val="none" w:color="000000"/>
        </w:rPr>
        <w:t>1. The minimum equity share requirement was reduced from 50% to 25% - the high value of new-build replacement homes, many leaseholders were having to invest savings and take out mortgages to reach the 50% minimum requirement.</w:t>
      </w:r>
    </w:p>
    <w:p>
      <w:pPr>
        <w:pStyle w:val="Body"/>
        <w:spacing w:before="0" w:after="160"/>
        <w:ind w:left="720" w:hanging="0"/>
        <w:rPr/>
      </w:pPr>
      <w:r>
        <w:rPr>
          <w:rFonts w:cs="Open Sans" w:ascii="Open Sans" w:hAnsi="Open Sans"/>
          <w:sz w:val="22"/>
          <w:szCs w:val="22"/>
          <w:u w:val="none" w:color="000000"/>
        </w:rPr>
        <w:t>2. The inheritance clause was amended enabling a leaseholder to allow the shared equity deal to be inherited by a spouse or descendant. Previously the clause required the house to be sold upon the death of the named leaseholder.</w:t>
      </w:r>
    </w:p>
    <w:p>
      <w:pPr>
        <w:pStyle w:val="Body"/>
        <w:spacing w:before="0" w:after="160"/>
        <w:ind w:left="720" w:hanging="0"/>
        <w:rPr/>
      </w:pPr>
      <w:r>
        <w:rPr>
          <w:rFonts w:cs="Open Sans" w:ascii="Open Sans" w:hAnsi="Open Sans"/>
          <w:sz w:val="22"/>
          <w:szCs w:val="22"/>
          <w:u w:val="none" w:color="000000"/>
        </w:rPr>
        <w:t>3. Major works charges were apportioned according to the percentage of the share owned by the leaseholder.</w:t>
      </w:r>
    </w:p>
    <w:p>
      <w:pPr>
        <w:pStyle w:val="Body"/>
        <w:spacing w:before="0" w:after="160"/>
        <w:ind w:left="720" w:hanging="0"/>
        <w:rPr/>
      </w:pPr>
      <w:r>
        <w:rPr>
          <w:rFonts w:cs="Open Sans" w:ascii="Open Sans" w:hAnsi="Open Sans"/>
          <w:sz w:val="22"/>
          <w:szCs w:val="22"/>
          <w:u w:val="none" w:color="000000"/>
        </w:rPr>
        <w:t xml:space="preserve">4. If agreement can’t be reached about the value of the leaseholder’s existing home, the Council agreed to make an initial payment of 90% of the </w:t>
      </w:r>
      <w:r>
        <w:rPr>
          <w:rFonts w:cs="Open Sans" w:ascii="Open Sans" w:hAnsi="Open Sans"/>
          <w:sz w:val="22"/>
          <w:szCs w:val="22"/>
          <w:u w:val="none" w:color="000000"/>
        </w:rPr>
        <w:t>its</w:t>
      </w:r>
      <w:r>
        <w:rPr>
          <w:rFonts w:cs="Open Sans" w:ascii="Open Sans" w:hAnsi="Open Sans"/>
          <w:sz w:val="22"/>
          <w:szCs w:val="22"/>
          <w:u w:val="none" w:color="000000"/>
        </w:rPr>
        <w:t xml:space="preserve"> valuation pending referral to the Tribunal - with the balance payable following determination. Previously leaseholders were forced to forgo their right to challenge the Council’s valuation if they wanted to take up the shared equity offer.</w:t>
      </w:r>
    </w:p>
    <w:p>
      <w:pPr>
        <w:pStyle w:val="Body"/>
        <w:spacing w:before="0" w:after="160"/>
        <w:rPr/>
      </w:pPr>
      <w:r>
        <w:rPr>
          <w:rFonts w:cs="Open Sans" w:ascii="Open Sans" w:hAnsi="Open Sans"/>
          <w:sz w:val="22"/>
          <w:szCs w:val="22"/>
          <w:u w:val="none" w:color="000000"/>
        </w:rPr>
        <w:t xml:space="preserve">Some estate regenerations offer more generous deals for leaseholders like the </w:t>
      </w:r>
      <w:hyperlink r:id="rId7">
        <w:r>
          <w:rPr>
            <w:rStyle w:val="InternetLink"/>
            <w:rFonts w:cs="Open Sans" w:ascii="Open Sans" w:hAnsi="Open Sans"/>
            <w:sz w:val="22"/>
            <w:szCs w:val="22"/>
            <w:u w:val="none" w:color="000000"/>
          </w:rPr>
          <w:t>Clarion schemes in Merton</w:t>
        </w:r>
      </w:hyperlink>
      <w:r>
        <w:rPr>
          <w:rFonts w:cs="Open Sans" w:ascii="Open Sans" w:hAnsi="Open Sans"/>
          <w:sz w:val="22"/>
          <w:szCs w:val="22"/>
          <w:u w:val="none" w:color="000000"/>
        </w:rPr>
        <w:t xml:space="preserve">, or the </w:t>
      </w:r>
      <w:hyperlink r:id="rId8">
        <w:r>
          <w:rPr>
            <w:rStyle w:val="InternetLink"/>
            <w:rFonts w:cs="Open Sans" w:ascii="Open Sans" w:hAnsi="Open Sans"/>
            <w:sz w:val="22"/>
            <w:szCs w:val="22"/>
            <w:u w:val="none" w:color="000000"/>
          </w:rPr>
          <w:t>Poplar HARCA schemes in Tower Hamlets</w:t>
        </w:r>
      </w:hyperlink>
      <w:r>
        <w:rPr>
          <w:rFonts w:cs="Open Sans" w:ascii="Open Sans" w:hAnsi="Open Sans"/>
          <w:sz w:val="22"/>
          <w:szCs w:val="22"/>
          <w:u w:val="none" w:color="000000"/>
        </w:rPr>
        <w:t xml:space="preserve"> – which allow proportions of the shared equity loan to be written off after a number of years.</w:t>
      </w:r>
    </w:p>
    <w:p>
      <w:pPr>
        <w:pStyle w:val="Body"/>
        <w:spacing w:before="0" w:after="160"/>
        <w:rPr/>
      </w:pPr>
      <w:r>
        <w:rPr>
          <w:rFonts w:cs="Open Sans" w:ascii="Open Sans" w:hAnsi="Open Sans"/>
          <w:sz w:val="22"/>
          <w:szCs w:val="22"/>
          <w:u w:val="none" w:color="000000"/>
        </w:rPr>
        <w:t>These should be used as examples in leaseholders’ negotiations with Landlords in estate regenerations, as well as the government’s Estate Regeneration Guidance</w:t>
      </w:r>
      <w:r>
        <w:rPr>
          <w:rStyle w:val="FootnoteAnchor"/>
          <w:rFonts w:cs="Open Sans" w:ascii="Open Sans" w:hAnsi="Open Sans"/>
          <w:sz w:val="22"/>
          <w:szCs w:val="22"/>
          <w:u w:val="none" w:color="000000"/>
        </w:rPr>
        <w:footnoteReference w:id="2"/>
      </w:r>
      <w:r>
        <w:rPr>
          <w:rFonts w:cs="Open Sans" w:ascii="Open Sans" w:hAnsi="Open Sans"/>
          <w:sz w:val="22"/>
          <w:szCs w:val="22"/>
          <w:u w:val="none" w:color="000000"/>
        </w:rPr>
        <w:t xml:space="preserve"> which encourages such loan write-offs after 7 years.</w:t>
      </w:r>
    </w:p>
    <w:p>
      <w:pPr>
        <w:pStyle w:val="Body"/>
        <w:spacing w:before="0" w:after="160"/>
        <w:rPr/>
      </w:pPr>
      <w:r>
        <w:rPr>
          <w:rFonts w:cs="Open Sans" w:ascii="Open Sans" w:hAnsi="Open Sans"/>
          <w:sz w:val="22"/>
          <w:szCs w:val="22"/>
          <w:u w:val="none" w:color="000000"/>
        </w:rPr>
        <w:t>In the meantime, leaseholders should ensure that the shared equity scheme provides the following 7 guarantees and ensure that these are included in detail in any formal Landlord Offer before voting in favour of regeneration.</w:t>
      </w:r>
    </w:p>
    <w:p>
      <w:pPr>
        <w:pStyle w:val="Body"/>
        <w:spacing w:before="0" w:after="160"/>
        <w:ind w:left="720" w:hanging="0"/>
        <w:rPr/>
      </w:pPr>
      <w:r>
        <w:rPr>
          <w:rFonts w:cs="Open Sans" w:ascii="Open Sans" w:hAnsi="Open Sans"/>
          <w:sz w:val="22"/>
          <w:szCs w:val="22"/>
          <w:u w:val="none" w:color="000000"/>
        </w:rPr>
        <w:t>1. The required minimum equity share is not higher than 25%.</w:t>
      </w:r>
    </w:p>
    <w:p>
      <w:pPr>
        <w:pStyle w:val="Body"/>
        <w:spacing w:before="0" w:after="160"/>
        <w:ind w:left="720" w:hanging="0"/>
        <w:rPr/>
      </w:pPr>
      <w:r>
        <w:rPr>
          <w:rFonts w:cs="Open Sans" w:ascii="Open Sans" w:hAnsi="Open Sans"/>
          <w:sz w:val="22"/>
          <w:szCs w:val="22"/>
          <w:u w:val="none" w:color="000000"/>
        </w:rPr>
        <w:t>2. The equity share agreement can be inherited by a spouse or descendant.</w:t>
      </w:r>
    </w:p>
    <w:p>
      <w:pPr>
        <w:pStyle w:val="Body"/>
        <w:spacing w:before="0" w:after="160"/>
        <w:ind w:left="720" w:hanging="0"/>
        <w:rPr/>
      </w:pPr>
      <w:r>
        <w:rPr>
          <w:rFonts w:cs="Open Sans" w:ascii="Open Sans" w:hAnsi="Open Sans"/>
          <w:sz w:val="22"/>
          <w:szCs w:val="22"/>
          <w:u w:val="none" w:color="000000"/>
        </w:rPr>
        <w:t>3. Any future Major Works charges are apportioned to the percentage share owned.</w:t>
      </w:r>
    </w:p>
    <w:p>
      <w:pPr>
        <w:pStyle w:val="Body"/>
        <w:spacing w:before="0" w:after="160"/>
        <w:ind w:left="720" w:hanging="0"/>
        <w:rPr/>
      </w:pPr>
      <w:r>
        <w:rPr>
          <w:rFonts w:cs="Open Sans" w:ascii="Open Sans" w:hAnsi="Open Sans"/>
          <w:sz w:val="22"/>
          <w:szCs w:val="22"/>
          <w:u w:val="none" w:color="000000"/>
        </w:rPr>
        <w:t>4. Any disagreement about the valuations of the existing homes or the new-builds is referred to the District Valuer (at the Council/Landlord’s cost).</w:t>
      </w:r>
    </w:p>
    <w:p>
      <w:pPr>
        <w:pStyle w:val="Body"/>
        <w:spacing w:before="0" w:after="160"/>
        <w:rPr/>
      </w:pPr>
      <w:r>
        <w:rPr>
          <w:rStyle w:val="None"/>
          <w:rFonts w:cs="Open Sans" w:ascii="Open Sans" w:hAnsi="Open Sans"/>
          <w:sz w:val="22"/>
          <w:szCs w:val="22"/>
          <w:u w:val="none" w:color="000000"/>
        </w:rPr>
        <w:t>Finally, there must be a fall-back for those leaseholders in severe financial hardship who cannot afford the minimum 25% equity share.</w:t>
      </w:r>
    </w:p>
    <w:p>
      <w:pPr>
        <w:pStyle w:val="Body"/>
        <w:spacing w:before="0" w:after="160"/>
        <w:rPr/>
      </w:pPr>
      <w:r>
        <w:rPr>
          <w:rStyle w:val="None"/>
          <w:rFonts w:cs="Open Sans" w:ascii="Open Sans" w:hAnsi="Open Sans"/>
          <w:sz w:val="22"/>
          <w:szCs w:val="22"/>
          <w:u w:val="none" w:color="000000"/>
        </w:rPr>
        <w:t xml:space="preserve">This is a minimum statutory requirement – ie. that nobody is made homeless by Compulsory Purchase (see section 39 of the Land Compensation Act 1973). </w:t>
      </w:r>
    </w:p>
    <w:p>
      <w:pPr>
        <w:pStyle w:val="Body"/>
        <w:spacing w:before="0" w:after="160"/>
        <w:rPr/>
      </w:pPr>
      <w:r>
        <w:rPr>
          <w:rStyle w:val="None"/>
          <w:rFonts w:cs="Open Sans" w:ascii="Open Sans" w:hAnsi="Open Sans"/>
          <w:sz w:val="22"/>
          <w:szCs w:val="22"/>
          <w:u w:val="none" w:color="000000"/>
        </w:rPr>
        <w:t xml:space="preserve">However, several Councils seek to reduce the amount of compensation to those leaseholders rehoused. For example, the small print in Camden’s policy means </w:t>
      </w:r>
      <w:hyperlink r:id="rId9">
        <w:r>
          <w:rPr>
            <w:rStyle w:val="None"/>
            <w:rFonts w:cs="Open Sans" w:ascii="Open Sans" w:hAnsi="Open Sans"/>
            <w:sz w:val="22"/>
            <w:szCs w:val="22"/>
            <w:u w:val="none" w:color="000000"/>
          </w:rPr>
          <w:t xml:space="preserve">leaseholders </w:t>
        </w:r>
        <w:r>
          <w:rPr>
            <w:rStyle w:val="None"/>
            <w:rFonts w:cs="Open Sans" w:ascii="Open Sans" w:hAnsi="Open Sans"/>
            <w:sz w:val="22"/>
            <w:szCs w:val="22"/>
            <w:u w:val="none" w:color="000000"/>
          </w:rPr>
          <w:t>receive</w:t>
        </w:r>
        <w:r>
          <w:rPr>
            <w:rStyle w:val="None"/>
            <w:rFonts w:cs="Open Sans" w:ascii="Open Sans" w:hAnsi="Open Sans"/>
            <w:sz w:val="22"/>
            <w:szCs w:val="22"/>
            <w:u w:val="none" w:color="000000"/>
          </w:rPr>
          <w:t xml:space="preserve"> just 25%</w:t>
        </w:r>
      </w:hyperlink>
      <w:r>
        <w:rPr>
          <w:rStyle w:val="None"/>
          <w:rFonts w:cs="Open Sans" w:ascii="Open Sans" w:hAnsi="Open Sans"/>
          <w:sz w:val="22"/>
          <w:szCs w:val="22"/>
          <w:u w:val="none" w:color="000000"/>
        </w:rPr>
        <w:t xml:space="preserve"> of the market value of their homes if they seek rehousing, </w:t>
      </w:r>
      <w:r>
        <w:rPr>
          <w:rStyle w:val="None"/>
          <w:rFonts w:cs="Open Sans" w:ascii="Open Sans" w:hAnsi="Open Sans"/>
          <w:sz w:val="22"/>
          <w:szCs w:val="22"/>
          <w:u w:val="none" w:color="000000"/>
        </w:rPr>
        <w:t>which</w:t>
      </w:r>
      <w:r>
        <w:rPr>
          <w:rStyle w:val="None"/>
          <w:rFonts w:cs="Open Sans" w:ascii="Open Sans" w:hAnsi="Open Sans"/>
          <w:sz w:val="22"/>
          <w:szCs w:val="22"/>
          <w:u w:val="none" w:color="000000"/>
        </w:rPr>
        <w:t xml:space="preserve"> is a clear breach of the government’s </w:t>
      </w:r>
      <w:hyperlink r:id="rId10">
        <w:r>
          <w:rPr>
            <w:rStyle w:val="None"/>
            <w:rFonts w:cs="Open Sans" w:ascii="Open Sans" w:hAnsi="Open Sans"/>
            <w:sz w:val="22"/>
            <w:szCs w:val="22"/>
            <w:u w:val="none" w:color="000000"/>
          </w:rPr>
          <w:t>Compulsory Purchase Code</w:t>
        </w:r>
      </w:hyperlink>
      <w:r>
        <w:rPr>
          <w:rStyle w:val="None"/>
          <w:rFonts w:cs="Open Sans" w:ascii="Open Sans" w:hAnsi="Open Sans"/>
          <w:sz w:val="22"/>
          <w:szCs w:val="22"/>
          <w:u w:val="none" w:color="000000"/>
        </w:rPr>
        <w:t>:</w:t>
      </w:r>
    </w:p>
    <w:p>
      <w:pPr>
        <w:pStyle w:val="Body"/>
        <w:spacing w:before="0" w:after="160"/>
        <w:rPr>
          <w:rStyle w:val="None"/>
          <w:rFonts w:ascii="Open Sans" w:hAnsi="Open Sans" w:cs="Open Sans"/>
          <w:sz w:val="22"/>
          <w:szCs w:val="22"/>
          <w:u w:val="none" w:color="000000"/>
        </w:rPr>
      </w:pPr>
      <w:r>
        <w:rPr>
          <w:rFonts w:cs="Open Sans" w:ascii="Open Sans" w:hAnsi="Open Sans"/>
          <w:sz w:val="22"/>
          <w:szCs w:val="22"/>
          <w:u w:val="none" w:color="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12055" cy="6940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rcRect l="-201" t="-1452" r="-201" b="-1452"/>
                    <a:stretch>
                      <a:fillRect/>
                    </a:stretch>
                  </pic:blipFill>
                  <pic:spPr bwMode="auto">
                    <a:xfrm>
                      <a:off x="0" y="0"/>
                      <a:ext cx="5012055" cy="694055"/>
                    </a:xfrm>
                    <a:prstGeom prst="rect">
                      <a:avLst/>
                    </a:prstGeom>
                    <a:ln w="12700">
                      <a:solidFill>
                        <a:srgbClr val="000000"/>
                      </a:solidFill>
                    </a:ln>
                  </pic:spPr>
                </pic:pic>
              </a:graphicData>
            </a:graphic>
          </wp:anchor>
        </w:drawing>
      </w:r>
    </w:p>
    <w:p>
      <w:pPr>
        <w:pStyle w:val="Body"/>
        <w:spacing w:before="0" w:after="160"/>
        <w:rPr>
          <w:rStyle w:val="None"/>
          <w:rFonts w:ascii="Open Sans" w:hAnsi="Open Sans" w:cs="Open Sans"/>
          <w:sz w:val="22"/>
          <w:szCs w:val="22"/>
          <w:u w:val="none" w:color="000000"/>
        </w:rPr>
      </w:pPr>
      <w:r>
        <w:rPr>
          <w:rFonts w:cs="Open Sans" w:ascii="Open Sans" w:hAnsi="Open Sans"/>
          <w:sz w:val="22"/>
          <w:szCs w:val="22"/>
          <w:u w:val="none" w:color="000000"/>
        </w:rPr>
      </w:r>
    </w:p>
    <w:p>
      <w:pPr>
        <w:pStyle w:val="Body"/>
        <w:spacing w:before="0" w:after="160"/>
        <w:rPr>
          <w:rStyle w:val="None"/>
          <w:rFonts w:ascii="Open Sans" w:hAnsi="Open Sans" w:cs="Open Sans"/>
          <w:sz w:val="22"/>
          <w:szCs w:val="22"/>
          <w:u w:val="none" w:color="000000"/>
        </w:rPr>
      </w:pPr>
      <w:r>
        <w:rPr>
          <w:rFonts w:cs="Open Sans" w:ascii="Open Sans" w:hAnsi="Open Sans"/>
          <w:sz w:val="22"/>
          <w:szCs w:val="22"/>
          <w:u w:val="none" w:color="000000"/>
        </w:rPr>
      </w:r>
    </w:p>
    <w:p>
      <w:pPr>
        <w:pStyle w:val="Body"/>
        <w:spacing w:before="0" w:after="160"/>
        <w:rPr/>
      </w:pPr>
      <w:r>
        <w:rPr>
          <w:rStyle w:val="None"/>
          <w:rFonts w:cs="Open Sans" w:ascii="Open Sans" w:hAnsi="Open Sans"/>
          <w:sz w:val="22"/>
          <w:szCs w:val="22"/>
          <w:u w:val="none" w:color="000000"/>
        </w:rPr>
        <w:t xml:space="preserve">Leaseholders should scan the Council’s policy and any Landlord offer thoroughly for such clauses before voting in any ballot on the regeneration of their homes.  </w:t>
      </w:r>
    </w:p>
    <w:sectPr>
      <w:headerReference w:type="default" r:id="rId12"/>
      <w:footnotePr>
        <w:numFmt w:val="decimal"/>
      </w:footnotePr>
      <w:type w:val="nextPage"/>
      <w:pgSz w:w="11906" w:h="16838"/>
      <w:pgMar w:left="1134" w:right="1134" w:header="709"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 Sans Regular">
    <w:charset w:val="01"/>
    <w:family w:val="roman"/>
    <w:pitch w:val="variable"/>
  </w:font>
  <w:font w:name="Tahoma">
    <w:charset w:val="01"/>
    <w:family w:val="roman"/>
    <w:pitch w:val="variable"/>
  </w:font>
  <w:font w:name="Liberation Sans">
    <w:altName w:val="Arial"/>
    <w:charset w:val="01"/>
    <w:family w:val="roman"/>
    <w:pitch w:val="variable"/>
  </w:font>
  <w:font w:name="Helvetica Neue">
    <w:charset w:val="01"/>
    <w:family w:val="roman"/>
    <w:pitch w:val="variable"/>
  </w:font>
  <w:font w:name="Open Sans">
    <w:charset w:val="01"/>
    <w:family w:val="roman"/>
    <w:pitch w:val="variable"/>
  </w:font>
  <w:font w:name="Open Sans Light">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See page 9 (Home-Swap model) https://assets.publishing.service.gov.uk/government/uploads/system/uploads/attachment_data/file/575578/Estate_Regeneration_National_Strategy_-_Resident_Engagement_and_Protection.pdf</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Open Sans Light" w:ascii="Open Sans Light" w:hAnsi="Open Sans Light"/>
        <w:b/>
        <w:sz w:val="20"/>
        <w:szCs w:val="20"/>
      </w:rPr>
      <w:t>ESTATE WATCH</w:t>
    </w:r>
    <w:r>
      <w:rPr>
        <w:rFonts w:cs="Open Sans Light" w:ascii="Open Sans Light" w:hAnsi="Open Sans Light"/>
        <w:sz w:val="20"/>
        <w:szCs w:val="20"/>
      </w:rPr>
      <w:t xml:space="preserve"> – </w:t>
    </w:r>
    <w:r>
      <w:rPr>
        <w:rFonts w:cs="Open Sans Light" w:ascii="Open Sans Light" w:hAnsi="Open Sans Light"/>
        <w:b/>
        <w:sz w:val="20"/>
        <w:szCs w:val="20"/>
      </w:rPr>
      <w:t>Handout 5 for leaseholders</w:t>
    </w:r>
  </w:p>
  <w:p>
    <w:pPr>
      <w:pStyle w:val="Normal"/>
      <w:rPr/>
    </w:pPr>
    <w:r>
      <w:rPr/>
    </w:r>
  </w:p>
</w:hdr>
</file>

<file path=word/settings.xml><?xml version="1.0" encoding="utf-8"?>
<w:settings xmlns:w="http://schemas.openxmlformats.org/wordprocessingml/2006/main">
  <w:zoom w:percent="100"/>
  <w:defaultTabStop w:val="720"/>
  <w:footnotePr>
    <w:numFmt w:val="decimal"/>
    <w:footnote w:id="0"/>
    <w:footnote w:id="1"/>
  </w:footnotePr>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5fad"/>
    <w:pPr>
      <w:widowControl/>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425fad"/>
    <w:rPr>
      <w:u w:val="single"/>
    </w:rPr>
  </w:style>
  <w:style w:type="character" w:styleId="Hyperlink0" w:customStyle="1">
    <w:name w:val="Hyperlink.0"/>
    <w:basedOn w:val="InternetLink"/>
    <w:qFormat/>
    <w:rsid w:val="00425fad"/>
    <w:rPr>
      <w:u w:val="single"/>
    </w:rPr>
  </w:style>
  <w:style w:type="character" w:styleId="None" w:customStyle="1">
    <w:name w:val="None"/>
    <w:qFormat/>
    <w:rsid w:val="00425fad"/>
    <w:rPr/>
  </w:style>
  <w:style w:type="character" w:styleId="Hyperlink1" w:customStyle="1">
    <w:name w:val="Hyperlink.1"/>
    <w:basedOn w:val="None"/>
    <w:qFormat/>
    <w:rsid w:val="00425fad"/>
    <w:rPr>
      <w:rFonts w:ascii="Open Sans Regular" w:hAnsi="Open Sans Regular" w:eastAsia="Open Sans Regular" w:cs="Open Sans Regular"/>
      <w:u w:val="single"/>
    </w:rPr>
  </w:style>
  <w:style w:type="character" w:styleId="HeaderChar" w:customStyle="1">
    <w:name w:val="Header Char"/>
    <w:basedOn w:val="DefaultParagraphFont"/>
    <w:link w:val="Header"/>
    <w:uiPriority w:val="99"/>
    <w:qFormat/>
    <w:rsid w:val="009b607c"/>
    <w:rPr>
      <w:sz w:val="24"/>
      <w:szCs w:val="24"/>
      <w:lang w:val="en-US" w:eastAsia="en-US"/>
    </w:rPr>
  </w:style>
  <w:style w:type="character" w:styleId="FooterChar" w:customStyle="1">
    <w:name w:val="Footer Char"/>
    <w:basedOn w:val="DefaultParagraphFont"/>
    <w:link w:val="Footer"/>
    <w:uiPriority w:val="99"/>
    <w:qFormat/>
    <w:rsid w:val="009b607c"/>
    <w:rPr>
      <w:sz w:val="24"/>
      <w:szCs w:val="24"/>
      <w:lang w:val="en-US" w:eastAsia="en-US"/>
    </w:rPr>
  </w:style>
  <w:style w:type="character" w:styleId="BalloonTextChar" w:customStyle="1">
    <w:name w:val="Balloon Text Char"/>
    <w:basedOn w:val="DefaultParagraphFont"/>
    <w:link w:val="BalloonText"/>
    <w:uiPriority w:val="99"/>
    <w:semiHidden/>
    <w:qFormat/>
    <w:rsid w:val="009b607c"/>
    <w:rPr>
      <w:rFonts w:ascii="Tahoma" w:hAnsi="Tahoma" w:cs="Tahoma"/>
      <w:sz w:val="16"/>
      <w:szCs w:val="16"/>
      <w:lang w:val="en-US" w:eastAsia="en-US"/>
    </w:rPr>
  </w:style>
  <w:style w:type="character" w:styleId="FootnoteTextChar" w:customStyle="1">
    <w:name w:val="Footnote Text Char"/>
    <w:basedOn w:val="DefaultParagraphFont"/>
    <w:link w:val="FootnoteText"/>
    <w:uiPriority w:val="99"/>
    <w:semiHidden/>
    <w:qFormat/>
    <w:rsid w:val="00a66724"/>
    <w:rPr>
      <w:lang w:val="en-US" w:eastAsia="en-US"/>
    </w:rPr>
  </w:style>
  <w:style w:type="character" w:styleId="FootnoteCharacters">
    <w:name w:val="Footnote Characters"/>
    <w:basedOn w:val="DefaultParagraphFont"/>
    <w:uiPriority w:val="99"/>
    <w:semiHidden/>
    <w:unhideWhenUsed/>
    <w:qFormat/>
    <w:rsid w:val="00a66724"/>
    <w:rPr>
      <w:vertAlign w:val="superscript"/>
    </w:rPr>
  </w:style>
  <w:style w:type="character" w:styleId="FootnoteAnchor">
    <w:name w:val="Footnote Anchor"/>
    <w:rPr>
      <w:vertAlign w:val="superscript"/>
    </w:rPr>
  </w:style>
  <w:style w:type="character" w:styleId="UnresolvedMention" w:customStyle="1">
    <w:name w:val="Unresolved Mention"/>
    <w:basedOn w:val="DefaultParagraphFont"/>
    <w:uiPriority w:val="99"/>
    <w:semiHidden/>
    <w:unhideWhenUsed/>
    <w:qFormat/>
    <w:rsid w:val="00a66724"/>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 w:customStyle="1">
    <w:name w:val="Body"/>
    <w:qFormat/>
    <w:rsid w:val="00425fad"/>
    <w:pPr>
      <w:widowControl/>
      <w:bidi w:val="0"/>
      <w:spacing w:before="160" w:after="0"/>
      <w:jc w:val="left"/>
    </w:pPr>
    <w:rPr>
      <w:rFonts w:ascii="Helvetica Neue" w:hAnsi="Helvetica Neue" w:eastAsia="Arial Unicode MS" w:cs="Arial Unicode MS"/>
      <w:color w:val="000000"/>
      <w:kern w:val="0"/>
      <w:sz w:val="24"/>
      <w:szCs w:val="24"/>
      <w:lang w:val="en-US"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b607c"/>
    <w:pPr>
      <w:tabs>
        <w:tab w:val="clear" w:pos="720"/>
        <w:tab w:val="center" w:pos="4513" w:leader="none"/>
        <w:tab w:val="right" w:pos="9026" w:leader="none"/>
      </w:tabs>
    </w:pPr>
    <w:rPr/>
  </w:style>
  <w:style w:type="paragraph" w:styleId="Footer">
    <w:name w:val="Footer"/>
    <w:basedOn w:val="Normal"/>
    <w:link w:val="FooterChar"/>
    <w:uiPriority w:val="99"/>
    <w:unhideWhenUsed/>
    <w:rsid w:val="009b607c"/>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9b607c"/>
    <w:pPr/>
    <w:rPr>
      <w:rFonts w:ascii="Tahoma" w:hAnsi="Tahoma" w:cs="Tahoma"/>
      <w:sz w:val="16"/>
      <w:szCs w:val="16"/>
    </w:rPr>
  </w:style>
  <w:style w:type="paragraph" w:styleId="ListParagraph">
    <w:name w:val="List Paragraph"/>
    <w:basedOn w:val="Normal"/>
    <w:uiPriority w:val="34"/>
    <w:qFormat/>
    <w:rsid w:val="004d199b"/>
    <w:pPr>
      <w:spacing w:before="0" w:after="0"/>
      <w:ind w:left="720" w:hanging="0"/>
      <w:contextualSpacing/>
    </w:pPr>
    <w:rPr/>
  </w:style>
  <w:style w:type="paragraph" w:styleId="Footnote">
    <w:name w:val="Footnote Text"/>
    <w:basedOn w:val="Normal"/>
    <w:link w:val="FootnoteTextChar"/>
    <w:uiPriority w:val="99"/>
    <w:semiHidden/>
    <w:unhideWhenUsed/>
    <w:rsid w:val="00a66724"/>
    <w:pPr/>
    <w:rPr>
      <w:sz w:val="20"/>
      <w:szCs w:val="20"/>
    </w:rPr>
  </w:style>
  <w:style w:type="numbering" w:styleId="NoList" w:default="1">
    <w:name w:val="No List"/>
    <w:uiPriority w:val="99"/>
    <w:semiHidden/>
    <w:unhideWhenUsed/>
    <w:qFormat/>
  </w:style>
  <w:style w:type="numbering" w:styleId="Numbered" w:customStyle="1">
    <w:name w:val="Numbered"/>
    <w:qFormat/>
    <w:rsid w:val="00425fad"/>
  </w:style>
  <w:style w:type="numbering" w:styleId="Bullet" w:customStyle="1">
    <w:name w:val="Bullet"/>
    <w:qFormat/>
    <w:rsid w:val="00425fa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ection 233(paras 5 &amp; 7) of the Town and Country Planning Act 1990" TargetMode="External"/><Relationship Id="rId3" Type="http://schemas.openxmlformats.org/officeDocument/2006/relationships/hyperlink" Target="https://assets.publishing.service.gov.uk/government/uploads/system/uploads/attachment_data/file/571453/booklet4.pdf" TargetMode="External"/><Relationship Id="rId4" Type="http://schemas.openxmlformats.org/officeDocument/2006/relationships/image" Target="media/image1.png"/><Relationship Id="rId5" Type="http://schemas.openxmlformats.org/officeDocument/2006/relationships/hyperlink" Target="https://www.theguardian.com/society/2016/sep/16/government-blocks-controversial-plan-to-force-out-housing-estate-residents" TargetMode="External"/><Relationship Id="rId6" Type="http://schemas.openxmlformats.org/officeDocument/2006/relationships/hyperlink" Target="http://moderngov.southwarksites.com/documents/s74901/Report Amending the shared equity rehousing policy for qualifying homeowners affected by regenerati.pdf" TargetMode="External"/><Relationship Id="rId7" Type="http://schemas.openxmlformats.org/officeDocument/2006/relationships/hyperlink" Target="http://estatewatch.london/underthreat/merton/" TargetMode="External"/><Relationship Id="rId8" Type="http://schemas.openxmlformats.org/officeDocument/2006/relationships/hyperlink" Target="http://estatewatch.london/estates/towerhamlets/teviot/" TargetMode="External"/><Relationship Id="rId9" Type="http://schemas.openxmlformats.org/officeDocument/2006/relationships/hyperlink" Target="http://estatewatch.london/estates/camden/agargrove/" TargetMode="External"/><Relationship Id="rId10" Type="http://schemas.openxmlformats.org/officeDocument/2006/relationships/hyperlink" Target="https://assets.publishing.service.gov.uk/government/uploads/system/uploads/attachment_data/file/571453/booklet4.pdf" TargetMode="External"/><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notes" Target="footnote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E9A3-D693-49E7-993C-915A1B16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LibreOffice/6.3.4.2.0$FreeBSD_X86_64 LibreOffice_project/30$Build-2</Application>
  <Pages>2</Pages>
  <Words>828</Words>
  <Characters>4536</Characters>
  <CharactersWithSpaces>5342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2020-06-04T13:16:00Z</dcterms:created>
  <dc:creator>LTF LTF</dc:creator>
  <dc:description/>
  <dc:language>en-US</dc:language>
  <cp:lastModifiedBy/>
  <cp:lastPrinted>2020-06-02T09:41:00Z</cp:lastPrinted>
  <dcterms:modified xsi:type="dcterms:W3CDTF">2020-06-12T08:53:21Z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