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The charter is structured under six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2. Working together</w:t>
      </w:r>
    </w:p>
    <w:p>
      <w:pPr>
        <w:pStyle w:val="Normal"/>
        <w:rPr/>
      </w:pPr>
      <w:r>
        <w:rPr>
          <w:rFonts w:ascii="sans-serif" w:hAnsi="sans-serif"/>
          <w:sz w:val="23"/>
        </w:rPr>
        <w:t>3. Statement of the key principles</w:t>
      </w:r>
    </w:p>
    <w:p>
      <w:pPr>
        <w:pStyle w:val="Normal"/>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Estate Regeneration Guidance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rFonts w:ascii="sans-serif" w:hAnsi="sans-serif"/>
          <w:sz w:val="28"/>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ascii="sans-serif" w:hAnsi="sans-serif"/>
          <w:b/>
          <w:bCs/>
          <w:sz w:val="23"/>
          <w:u w:val="single"/>
        </w:rPr>
        <w:t>3.3</w:t>
      </w:r>
      <w:r>
        <w:rPr>
          <w:rFonts w:ascii="sans-serif" w:hAnsi="sans-serif"/>
          <w:sz w:val="23"/>
        </w:rPr>
        <w:t xml:space="preserve"> In addition, the options appraisal process will take into account the embodied carbon of the existing buildings where demolition is considered as well as the carbon emissions resulting from demolition and construction of any new buildings. It will also take into account the carbon emissions resulting from increased total energy use in the new development</w:t>
      </w:r>
      <w:r>
        <w:rPr>
          <w:rStyle w:val="FootnoteAnchor"/>
          <w:rFonts w:ascii="sans-serif" w:hAnsi="sans-serif"/>
          <w:sz w:val="23"/>
        </w:rPr>
        <w:footnoteReference w:id="2"/>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3.4</w:t>
      </w:r>
      <w:r>
        <w:rPr>
          <w:rFonts w:ascii="sans-serif" w:hAnsi="sans-serif"/>
          <w:sz w:val="23"/>
        </w:rPr>
        <w:t xml:space="preserve"> 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3.5</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
    </w:p>
    <w:p>
      <w:pPr>
        <w:pStyle w:val="Normal"/>
        <w:rPr/>
      </w:pPr>
      <w:r>
        <w:rPr>
          <w:rFonts w:ascii="sans-serif" w:hAnsi="sans-serif"/>
          <w:sz w:val="23"/>
        </w:rPr>
        <w:t xml:space="preserve">All proposals should include a forecast, taking into account the likely programme of decanting and demolition, and of the likely impact of the scheme on the forward lettings plan. </w:t>
      </w:r>
      <w:r>
        <w:rPr>
          <w:rFonts w:ascii="sans-serif" w:hAnsi="sans-serif"/>
          <w:sz w:val="23"/>
        </w:rPr>
        <w:t>This will assess the impact on the Council’s ability to meet local housing need in the short, medium and long term.</w:t>
      </w:r>
    </w:p>
    <w:p>
      <w:pPr>
        <w:pStyle w:val="Normal"/>
        <w:rPr>
          <w:rFonts w:ascii="sans-serif" w:hAnsi="sans-serif"/>
          <w:sz w:val="23"/>
        </w:rPr>
      </w:pPr>
      <w:r>
        <w:rPr>
          <w:rFonts w:ascii="sans-serif" w:hAnsi="sans-serif"/>
          <w:sz w:val="23"/>
        </w:rPr>
      </w:r>
    </w:p>
    <w:p>
      <w:pPr>
        <w:pStyle w:val="Normal"/>
        <w:rPr/>
      </w:pPr>
      <w:r>
        <w:rPr>
          <w:rFonts w:ascii="sans-serif" w:hAnsi="sans-serif"/>
          <w:sz w:val="23"/>
        </w:rPr>
        <w:t>These requirements are in line with the Mayor’s estate regeneration guidance which says that: ‘</w:t>
      </w:r>
      <w:r>
        <w:rPr>
          <w:rFonts w:ascii="sans-serif" w:hAnsi="sans-serif"/>
          <w:i/>
          <w:iCs/>
          <w:sz w:val="23"/>
        </w:rPr>
        <w:t>Residents should be closely involved in shaping the priorities for estate regeneration and options for achieving these priorities. To achieve this, options appraisals should be open and transparent. They should assess the full range of social, economic, and environmental costs and benefits of different options. ’Include technical and financial appraisals that have influenced any decisions on options. These should be available in an accessible format with non-technical summaries.’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rFonts w:ascii="sans-serif" w:hAnsi="sans-serif"/>
          <w:sz w:val="23"/>
        </w:rPr>
      </w:pPr>
      <w:r>
        <w:rPr>
          <w:rFonts w:ascii="sans-serif" w:hAnsi="sans-serif"/>
          <w:b/>
          <w:bCs/>
          <w:sz w:val="23"/>
          <w:u w:val="single"/>
        </w:rPr>
        <w:t>3.6</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t>Secure tenants</w:t>
      </w:r>
    </w:p>
    <w:p>
      <w:pPr>
        <w:pStyle w:val="Normal"/>
        <w:rPr/>
      </w:pPr>
      <w:r>
        <w:rPr>
          <w:rFonts w:ascii="sans-serif" w:hAnsi="sans-serif"/>
          <w:sz w:val="23"/>
        </w:rPr>
        <w:t>Existing council tenants should have the right to remain council tenants whether theychose to remain living on the estate or move away to alternative accommodation.</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Temporary tenants</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Private tenants</w:t>
      </w:r>
    </w:p>
    <w:p>
      <w:pPr>
        <w:pStyle w:val="Normal"/>
        <w:rPr>
          <w:rFonts w:ascii="sans-serif" w:hAnsi="sans-serif"/>
          <w:sz w:val="23"/>
        </w:rPr>
      </w:pPr>
      <w:r>
        <w:rPr>
          <w:rFonts w:ascii="sans-serif" w:hAnsi="sans-serif"/>
          <w:sz w:val="23"/>
        </w:rPr>
        <w:t>Provided that they have been registered on the Council’s waiting list for at least one year prior to the ballot, private tenants will be given priority rehousing assistance on the Council’s choice based letting system. (section 39 Land Compensation Act 1973)</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t>Ravensbury estate regeneration</w:t>
      </w:r>
      <w:r>
        <w:rPr>
          <w:rStyle w:val="FootnoteAnchor"/>
          <w:rFonts w:ascii="sans-serif" w:hAnsi="sans-serif"/>
          <w:sz w:val="23"/>
        </w:rPr>
        <w:footnoteReference w:id="3"/>
      </w:r>
      <w:r>
        <w:rPr>
          <w:rFonts w:ascii="sans-serif" w:hAnsi="sans-serif"/>
          <w:sz w:val="23"/>
        </w:rPr>
        <w:t xml:space="preserve"> offer to leaseholders is an example of this home swap in practice.</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Leaseholders should consult their Council's leaseholder policy, ensure that it complies with these requirements – if the Council’s appointed surveyor can’t agree with the leaseholders’ surveyor then the District Valuer will be appointed to provide an independent valution before the matter is referred to the Upper Tribunal (see Harrow’s </w:t>
      </w:r>
      <w:hyperlink r:id="rId2">
        <w:r>
          <w:rPr>
            <w:rStyle w:val="InternetLink"/>
            <w:rFonts w:ascii="sans-serif" w:hAnsi="sans-serif"/>
            <w:sz w:val="23"/>
          </w:rPr>
          <w:t>policy</w:t>
        </w:r>
      </w:hyperlink>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Fonts w:ascii="sans-serif" w:hAnsi="sans-serif"/>
          <w:sz w:val="23"/>
        </w:rPr>
      </w:r>
    </w:p>
    <w:p>
      <w:pPr>
        <w:pStyle w:val="Normal"/>
        <w:rPr/>
      </w:pPr>
      <w:r>
        <w:rPr>
          <w:rFonts w:ascii="sans-serif" w:hAnsi="sans-serif"/>
          <w:sz w:val="23"/>
        </w:rPr>
        <w:t>The rehousing of residents is a cost to any option involving demolition, therefore such costs 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See </w:t>
      </w:r>
      <w:hyperlink r:id="rId1">
        <w:r>
          <w:rPr>
            <w:rStyle w:val="InternetLink"/>
          </w:rPr>
          <w:t>https://www.architectsjournal.co.uk/news/why-architects-need-to-wake-up-to-the-carbon-emergency/10040407.article</w:t>
        </w:r>
      </w:hyperlink>
      <w:r>
        <w:rPr/>
        <w:t xml:space="preserve"> and </w:t>
      </w:r>
      <w:hyperlink r:id="rId2">
        <w:r>
          <w:rPr>
            <w:rStyle w:val="InternetLink"/>
          </w:rPr>
          <w:t>https://www.london.gov.uk/about-us/london-assembly/london-assembly-publications/knock-it-down-or-do-it</w:t>
        </w:r>
      </w:hyperlink>
    </w:p>
  </w:footnote>
  <w:footnote w:id="3">
    <w:p>
      <w:pPr>
        <w:pStyle w:val="Footnote"/>
        <w:rPr/>
      </w:pPr>
      <w:r>
        <w:rPr>
          <w:rStyle w:val="FootnoteCharacters"/>
        </w:rPr>
        <w:footnoteRef/>
      </w:r>
      <w:r>
        <w:rPr/>
        <w:tab/>
        <w:t>https://bit.ly/2Vx1bvm</w:t>
      </w:r>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ascii="sans-serif" w:hAnsi="sans-serif"/>
      <w:sz w:val="23"/>
    </w:rPr>
  </w:style>
  <w:style w:type="character" w:styleId="ListLabel2">
    <w:name w:val="ListLabel 2"/>
    <w:qFormat/>
    <w:rPr>
      <w:rFonts w:ascii="sans-serif" w:hAnsi="sans-serif"/>
      <w:sz w:val="23"/>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rrow.gov.uk/downloads/file/23756/grange-farm-estate-charter"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rchitectsjournal.co.uk/news/why-architects-need-to-wake-up-to-the-carbon-emergency/10040407.article" TargetMode="External"/><Relationship Id="rId2" Type="http://schemas.openxmlformats.org/officeDocument/2006/relationships/hyperlink" Target="https://www.london.gov.uk/about-us/london-assembly/london-assembly-publications/knock-it-down-or-do-it" TargetMode="External"/>
</Relationships>
</file>

<file path=docProps/app.xml><?xml version="1.0" encoding="utf-8"?>
<Properties xmlns="http://schemas.openxmlformats.org/officeDocument/2006/extended-properties" xmlns:vt="http://schemas.openxmlformats.org/officeDocument/2006/docPropsVTypes">
  <Template/>
  <TotalTime>193</TotalTime>
  <Application>LibreOffice/6.2.4.2.0$FreeBSD_X86_64 LibreOffice_project/20$Build-2</Application>
  <Pages>4</Pages>
  <Words>1131</Words>
  <Characters>6249</Characters>
  <CharactersWithSpaces>7338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2020-03-17T16:22:37Z</dcterms:modified>
  <cp:revision>9</cp:revision>
  <dc:subject/>
  <dc:title/>
</cp:coreProperties>
</file>