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w:t>
      </w:r>
      <w:r>
        <w:rPr>
          <w:rFonts w:ascii="sans-serif" w:hAnsi="sans-serif"/>
          <w:b/>
          <w:bCs/>
          <w:sz w:val="36"/>
          <w:szCs w:val="36"/>
        </w:rPr>
        <w:t>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w:t>
      </w:r>
      <w:r>
        <w:rPr>
          <w:rFonts w:ascii="sans-serif" w:hAnsi="sans-serif"/>
          <w:sz w:val="23"/>
        </w:rPr>
        <w:t xml:space="preserve">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w:t>
      </w:r>
      <w:r>
        <w:rPr>
          <w:rFonts w:ascii="sans-serif" w:hAnsi="sans-serif"/>
          <w:sz w:val="23"/>
        </w:rPr>
        <w:t>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w:t>
      </w:r>
      <w:r>
        <w:rPr>
          <w:rFonts w:ascii="sans-serif" w:hAnsi="sans-serif"/>
          <w:sz w:val="23"/>
        </w:rPr>
        <w:t>Th</w:t>
      </w:r>
      <w:r>
        <w:rPr>
          <w:rFonts w:ascii="sans-serif" w:hAnsi="sans-serif"/>
          <w:sz w:val="23"/>
        </w:rPr>
        <w:t xml:space="preserve">is </w:t>
      </w:r>
      <w:r>
        <w:rPr>
          <w:rFonts w:ascii="sans-serif" w:hAnsi="sans-serif"/>
          <w:sz w:val="23"/>
        </w:rPr>
        <w:t>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 xml:space="preserve">2. </w:t>
      </w:r>
      <w:r>
        <w:rPr>
          <w:rFonts w:ascii="sans-serif" w:hAnsi="sans-serif"/>
          <w:sz w:val="23"/>
        </w:rPr>
        <w:t>Working together</w:t>
      </w:r>
    </w:p>
    <w:p>
      <w:pPr>
        <w:pStyle w:val="Normal"/>
        <w:rPr/>
      </w:pPr>
      <w:r>
        <w:rPr>
          <w:rFonts w:ascii="sans-serif" w:hAnsi="sans-serif"/>
          <w:sz w:val="23"/>
        </w:rPr>
        <w:t>3. S</w:t>
      </w:r>
      <w:r>
        <w:rPr>
          <w:rFonts w:ascii="sans-serif" w:hAnsi="sans-serif"/>
          <w:sz w:val="23"/>
        </w:rPr>
        <w:t>tatement of the key principles</w:t>
      </w:r>
    </w:p>
    <w:p>
      <w:pPr>
        <w:pStyle w:val="Normal"/>
        <w:rPr/>
      </w:pPr>
      <w:r>
        <w:rPr>
          <w:rFonts w:ascii="sans-serif" w:hAnsi="sans-serif"/>
          <w:sz w:val="23"/>
        </w:rPr>
        <w:t xml:space="preserve">4. </w:t>
      </w:r>
      <w:r>
        <w:rPr>
          <w:rFonts w:ascii="sans-serif" w:hAnsi="sans-serif"/>
          <w:sz w:val="23"/>
        </w:rPr>
        <w:t>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 xml:space="preserve">2. </w:t>
      </w:r>
      <w:r>
        <w:rPr>
          <w:rFonts w:ascii="sans-serif" w:hAnsi="sans-serif"/>
          <w:b/>
          <w:bCs/>
          <w:sz w:val="36"/>
          <w:szCs w:val="36"/>
        </w:rPr>
        <w:t>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w:t>
      </w:r>
      <w:r>
        <w:rPr>
          <w:rFonts w:ascii="sans-serif" w:hAnsi="sans-serif"/>
          <w:sz w:val="23"/>
        </w:rPr>
        <w:t xml:space="preserve">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w:t>
      </w:r>
      <w:r>
        <w:rPr>
          <w:rFonts w:ascii="sans-serif" w:hAnsi="sans-serif"/>
          <w:b/>
          <w:bCs/>
          <w:sz w:val="23"/>
          <w:u w:val="single"/>
        </w:rPr>
        <w:t>2</w:t>
      </w:r>
      <w:r>
        <w:rPr>
          <w:rFonts w:ascii="sans-serif" w:hAnsi="sans-serif"/>
          <w:sz w:val="23"/>
        </w:rPr>
        <w:t xml:space="preserve"> </w:t>
      </w:r>
      <w:r>
        <w:rPr>
          <w:rFonts w:ascii="sans-serif" w:hAnsi="sans-serif"/>
          <w:sz w:val="23"/>
        </w:rPr>
        <w:t>The government’s Estate Regeneration Guidance says that:</w:t>
      </w:r>
    </w:p>
    <w:p>
      <w:pPr>
        <w:pStyle w:val="Normal"/>
        <w:rPr>
          <w:rFonts w:ascii="sans-serif" w:hAnsi="sans-serif"/>
          <w:sz w:val="23"/>
        </w:rPr>
      </w:pPr>
      <w:r>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w:t>
      </w:r>
      <w:r>
        <w:rPr>
          <w:rFonts w:ascii="sans-serif" w:hAnsi="sans-serif"/>
          <w:b/>
          <w:bCs/>
          <w:sz w:val="23"/>
          <w:u w:val="single"/>
        </w:rPr>
        <w:t>3</w:t>
      </w:r>
      <w:r>
        <w:rPr>
          <w:rFonts w:ascii="sans-serif" w:hAnsi="sans-serif"/>
          <w:sz w:val="23"/>
        </w:rPr>
        <w:t xml:space="preserve"> </w:t>
      </w:r>
      <w:r>
        <w:rPr>
          <w:rFonts w:ascii="sans-serif" w:hAnsi="sans-serif"/>
          <w:sz w:val="23"/>
        </w:rPr>
        <w:t xml:space="preserve">This is reiterated by the Mayor’s requirement that residents are balloted on any options involving the demolition of their homes. </w:t>
      </w:r>
      <w:r>
        <w:rPr>
          <w:rFonts w:ascii="sans-serif" w:hAnsi="sans-serif"/>
          <w:sz w:val="23"/>
        </w:rPr>
        <w:t xml:space="preserve">This Charter goes further to commit to a ballot being held </w:t>
      </w:r>
      <w:r>
        <w:rPr>
          <w:rFonts w:ascii="sans-serif" w:hAnsi="sans-serif"/>
          <w:sz w:val="23"/>
        </w:rPr>
        <w:t xml:space="preserve">before the </w:t>
      </w:r>
      <w:r>
        <w:rPr>
          <w:rFonts w:ascii="sans-serif" w:hAnsi="sans-serif"/>
          <w:sz w:val="23"/>
        </w:rPr>
        <w:t>beginning of the</w:t>
      </w:r>
      <w:r>
        <w:rPr>
          <w:rFonts w:ascii="sans-serif" w:hAnsi="sans-serif"/>
          <w:sz w:val="23"/>
        </w:rPr>
        <w:t xml:space="preserve"> decant </w:t>
      </w:r>
      <w:r>
        <w:rPr>
          <w:rFonts w:ascii="sans-serif" w:hAnsi="sans-serif"/>
          <w:sz w:val="23"/>
        </w:rPr>
        <w:t>of</w:t>
      </w:r>
      <w:r>
        <w:rPr>
          <w:rFonts w:ascii="sans-serif" w:hAnsi="sans-serif"/>
          <w:sz w:val="23"/>
        </w:rPr>
        <w:t xml:space="preserve"> the estate – </w:t>
      </w:r>
      <w:r>
        <w:rPr>
          <w:rFonts w:ascii="sans-serif" w:hAnsi="sans-serif"/>
          <w:sz w:val="23"/>
        </w:rPr>
        <w:t>i.e. before any rehousing of residents has begun</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w:t>
      </w:r>
      <w:r>
        <w:rPr>
          <w:rFonts w:ascii="sans-serif" w:hAnsi="sans-serif"/>
          <w:b/>
          <w:bCs/>
          <w:sz w:val="23"/>
          <w:u w:val="single"/>
        </w:rPr>
        <w:t>4</w:t>
      </w:r>
      <w:r>
        <w:rPr>
          <w:rFonts w:ascii="sans-serif" w:hAnsi="sans-serif"/>
          <w:sz w:val="23"/>
        </w:rPr>
        <w:t xml:space="preserve"> </w:t>
      </w:r>
      <w:r>
        <w:rPr>
          <w:rFonts w:ascii="sans-serif" w:hAnsi="sans-serif"/>
          <w:sz w:val="23"/>
        </w:rPr>
        <w:t>This Charter agrees that in order to secure the full involvement of residents on the estate, p</w:t>
      </w:r>
      <w:r>
        <w:rPr>
          <w:rFonts w:ascii="sans-serif" w:hAnsi="sans-serif"/>
          <w:sz w:val="23"/>
        </w:rPr>
        <w:t xml:space="preserve">rivate renters and temporary tenants (who have been on the Council’s waiting list for at least one year) must </w:t>
      </w:r>
      <w:r>
        <w:rPr>
          <w:rFonts w:ascii="sans-serif" w:hAnsi="sans-serif"/>
          <w:sz w:val="23"/>
        </w:rPr>
        <w:t xml:space="preserve">also </w:t>
      </w:r>
      <w:r>
        <w:rPr>
          <w:rFonts w:ascii="sans-serif" w:hAnsi="sans-serif"/>
          <w:sz w:val="23"/>
        </w:rPr>
        <w:t>be included in the ballot.</w:t>
      </w:r>
    </w:p>
    <w:p>
      <w:pPr>
        <w:pStyle w:val="Normal"/>
        <w:rPr>
          <w:rFonts w:ascii="sans-serif" w:hAnsi="sans-serif"/>
          <w:sz w:val="23"/>
        </w:rPr>
      </w:pPr>
      <w:r>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 xml:space="preserve">3. </w:t>
      </w:r>
      <w:r>
        <w:rPr>
          <w:rFonts w:ascii="sans-serif" w:hAnsi="sans-serif"/>
          <w:b/>
          <w:bCs/>
          <w:sz w:val="36"/>
          <w:szCs w:val="36"/>
        </w:rPr>
        <w:t>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w:t>
      </w:r>
      <w:r>
        <w:rPr>
          <w:rFonts w:ascii="sans-serif" w:hAnsi="sans-serif"/>
          <w:sz w:val="23"/>
        </w:rPr>
        <w:t>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w:t>
      </w:r>
      <w:r>
        <w:rPr>
          <w:rFonts w:ascii="sans-serif" w:hAnsi="sans-serif"/>
          <w:sz w:val="23"/>
        </w:rPr>
        <w:t>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
    </w:p>
    <w:p>
      <w:pPr>
        <w:pStyle w:val="Normal"/>
        <w:rPr>
          <w:rFonts w:ascii="sans-serif" w:hAnsi="sans-serif"/>
          <w:sz w:val="28"/>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ascii="sans-serif" w:hAnsi="sans-serif"/>
          <w:b/>
          <w:bCs/>
          <w:sz w:val="23"/>
          <w:u w:val="single"/>
        </w:rPr>
        <w:t>3.3</w:t>
      </w:r>
      <w:r>
        <w:rPr>
          <w:rFonts w:ascii="sans-serif" w:hAnsi="sans-serif"/>
          <w:sz w:val="23"/>
        </w:rPr>
        <w:t xml:space="preserve"> </w:t>
      </w:r>
      <w:r>
        <w:rPr>
          <w:rFonts w:ascii="sans-serif" w:hAnsi="sans-serif"/>
          <w:sz w:val="23"/>
        </w:rPr>
        <w:t xml:space="preserve">In addition, the options appraisal process will take into account the embodied carbon of the existing buildings where demolition is considered </w:t>
      </w:r>
      <w:r>
        <w:rPr>
          <w:rFonts w:ascii="sans-serif" w:hAnsi="sans-serif"/>
          <w:sz w:val="23"/>
        </w:rPr>
        <w:t>as well as the carbon emissions resulting from demolition and construction of any new buildings</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
    </w:p>
    <w:p>
      <w:pPr>
        <w:pStyle w:val="Normal"/>
        <w:rPr/>
      </w:pPr>
      <w:r>
        <w:rPr>
          <w:rFonts w:ascii="sans-serif" w:hAnsi="sans-serif"/>
          <w:b/>
          <w:bCs/>
          <w:sz w:val="23"/>
          <w:u w:val="single"/>
        </w:rPr>
        <w:t>3.4</w:t>
      </w:r>
      <w:r>
        <w:rPr>
          <w:rFonts w:ascii="sans-serif" w:hAnsi="sans-serif"/>
          <w:sz w:val="23"/>
        </w:rPr>
        <w:t xml:space="preserve"> </w:t>
      </w:r>
      <w:r>
        <w:rPr>
          <w:rFonts w:ascii="sans-serif" w:hAnsi="sans-serif"/>
          <w:sz w:val="23"/>
        </w:rPr>
        <w:t xml:space="preserve">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
    </w:p>
    <w:p>
      <w:pPr>
        <w:pStyle w:val="Normal"/>
        <w:rPr/>
      </w:pPr>
      <w:r>
        <w:rPr>
          <w:rFonts w:ascii="sans-serif" w:hAnsi="sans-serif"/>
          <w:b/>
          <w:bCs/>
          <w:sz w:val="23"/>
          <w:u w:val="single"/>
        </w:rPr>
        <w:t>3.5</w:t>
      </w:r>
      <w:r>
        <w:rPr>
          <w:rFonts w:ascii="sans-serif" w:hAnsi="sans-serif"/>
          <w:sz w:val="23"/>
        </w:rPr>
        <w:t xml:space="preserve"> </w:t>
      </w:r>
      <w:r>
        <w:rPr>
          <w:rFonts w:ascii="sans-serif" w:hAnsi="sans-serif"/>
          <w:sz w:val="23"/>
        </w:rPr>
        <w:t>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w:t>
      </w:r>
      <w:r>
        <w:rPr>
          <w:rFonts w:ascii="sans-serif" w:hAnsi="sans-serif"/>
          <w:sz w:val="23"/>
        </w:rPr>
        <w:t>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w:t>
      </w:r>
      <w:r>
        <w:rPr>
          <w:rFonts w:ascii="sans-serif" w:hAnsi="sans-serif"/>
          <w:sz w:val="23"/>
        </w:rPr>
        <w:t>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w:t>
      </w:r>
      <w:r>
        <w:rPr>
          <w:rFonts w:ascii="sans-serif" w:hAnsi="sans-serif"/>
          <w:sz w:val="23"/>
        </w:rPr>
        <w:t xml:space="preserve">This charter reiterates these policy requirements and agrees that all redevelopment options will comply them as a bare minimum </w:t>
      </w:r>
      <w:r>
        <w:rPr>
          <w:rFonts w:ascii="sans-serif" w:hAnsi="sans-serif"/>
          <w:sz w:val="23"/>
        </w:rPr>
        <w:t>and that full account of them is taken during the costings of the options appraisal process</w:t>
      </w:r>
      <w:r>
        <w:rPr>
          <w:rFonts w:ascii="sans-serif" w:hAnsi="sans-serif"/>
          <w:sz w:val="23"/>
        </w:rPr>
        <w:t>.</w:t>
      </w:r>
    </w:p>
    <w:p>
      <w:pPr>
        <w:pStyle w:val="Normal"/>
        <w:rPr>
          <w:rFonts w:ascii="sans-serif" w:hAnsi="sans-serif"/>
          <w:sz w:val="23"/>
        </w:rPr>
      </w:pPr>
      <w:r>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 xml:space="preserve">4. </w:t>
      </w:r>
      <w:r>
        <w:rPr>
          <w:rFonts w:ascii="sans-serif" w:hAnsi="sans-serif"/>
          <w:b/>
          <w:bCs/>
          <w:sz w:val="36"/>
          <w:szCs w:val="36"/>
        </w:rPr>
        <w:t>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t>Leaseholders should consult their Council's leaseholder policy, ensure that it complies with these requirements - and also for independent valuations by the District Valuer rather than a council-appointed surveyor.</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
    </w:p>
    <w:p>
      <w:pPr>
        <w:pStyle w:val="Normal"/>
        <w:rPr/>
      </w:pPr>
      <w:r>
        <w:rPr>
          <w:rFonts w:ascii="sans-serif" w:hAnsi="sans-serif"/>
          <w:sz w:val="23"/>
        </w:rPr>
        <w:t xml:space="preserve">The rehousing </w:t>
      </w:r>
      <w:r>
        <w:rPr>
          <w:rFonts w:ascii="sans-serif" w:hAnsi="sans-serif"/>
          <w:sz w:val="23"/>
        </w:rPr>
        <w:t xml:space="preserve">of </w:t>
      </w:r>
      <w:r>
        <w:rPr>
          <w:rFonts w:ascii="sans-serif" w:hAnsi="sans-serif"/>
          <w:sz w:val="23"/>
        </w:rPr>
        <w:t xml:space="preserve">residents </w:t>
      </w:r>
      <w:r>
        <w:rPr>
          <w:rFonts w:ascii="sans-serif" w:hAnsi="sans-serif"/>
          <w:sz w:val="23"/>
        </w:rPr>
        <w:t xml:space="preserve">is a cost to any option involving demolition, therefore such costs </w:t>
      </w:r>
      <w:r>
        <w:rPr>
          <w:rFonts w:ascii="sans-serif" w:hAnsi="sans-serif"/>
          <w:sz w:val="23"/>
        </w:rPr>
        <w:t>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
</Relationships>
</file>

<file path=docProps/app.xml><?xml version="1.0" encoding="utf-8"?>
<Properties xmlns="http://schemas.openxmlformats.org/officeDocument/2006/extended-properties" xmlns:vt="http://schemas.openxmlformats.org/officeDocument/2006/docPropsVTypes">
  <Template/>
  <TotalTime>183</TotalTime>
  <Application>LibreOffice/6.2.4.2.0$FreeBSD_X86_64 LibreOffice_project/20$Build-2</Application>
  <Pages>3</Pages>
  <Words>960</Words>
  <Characters>5295</Characters>
  <CharactersWithSpaces>6214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2020-03-06T20:47:09Z</dcterms:modified>
  <cp:revision>5</cp:revision>
  <dc:subject/>
  <dc:title/>
</cp:coreProperties>
</file>