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eastAsia="DejaVu Sans" w:cs="DejaVu Sans" w:ascii="sans-serif" w:hAnsi="sans-serif"/>
          <w:b w:val="false"/>
          <w:bCs w:val="false"/>
          <w:color w:val="auto"/>
          <w:kern w:val="2"/>
          <w:sz w:val="22"/>
          <w:szCs w:val="22"/>
          <w:lang w:val="en-US" w:eastAsia="zh-CN" w:bidi="hi-IN"/>
        </w:rPr>
        <w:t xml:space="preserve">The options appraisal will be carried out according to the principles set out in the government’s ‘Green Book’ on how to evaluate projects: </w:t>
      </w:r>
      <w:hyperlink r:id="rId2">
        <w:r>
          <w:rPr>
            <w:rStyle w:val="InternetLink"/>
            <w:rFonts w:eastAsia="DejaVu Sans" w:cs="DejaVu Sans" w:ascii="sans-serif" w:hAnsi="sans-serif"/>
            <w:b w:val="false"/>
            <w:bCs w:val="false"/>
            <w:color w:val="auto"/>
            <w:kern w:val="2"/>
            <w:sz w:val="22"/>
            <w:szCs w:val="22"/>
            <w:lang w:val="en-US" w:eastAsia="zh-CN" w:bidi="hi-IN"/>
          </w:rPr>
          <w:t>https://www.gov.uk/government/publications/the-green-book-appraisal-and-evaluation-in-central-governent</w:t>
        </w:r>
      </w:hyperlink>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r>
    </w:p>
    <w:p>
      <w:pPr>
        <w:pStyle w:val="Normal"/>
        <w:rPr/>
      </w:pPr>
      <w:r>
        <w:rPr>
          <w:rFonts w:ascii="sans-serif" w:hAnsi="sans-serif"/>
          <w:b/>
          <w:bCs/>
          <w:sz w:val="23"/>
          <w:u w:val="single"/>
        </w:rPr>
        <w:t>3.3</w:t>
      </w:r>
      <w:r>
        <w:rPr>
          <w:rFonts w:ascii="sans-serif" w:hAnsi="sans-serif"/>
          <w:sz w:val="23"/>
        </w:rPr>
        <w:t xml:space="preserve"> The options appraisal will take into account the embodied carbon of the existing buildings where demolition is considered as well as the carbon emissions resulting from demolition and construction of any new buildings. </w:t>
      </w:r>
      <w:r>
        <w:rPr>
          <w:rFonts w:ascii="sans-serif" w:hAnsi="sans-serif"/>
          <w:sz w:val="23"/>
        </w:rPr>
        <w:t xml:space="preserve">Each option will be accompanied by a circular economy statement drafted in accordance with the Mayor’s Circular Economy Guidance: </w:t>
      </w:r>
      <w:hyperlink r:id="rId3">
        <w:r>
          <w:rPr>
            <w:rStyle w:val="InternetLink"/>
            <w:rFonts w:eastAsia="DejaVu Sans" w:cs="DejaVu Sans" w:ascii="sans-serif" w:hAnsi="sans-serif"/>
            <w:color w:val="auto"/>
            <w:kern w:val="2"/>
            <w:sz w:val="23"/>
            <w:szCs w:val="24"/>
            <w:lang w:val="en-US" w:eastAsia="zh-CN" w:bidi="hi-IN"/>
          </w:rPr>
          <w:t>https://www.london.gov.uk/what-we-do/planning/implementing-london-plan/planning-guidance/circular-economy-statement-guidance-pre-consultation-draft</w:t>
        </w:r>
      </w:hyperlink>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pPr>
      <w:r>
        <w:rPr>
          <w:rFonts w:ascii="sans-serif" w:hAnsi="sans-serif"/>
          <w:sz w:val="23"/>
        </w:rPr>
        <w:t>All proposals should include a forecast, taking into account the likely programme of decanting and demolition, and of the likely impact of the scheme on the forward lettings plan. This will assess the impact on the Council’s ability to meet local housing need in the short, medium and long term.</w:t>
      </w:r>
    </w:p>
    <w:p>
      <w:pPr>
        <w:pStyle w:val="Normal"/>
        <w:rPr>
          <w:rFonts w:ascii="sans-serif" w:hAnsi="sans-serif"/>
          <w:sz w:val="23"/>
        </w:rPr>
      </w:pPr>
      <w:r>
        <w:rPr>
          <w:rFonts w:ascii="sans-serif" w:hAnsi="sans-serif"/>
          <w:sz w:val="23"/>
        </w:rPr>
      </w:r>
    </w:p>
    <w:p>
      <w:pPr>
        <w:pStyle w:val="Normal"/>
        <w:rPr/>
      </w:pP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Ravensbury estate regeneration</w:t>
      </w:r>
      <w:r>
        <w:rPr>
          <w:rStyle w:val="FootnoteAnchor"/>
          <w:rFonts w:ascii="sans-serif" w:hAnsi="sans-serif"/>
          <w:sz w:val="23"/>
        </w:rPr>
        <w:footnoteReference w:id="2"/>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pPr>
      <w:r>
        <w:rPr>
          <w:rFonts w:ascii="sans-serif" w:hAnsi="sans-serif"/>
          <w:sz w:val="23"/>
        </w:rPr>
        <w:t>The home swap offer is also a statutory requirement where it is intended that a regenerated estate will no longer remain in council ownership</w:t>
      </w:r>
      <w:r>
        <w:rPr>
          <w:rStyle w:val="FootnoteAnchor"/>
          <w:rFonts w:ascii="sans-serif" w:hAnsi="sans-serif"/>
          <w:sz w:val="23"/>
        </w:rPr>
        <w:footnoteReference w:id="3"/>
      </w:r>
      <w:r>
        <w:rPr>
          <w:rFonts w:ascii="sans-serif" w:hAnsi="sans-serif"/>
          <w:sz w:val="23"/>
        </w:rPr>
        <w: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if the Council’s appointed surveyor can’t agree with the leaseholders’ surveyor then the District Valuer will be appointed to provide an independent valution before the matter is referred to the Upper Tribunal (see Harrow’s </w:t>
      </w:r>
      <w:hyperlink r:id="rId4">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https://bit.ly/2Vx1bvm</w:t>
      </w:r>
    </w:p>
  </w:footnote>
  <w:footnote w:id="3">
    <w:p>
      <w:pPr>
        <w:pStyle w:val="Footnote"/>
        <w:rPr/>
      </w:pPr>
      <w:r>
        <w:rPr>
          <w:rStyle w:val="FootnoteCharacters"/>
        </w:rPr>
        <w:footnoteRef/>
      </w:r>
      <w:r>
        <w:rPr/>
        <w:tab/>
        <w:t xml:space="preserve">See section 233(5&amp;7) of the </w:t>
      </w:r>
      <w:hyperlink r:id="rId1">
        <w:r>
          <w:rPr>
            <w:rStyle w:val="InternetLink"/>
          </w:rPr>
          <w:t>Town and Country Planning Act 1990</w:t>
        </w:r>
      </w:hyperlink>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uk/government/publications/the-green-book-appraisal-and-evaluation-in-central-governent" TargetMode="External"/><Relationship Id="rId3" Type="http://schemas.openxmlformats.org/officeDocument/2006/relationships/hyperlink" Target="https://www.london.gov.uk/what-we-do/planning/implementing-london-plan/planning-guidance/circular-economy-statement-guidance-pre-consultation-draft" TargetMode="External"/><Relationship Id="rId4" Type="http://schemas.openxmlformats.org/officeDocument/2006/relationships/hyperlink" Target="https://www.harrow.gov.uk/downloads/file/23756/grange-farm-estate-charter"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legislation.gov.uk/ukpga/1990/8/section/233/2013-06-25" TargetMode="External"/>
</Relationships>
</file>

<file path=docProps/app.xml><?xml version="1.0" encoding="utf-8"?>
<Properties xmlns="http://schemas.openxmlformats.org/officeDocument/2006/extended-properties" xmlns:vt="http://schemas.openxmlformats.org/officeDocument/2006/docPropsVTypes">
  <Template/>
  <TotalTime>211</TotalTime>
  <Application>LibreOffice/6.3.4.2.0$FreeBSD_X86_64 LibreOffice_project/30$Build-2</Application>
  <Pages>4</Pages>
  <Words>1184</Words>
  <Characters>6561</Characters>
  <CharactersWithSpaces>7701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2020-05-08T16:37:04Z</dcterms:modified>
  <cp:revision>12</cp:revision>
  <dc:subject/>
  <dc:title/>
</cp:coreProperties>
</file>