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2.  </w:t>
      </w:r>
      <w:r w:rsidDel="00000000" w:rsidR="00000000" w:rsidRPr="00000000">
        <w:rPr>
          <w:rtl w:val="0"/>
        </w:rPr>
        <w:t xml:space="preserve">gcc main.c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run(test example): </w:t>
      </w:r>
      <w:r w:rsidDel="00000000" w:rsidR="00000000" w:rsidRPr="00000000">
        <w:rPr>
          <w:rtl w:val="0"/>
        </w:rPr>
        <w:t xml:space="preserve">./a.out utcnist.colorado.edu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result:</w:t>
      </w:r>
      <w:r w:rsidDel="00000000" w:rsidR="00000000" w:rsidRPr="00000000">
        <w:drawing>
          <wp:inline distB="114300" distT="114300" distL="114300" distR="11430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rm -f a.out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