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40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Designed the tests for each data structure accordingly to its specific features. </w:t>
        <w:tab/>
        <w:t xml:space="preserve">This also lead to writing several private function abstractions to reduce </w:t>
        <w:tab/>
        <w:t xml:space="preserve">duplicated code.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TestHashTable-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 xml:space="preserve">same to the same hash.</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 Empty table, right before rehashing the table and right after rehashing </w:t>
        <w:tab/>
        <w:tab/>
        <w:t xml:space="preserve">       the table.</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type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-the-new-atlantis ~17k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-hamlet ~34k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~34k total words (all the same word 'the')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-quest ~68K total words (collection of stories)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quest file is a file I created by combining several stories to get an approximate word count that was double hamlet.txt.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Naively I expected the longer text files to having a larger runtime. I thought this because I was considering the time of adding a new element to the data structure vs incrementing the count of an already existing element to be approximately similar.</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Not necessarily. It ended up that diversity of words (ie number of unique) words had a much more significant impact on on the runtime that the total number of words. The runtime was essentially determined by the number of unique words rather than total number of words.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ab/>
        <w:t xml:space="preserve">Yes,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  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