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EXPLAINABLE AND SAFE MEDICAL SUPPORT CHATBOT</w:t>
        <w:br/>
        <w:t>USING GENERATIVE AI</w:t>
      </w:r>
    </w:p>
    <w:p/>
    <w:p>
      <w:pPr>
        <w:jc w:val="center"/>
      </w:pPr>
      <w:r>
        <w:rPr>
          <w:rFonts w:ascii="Times New Roman" w:hAnsi="Times New Roman"/>
          <w:i/>
          <w:sz w:val="32"/>
        </w:rPr>
        <w:t>Research Proposal</w:t>
      </w:r>
    </w:p>
    <w:p/>
    <w:p/>
    <w:p>
      <w:pPr>
        <w:jc w:val="center"/>
      </w:pPr>
      <w:r>
        <w:rPr>
          <w:rFonts w:ascii="Times New Roman" w:hAnsi="Times New Roman"/>
          <w:sz w:val="28"/>
        </w:rPr>
        <w:t>Regina Aboobacker</w:t>
      </w:r>
    </w:p>
    <w:p/>
    <w:p>
      <w:pPr>
        <w:jc w:val="center"/>
      </w:pPr>
      <w:r>
        <w:rPr>
          <w:rFonts w:ascii="Times New Roman" w:hAnsi="Times New Roman"/>
          <w:sz w:val="24"/>
        </w:rPr>
        <w:t>MSc Artificial Intelligence</w:t>
        <w:br/>
        <w:t>UpGrad – March 2026</w:t>
      </w:r>
    </w:p>
    <w:p>
      <w:r>
        <w:br w:type="page"/>
      </w:r>
    </w:p>
    <w:p>
      <w:pPr>
        <w:pStyle w:val="Heading1"/>
        <w:jc w:val="left"/>
      </w:pPr>
      <w:r>
        <w:rPr>
          <w:rFonts w:ascii="Times New Roman" w:hAnsi="Times New Roman"/>
          <w:b/>
          <w:color w:val="000000"/>
          <w:sz w:val="32"/>
        </w:rPr>
        <w:t>Abstract</w:t>
      </w:r>
    </w:p>
    <w:p>
      <w:pPr>
        <w:spacing w:after="120" w:before="0"/>
        <w:jc w:val="both"/>
      </w:pPr>
      <w:r>
        <w:rPr>
          <w:rFonts w:ascii="Times New Roman" w:hAnsi="Times New Roman"/>
          <w:b w:val="0"/>
          <w:i w:val="0"/>
          <w:sz w:val="24"/>
        </w:rPr>
        <w:t>Patients and the general public increasingly rely on conversational AI agents for medical information; however, the majority of current tools are inaccurate, lack source attribution, and fail to escalate safety-critical situations. Large Language Models (LLMs) offer fluent, accessible answers but are prone to hallucination, unsafe recommendations, and opaque reasoning — even when combined with standard retrieval-augmented generation (RAG).</w:t>
      </w:r>
    </w:p>
    <w:p>
      <w:pPr>
        <w:spacing w:after="120" w:before="0"/>
        <w:jc w:val="both"/>
      </w:pPr>
      <w:r>
        <w:rPr>
          <w:rFonts w:ascii="Times New Roman" w:hAnsi="Times New Roman"/>
          <w:b w:val="0"/>
          <w:i w:val="0"/>
          <w:sz w:val="24"/>
        </w:rPr>
        <w:t>This proposal designs ArogyaSaathi, an explainable, self-correcting medical chatbot grounded in three validated biomedical and clinical datasets: PubMedQA (211k biomedical QA pairs), MedQuAD (47.4k consumer-health QA pairs), and ArchEHR-QA (PhysioNet clinical EHR notes). The system integrates (1) grounding every response in validated biomedical sources, and (2) self-monitoring its outputs for factual correctness, ethical compliance, and user-appropriate communication. A synchronous atomic fact-verification layer blocks answer display until claims are verified; a self-correction loop regenerates answers when factuality falls below threshold; asynchronous RAGAS scoring provides live quality metrics; and a federated retrieval layer simultaneously queries all three indexes with Reciprocal Rank Fusion, normalising scores to [0,1] and surfacing the top 5 most relevant results regardless of which knowledge base they originate from.</w:t>
      </w:r>
    </w:p>
    <w:p>
      <w:pPr>
        <w:spacing w:after="120" w:before="0"/>
        <w:jc w:val="both"/>
      </w:pPr>
      <w:r>
        <w:rPr>
          <w:rFonts w:ascii="Times New Roman" w:hAnsi="Times New Roman"/>
          <w:b w:val="0"/>
          <w:i w:val="0"/>
          <w:sz w:val="24"/>
        </w:rPr>
        <w:t>The expected impact includes safer consumer-facing medical Q&amp;A, improved medical literacy, trustworthy model outputs grounded in evidence, and a reusable verification-first RAG framework applicable to other biomedical domains. All data privacy engineering conforms to HIPAA Safe Harbour de-identification and GDPR pseudonymisation requirements.</w:t>
      </w:r>
    </w:p>
    <w:p>
      <w:r>
        <w:br w:type="page"/>
      </w:r>
    </w:p>
    <w:p>
      <w:pPr>
        <w:pStyle w:val="Heading1"/>
        <w:jc w:val="left"/>
      </w:pPr>
      <w:r>
        <w:rPr>
          <w:rFonts w:ascii="Times New Roman" w:hAnsi="Times New Roman"/>
          <w:b/>
          <w:color w:val="000000"/>
          <w:sz w:val="32"/>
        </w:rPr>
        <w:t>Table of Contents</w:t>
      </w:r>
    </w:p>
    <w:p>
      <w:pPr>
        <w:spacing w:after="40"/>
      </w:pPr>
      <w:r>
        <w:rPr>
          <w:rFonts w:ascii="Times New Roman" w:hAnsi="Times New Roman"/>
          <w:sz w:val="22"/>
        </w:rPr>
        <w:t>Abstract ................................................ i</w:t>
      </w:r>
    </w:p>
    <w:p>
      <w:pPr>
        <w:spacing w:after="40"/>
      </w:pPr>
      <w:r>
        <w:rPr>
          <w:rFonts w:ascii="Times New Roman" w:hAnsi="Times New Roman"/>
          <w:sz w:val="22"/>
        </w:rPr>
        <w:t>Table of Contents ....................................... ii</w:t>
      </w:r>
    </w:p>
    <w:p>
      <w:pPr>
        <w:spacing w:after="40"/>
      </w:pPr>
      <w:r>
        <w:rPr>
          <w:rFonts w:ascii="Times New Roman" w:hAnsi="Times New Roman"/>
          <w:sz w:val="22"/>
        </w:rPr>
        <w:t>List of Figures ......................................... iii</w:t>
      </w:r>
    </w:p>
    <w:p>
      <w:pPr>
        <w:spacing w:after="40"/>
      </w:pPr>
      <w:r>
        <w:rPr>
          <w:rFonts w:ascii="Times New Roman" w:hAnsi="Times New Roman"/>
          <w:sz w:val="22"/>
        </w:rPr>
        <w:t>List of Tables .......................................... iv</w:t>
      </w:r>
    </w:p>
    <w:p>
      <w:pPr>
        <w:spacing w:after="40"/>
      </w:pPr>
      <w:r>
        <w:rPr>
          <w:rFonts w:ascii="Times New Roman" w:hAnsi="Times New Roman"/>
          <w:sz w:val="22"/>
        </w:rPr>
        <w:t>List of Acronyms ........................................ v</w:t>
      </w:r>
    </w:p>
    <w:p>
      <w:pPr>
        <w:spacing w:after="40"/>
      </w:pPr>
      <w:r>
        <w:rPr>
          <w:rFonts w:ascii="Times New Roman" w:hAnsi="Times New Roman"/>
          <w:sz w:val="22"/>
        </w:rPr>
        <w:t>1.  Background</w:t>
      </w:r>
    </w:p>
    <w:p>
      <w:pPr>
        <w:spacing w:after="40"/>
      </w:pPr>
      <w:r>
        <w:rPr>
          <w:rFonts w:ascii="Times New Roman" w:hAnsi="Times New Roman"/>
          <w:sz w:val="22"/>
        </w:rPr>
        <w:t xml:space="preserve">    1.1  Evolution of Medical Information Systems</w:t>
      </w:r>
    </w:p>
    <w:p>
      <w:pPr>
        <w:spacing w:after="40"/>
      </w:pPr>
      <w:r>
        <w:rPr>
          <w:rFonts w:ascii="Times New Roman" w:hAnsi="Times New Roman"/>
          <w:sz w:val="22"/>
        </w:rPr>
        <w:t xml:space="preserve">    1.2  Problem Statement</w:t>
      </w:r>
    </w:p>
    <w:p>
      <w:pPr>
        <w:spacing w:after="40"/>
      </w:pPr>
      <w:r>
        <w:rPr>
          <w:rFonts w:ascii="Times New Roman" w:hAnsi="Times New Roman"/>
          <w:sz w:val="22"/>
        </w:rPr>
        <w:t xml:space="preserve">    1.3  Research Gap and Automation Necessity</w:t>
      </w:r>
    </w:p>
    <w:p>
      <w:pPr>
        <w:spacing w:after="40"/>
      </w:pPr>
      <w:r>
        <w:rPr>
          <w:rFonts w:ascii="Times New Roman" w:hAnsi="Times New Roman"/>
          <w:sz w:val="22"/>
        </w:rPr>
        <w:t>2.  Literature Review</w:t>
      </w:r>
    </w:p>
    <w:p>
      <w:pPr>
        <w:spacing w:after="40"/>
      </w:pPr>
      <w:r>
        <w:rPr>
          <w:rFonts w:ascii="Times New Roman" w:hAnsi="Times New Roman"/>
          <w:sz w:val="22"/>
        </w:rPr>
        <w:t xml:space="preserve">    2.1  Hybrid Retrieval and Source Planning</w:t>
      </w:r>
    </w:p>
    <w:p>
      <w:pPr>
        <w:spacing w:after="40"/>
      </w:pPr>
      <w:r>
        <w:rPr>
          <w:rFonts w:ascii="Times New Roman" w:hAnsi="Times New Roman"/>
          <w:sz w:val="22"/>
        </w:rPr>
        <w:t xml:space="preserve">    2.2  Knowledge Graph Grounding (KG-RAG)</w:t>
      </w:r>
    </w:p>
    <w:p>
      <w:pPr>
        <w:spacing w:after="40"/>
      </w:pPr>
      <w:r>
        <w:rPr>
          <w:rFonts w:ascii="Times New Roman" w:hAnsi="Times New Roman"/>
          <w:sz w:val="22"/>
        </w:rPr>
        <w:t xml:space="preserve">    2.3  Reliability and Hallucination Mitigation</w:t>
      </w:r>
    </w:p>
    <w:p>
      <w:pPr>
        <w:spacing w:after="40"/>
      </w:pPr>
      <w:r>
        <w:rPr>
          <w:rFonts w:ascii="Times New Roman" w:hAnsi="Times New Roman"/>
          <w:sz w:val="22"/>
        </w:rPr>
        <w:t xml:space="preserve">    2.4  Medical Explanation Quality</w:t>
      </w:r>
    </w:p>
    <w:p>
      <w:pPr>
        <w:spacing w:after="40"/>
      </w:pPr>
      <w:r>
        <w:rPr>
          <w:rFonts w:ascii="Times New Roman" w:hAnsi="Times New Roman"/>
          <w:sz w:val="22"/>
        </w:rPr>
        <w:t xml:space="preserve">    2.5  Evidence-based Medical RAG</w:t>
      </w:r>
    </w:p>
    <w:p>
      <w:pPr>
        <w:spacing w:after="40"/>
      </w:pPr>
      <w:r>
        <w:rPr>
          <w:rFonts w:ascii="Times New Roman" w:hAnsi="Times New Roman"/>
          <w:sz w:val="22"/>
        </w:rPr>
        <w:t xml:space="preserve">    2.6  Graph-based and Multi-hop Reasoning</w:t>
      </w:r>
    </w:p>
    <w:p>
      <w:pPr>
        <w:spacing w:after="40"/>
      </w:pPr>
      <w:r>
        <w:rPr>
          <w:rFonts w:ascii="Times New Roman" w:hAnsi="Times New Roman"/>
          <w:sz w:val="22"/>
        </w:rPr>
        <w:t xml:space="preserve">    2.7  EHR-based Medical QA (ArchEHR-QA)</w:t>
      </w:r>
    </w:p>
    <w:p>
      <w:pPr>
        <w:spacing w:after="40"/>
      </w:pPr>
      <w:r>
        <w:rPr>
          <w:rFonts w:ascii="Times New Roman" w:hAnsi="Times New Roman"/>
          <w:sz w:val="22"/>
        </w:rPr>
        <w:t xml:space="preserve">    2.8  Critical Synthesis and Identified Gaps</w:t>
      </w:r>
    </w:p>
    <w:p>
      <w:pPr>
        <w:spacing w:after="40"/>
      </w:pPr>
      <w:r>
        <w:rPr>
          <w:rFonts w:ascii="Times New Roman" w:hAnsi="Times New Roman"/>
          <w:sz w:val="22"/>
        </w:rPr>
        <w:t xml:space="preserve">    2.9  Comparative Analysis: Commercial vs. Academic Systems</w:t>
      </w:r>
    </w:p>
    <w:p>
      <w:pPr>
        <w:spacing w:after="40"/>
      </w:pPr>
      <w:r>
        <w:rPr>
          <w:rFonts w:ascii="Times New Roman" w:hAnsi="Times New Roman"/>
          <w:sz w:val="22"/>
        </w:rPr>
        <w:t>3.  Research Questions</w:t>
      </w:r>
    </w:p>
    <w:p>
      <w:pPr>
        <w:spacing w:after="40"/>
      </w:pPr>
      <w:r>
        <w:rPr>
          <w:rFonts w:ascii="Times New Roman" w:hAnsi="Times New Roman"/>
          <w:sz w:val="22"/>
        </w:rPr>
        <w:t>4.  Aims and Objectives</w:t>
      </w:r>
    </w:p>
    <w:p>
      <w:pPr>
        <w:spacing w:after="40"/>
      </w:pPr>
      <w:r>
        <w:rPr>
          <w:rFonts w:ascii="Times New Roman" w:hAnsi="Times New Roman"/>
          <w:sz w:val="22"/>
        </w:rPr>
        <w:t>5.  Significance of the Study</w:t>
      </w:r>
    </w:p>
    <w:p>
      <w:pPr>
        <w:spacing w:after="40"/>
      </w:pPr>
      <w:r>
        <w:rPr>
          <w:rFonts w:ascii="Times New Roman" w:hAnsi="Times New Roman"/>
          <w:sz w:val="22"/>
        </w:rPr>
        <w:t>6.  Scope of the Study</w:t>
      </w:r>
    </w:p>
    <w:p>
      <w:pPr>
        <w:spacing w:after="40"/>
      </w:pPr>
      <w:r>
        <w:rPr>
          <w:rFonts w:ascii="Times New Roman" w:hAnsi="Times New Roman"/>
          <w:sz w:val="22"/>
        </w:rPr>
        <w:t>7.  Research Methodology</w:t>
      </w:r>
    </w:p>
    <w:p>
      <w:pPr>
        <w:spacing w:after="40"/>
      </w:pPr>
      <w:r>
        <w:rPr>
          <w:rFonts w:ascii="Times New Roman" w:hAnsi="Times New Roman"/>
          <w:sz w:val="22"/>
        </w:rPr>
        <w:t xml:space="preserve">    7.1  Phase 1: Knowledge Ingestion and Hybrid Retrieval</w:t>
      </w:r>
    </w:p>
    <w:p>
      <w:pPr>
        <w:spacing w:after="40"/>
      </w:pPr>
      <w:r>
        <w:rPr>
          <w:rFonts w:ascii="Times New Roman" w:hAnsi="Times New Roman"/>
          <w:sz w:val="22"/>
        </w:rPr>
        <w:t xml:space="preserve">    7.2  Phase 2: Two-Layer Generative Core (Safety and Correction)</w:t>
      </w:r>
    </w:p>
    <w:p>
      <w:pPr>
        <w:spacing w:after="40"/>
      </w:pPr>
      <w:r>
        <w:rPr>
          <w:rFonts w:ascii="Times New Roman" w:hAnsi="Times New Roman"/>
          <w:sz w:val="22"/>
        </w:rPr>
        <w:t xml:space="preserve">    7.3  Phase 3: Explainability Module</w:t>
      </w:r>
    </w:p>
    <w:p>
      <w:pPr>
        <w:spacing w:after="40"/>
      </w:pPr>
      <w:r>
        <w:rPr>
          <w:rFonts w:ascii="Times New Roman" w:hAnsi="Times New Roman"/>
          <w:sz w:val="22"/>
        </w:rPr>
        <w:t xml:space="preserve">    7.4  Phase 4: Comprehensive Validation and Benchmarking</w:t>
      </w:r>
    </w:p>
    <w:p>
      <w:pPr>
        <w:spacing w:after="40"/>
      </w:pPr>
      <w:r>
        <w:rPr>
          <w:rFonts w:ascii="Times New Roman" w:hAnsi="Times New Roman"/>
          <w:sz w:val="22"/>
        </w:rPr>
        <w:t>8.  Requirements and Resources</w:t>
      </w:r>
    </w:p>
    <w:p>
      <w:pPr>
        <w:spacing w:after="40"/>
      </w:pPr>
      <w:r>
        <w:rPr>
          <w:rFonts w:ascii="Times New Roman" w:hAnsi="Times New Roman"/>
          <w:sz w:val="22"/>
        </w:rPr>
        <w:t>9.  Research Plan</w:t>
      </w:r>
    </w:p>
    <w:p>
      <w:pPr>
        <w:spacing w:after="40"/>
      </w:pPr>
      <w:r>
        <w:rPr>
          <w:rFonts w:ascii="Times New Roman" w:hAnsi="Times New Roman"/>
          <w:sz w:val="22"/>
        </w:rPr>
        <w:t>References</w:t>
      </w:r>
    </w:p>
    <w:p>
      <w:r>
        <w:br w:type="page"/>
      </w:r>
    </w:p>
    <w:p>
      <w:pPr>
        <w:pStyle w:val="Heading1"/>
        <w:jc w:val="left"/>
      </w:pPr>
      <w:r>
        <w:rPr>
          <w:rFonts w:ascii="Times New Roman" w:hAnsi="Times New Roman"/>
          <w:b/>
          <w:color w:val="000000"/>
          <w:sz w:val="32"/>
        </w:rPr>
        <w:t>List of Figures</w:t>
      </w:r>
    </w:p>
    <w:p>
      <w:pPr>
        <w:spacing w:after="60"/>
      </w:pPr>
      <w:r>
        <w:rPr>
          <w:rFonts w:ascii="Times New Roman" w:hAnsi="Times New Roman"/>
          <w:sz w:val="22"/>
        </w:rPr>
        <w:t>Figure 1:  Proposed Two-Layer System Architecture</w:t>
      </w:r>
    </w:p>
    <w:p>
      <w:pPr>
        <w:spacing w:after="60"/>
      </w:pPr>
      <w:r>
        <w:rPr>
          <w:rFonts w:ascii="Times New Roman" w:hAnsi="Times New Roman"/>
          <w:sz w:val="22"/>
        </w:rPr>
        <w:t>Figure 2:  Knowledge Ingestion and Hybrid Retrieval Pipeline</w:t>
      </w:r>
    </w:p>
    <w:p>
      <w:pPr>
        <w:spacing w:after="60"/>
      </w:pPr>
      <w:r>
        <w:rPr>
          <w:rFonts w:ascii="Times New Roman" w:hAnsi="Times New Roman"/>
          <w:sz w:val="22"/>
        </w:rPr>
        <w:t>Figure 3:  Self-Evaluation and Fact-Checking Flow</w:t>
      </w:r>
    </w:p>
    <w:p>
      <w:pPr>
        <w:spacing w:after="60"/>
      </w:pPr>
      <w:r>
        <w:rPr>
          <w:rFonts w:ascii="Times New Roman" w:hAnsi="Times New Roman"/>
          <w:sz w:val="22"/>
        </w:rPr>
        <w:t>Figure 4:  Counterfactual and Contrastive Explanation Module</w:t>
      </w:r>
    </w:p>
    <w:p>
      <w:pPr>
        <w:spacing w:after="60"/>
      </w:pPr>
      <w:r>
        <w:rPr>
          <w:rFonts w:ascii="Times New Roman" w:hAnsi="Times New Roman"/>
          <w:sz w:val="22"/>
        </w:rPr>
        <w:t>Figure 5:  Research Plan Gantt Chart (20-week timeline)</w:t>
      </w:r>
    </w:p>
    <w:p>
      <w:r>
        <w:br w:type="page"/>
      </w:r>
    </w:p>
    <w:p>
      <w:pPr>
        <w:pStyle w:val="Heading1"/>
        <w:jc w:val="left"/>
      </w:pPr>
      <w:r>
        <w:rPr>
          <w:rFonts w:ascii="Times New Roman" w:hAnsi="Times New Roman"/>
          <w:b/>
          <w:color w:val="000000"/>
          <w:sz w:val="32"/>
        </w:rPr>
        <w:t>List of Tables</w:t>
      </w:r>
    </w:p>
    <w:p>
      <w:pPr>
        <w:spacing w:after="60"/>
      </w:pPr>
      <w:r>
        <w:rPr>
          <w:rFonts w:ascii="Times New Roman" w:hAnsi="Times New Roman"/>
          <w:sz w:val="22"/>
        </w:rPr>
        <w:t>Table 1:  Proposed RAG Novelty vs. State-of-the-Art</w:t>
      </w:r>
    </w:p>
    <w:p>
      <w:pPr>
        <w:spacing w:after="60"/>
      </w:pPr>
      <w:r>
        <w:rPr>
          <w:rFonts w:ascii="Times New Roman" w:hAnsi="Times New Roman"/>
          <w:sz w:val="22"/>
        </w:rPr>
        <w:t>Table 2:  Multi-Dimensional Evaluation Framework</w:t>
      </w:r>
    </w:p>
    <w:p>
      <w:pPr>
        <w:spacing w:after="60"/>
      </w:pPr>
      <w:r>
        <w:rPr>
          <w:rFonts w:ascii="Times New Roman" w:hAnsi="Times New Roman"/>
          <w:sz w:val="22"/>
        </w:rPr>
        <w:t>Table 3:  Comparison of Commercial and Academic Medical QA Systems</w:t>
      </w:r>
    </w:p>
    <w:p>
      <w:pPr>
        <w:spacing w:after="60"/>
      </w:pPr>
      <w:r>
        <w:rPr>
          <w:rFonts w:ascii="Times New Roman" w:hAnsi="Times New Roman"/>
          <w:sz w:val="22"/>
        </w:rPr>
        <w:t>Table 4:  Technology Stack and Software Requirements</w:t>
      </w:r>
    </w:p>
    <w:p>
      <w:pPr>
        <w:spacing w:after="60"/>
      </w:pPr>
      <w:r>
        <w:rPr>
          <w:rFonts w:ascii="Times New Roman" w:hAnsi="Times New Roman"/>
          <w:sz w:val="22"/>
        </w:rPr>
        <w:t>Table 5:  Hardware Requirements</w:t>
      </w:r>
    </w:p>
    <w:p>
      <w:pPr>
        <w:spacing w:after="60"/>
      </w:pPr>
      <w:r>
        <w:rPr>
          <w:rFonts w:ascii="Times New Roman" w:hAnsi="Times New Roman"/>
          <w:sz w:val="22"/>
        </w:rPr>
        <w:t>Table 6:  Datasets and Data Sources</w:t>
      </w:r>
    </w:p>
    <w:p>
      <w:r>
        <w:br w:type="page"/>
      </w:r>
    </w:p>
    <w:p>
      <w:pPr>
        <w:pStyle w:val="Heading1"/>
        <w:jc w:val="left"/>
      </w:pPr>
      <w:r>
        <w:rPr>
          <w:rFonts w:ascii="Times New Roman" w:hAnsi="Times New Roman"/>
          <w:b/>
          <w:color w:val="000000"/>
          <w:sz w:val="32"/>
        </w:rPr>
        <w:t>List of Acronyms</w:t>
      </w:r>
    </w:p>
    <w:tbl>
      <w:tblPr>
        <w:tblStyle w:val="TableGrid"/>
        <w:tblW w:type="auto" w:w="0"/>
        <w:tblLook w:firstColumn="1" w:firstRow="1" w:lastColumn="0" w:lastRow="0" w:noHBand="0" w:noVBand="1" w:val="04A0"/>
      </w:tblPr>
      <w:tblGrid>
        <w:gridCol w:w="4500"/>
        <w:gridCol w:w="4500"/>
      </w:tblGrid>
      <w:tr>
        <w:tc>
          <w:tcPr>
            <w:tcW w:type="dxa" w:w="4500"/>
            <w:shd w:val="clear" w:color="auto" w:fill="D9E1F2"/>
          </w:tcPr>
          <w:p>
            <w:r>
              <w:rPr>
                <w:rFonts w:ascii="Times New Roman" w:hAnsi="Times New Roman"/>
                <w:b/>
                <w:sz w:val="20"/>
              </w:rPr>
              <w:t>Acronym</w:t>
            </w:r>
          </w:p>
        </w:tc>
        <w:tc>
          <w:tcPr>
            <w:tcW w:type="dxa" w:w="4500"/>
            <w:shd w:val="clear" w:color="auto" w:fill="D9E1F2"/>
          </w:tcPr>
          <w:p>
            <w:r>
              <w:rPr>
                <w:rFonts w:ascii="Times New Roman" w:hAnsi="Times New Roman"/>
                <w:b/>
                <w:sz w:val="20"/>
              </w:rPr>
              <w:t>Expansion</w:t>
            </w:r>
          </w:p>
        </w:tc>
      </w:tr>
      <w:tr>
        <w:tc>
          <w:tcPr>
            <w:tcW w:type="dxa" w:w="4500"/>
          </w:tcPr>
          <w:p>
            <w:r>
              <w:rPr>
                <w:rFonts w:ascii="Times New Roman" w:hAnsi="Times New Roman"/>
                <w:sz w:val="20"/>
              </w:rPr>
              <w:t>ACJ</w:t>
            </w:r>
          </w:p>
        </w:tc>
        <w:tc>
          <w:tcPr>
            <w:tcW w:type="dxa" w:w="4500"/>
          </w:tcPr>
          <w:p>
            <w:r>
              <w:rPr>
                <w:rFonts w:ascii="Times New Roman" w:hAnsi="Times New Roman"/>
                <w:sz w:val="20"/>
              </w:rPr>
              <w:t>Adaptive Comparative Judgement</w:t>
            </w:r>
          </w:p>
        </w:tc>
      </w:tr>
      <w:tr>
        <w:tc>
          <w:tcPr>
            <w:tcW w:type="dxa" w:w="4500"/>
          </w:tcPr>
          <w:p>
            <w:r>
              <w:rPr>
                <w:rFonts w:ascii="Times New Roman" w:hAnsi="Times New Roman"/>
                <w:sz w:val="20"/>
              </w:rPr>
              <w:t>AFC</w:t>
            </w:r>
          </w:p>
        </w:tc>
        <w:tc>
          <w:tcPr>
            <w:tcW w:type="dxa" w:w="4500"/>
          </w:tcPr>
          <w:p>
            <w:r>
              <w:rPr>
                <w:rFonts w:ascii="Times New Roman" w:hAnsi="Times New Roman"/>
                <w:sz w:val="20"/>
              </w:rPr>
              <w:t>Atomic Fact Checking</w:t>
            </w:r>
          </w:p>
        </w:tc>
      </w:tr>
      <w:tr>
        <w:tc>
          <w:tcPr>
            <w:tcW w:type="dxa" w:w="4500"/>
          </w:tcPr>
          <w:p>
            <w:r>
              <w:rPr>
                <w:rFonts w:ascii="Times New Roman" w:hAnsi="Times New Roman"/>
                <w:sz w:val="20"/>
              </w:rPr>
              <w:t>API</w:t>
            </w:r>
          </w:p>
        </w:tc>
        <w:tc>
          <w:tcPr>
            <w:tcW w:type="dxa" w:w="4500"/>
          </w:tcPr>
          <w:p>
            <w:r>
              <w:rPr>
                <w:rFonts w:ascii="Times New Roman" w:hAnsi="Times New Roman"/>
                <w:sz w:val="20"/>
              </w:rPr>
              <w:t>Application Programming Interface</w:t>
            </w:r>
          </w:p>
        </w:tc>
      </w:tr>
      <w:tr>
        <w:tc>
          <w:tcPr>
            <w:tcW w:type="dxa" w:w="4500"/>
          </w:tcPr>
          <w:p>
            <w:r>
              <w:rPr>
                <w:rFonts w:ascii="Times New Roman" w:hAnsi="Times New Roman"/>
                <w:sz w:val="20"/>
              </w:rPr>
              <w:t>BM25</w:t>
            </w:r>
          </w:p>
        </w:tc>
        <w:tc>
          <w:tcPr>
            <w:tcW w:type="dxa" w:w="4500"/>
          </w:tcPr>
          <w:p>
            <w:r>
              <w:rPr>
                <w:rFonts w:ascii="Times New Roman" w:hAnsi="Times New Roman"/>
                <w:sz w:val="20"/>
              </w:rPr>
              <w:t>Best Match 25 (probabilistic retrieval model)</w:t>
            </w:r>
          </w:p>
        </w:tc>
      </w:tr>
      <w:tr>
        <w:tc>
          <w:tcPr>
            <w:tcW w:type="dxa" w:w="4500"/>
          </w:tcPr>
          <w:p>
            <w:r>
              <w:rPr>
                <w:rFonts w:ascii="Times New Roman" w:hAnsi="Times New Roman"/>
                <w:sz w:val="20"/>
              </w:rPr>
              <w:t>CCE</w:t>
            </w:r>
          </w:p>
        </w:tc>
        <w:tc>
          <w:tcPr>
            <w:tcW w:type="dxa" w:w="4500"/>
          </w:tcPr>
          <w:p>
            <w:r>
              <w:rPr>
                <w:rFonts w:ascii="Times New Roman" w:hAnsi="Times New Roman"/>
                <w:sz w:val="20"/>
              </w:rPr>
              <w:t>Counterfactual and Contrastive Explanation</w:t>
            </w:r>
          </w:p>
        </w:tc>
      </w:tr>
      <w:tr>
        <w:tc>
          <w:tcPr>
            <w:tcW w:type="dxa" w:w="4500"/>
          </w:tcPr>
          <w:p>
            <w:r>
              <w:rPr>
                <w:rFonts w:ascii="Times New Roman" w:hAnsi="Times New Roman"/>
                <w:sz w:val="20"/>
              </w:rPr>
              <w:t>CFE</w:t>
            </w:r>
          </w:p>
        </w:tc>
        <w:tc>
          <w:tcPr>
            <w:tcW w:type="dxa" w:w="4500"/>
          </w:tcPr>
          <w:p>
            <w:r>
              <w:rPr>
                <w:rFonts w:ascii="Times New Roman" w:hAnsi="Times New Roman"/>
                <w:sz w:val="20"/>
              </w:rPr>
              <w:t>Counterfactual Explanation</w:t>
            </w:r>
          </w:p>
        </w:tc>
      </w:tr>
      <w:tr>
        <w:tc>
          <w:tcPr>
            <w:tcW w:type="dxa" w:w="4500"/>
          </w:tcPr>
          <w:p>
            <w:r>
              <w:rPr>
                <w:rFonts w:ascii="Times New Roman" w:hAnsi="Times New Roman"/>
                <w:sz w:val="20"/>
              </w:rPr>
              <w:t>DPO</w:t>
            </w:r>
          </w:p>
        </w:tc>
        <w:tc>
          <w:tcPr>
            <w:tcW w:type="dxa" w:w="4500"/>
          </w:tcPr>
          <w:p>
            <w:r>
              <w:rPr>
                <w:rFonts w:ascii="Times New Roman" w:hAnsi="Times New Roman"/>
                <w:sz w:val="20"/>
              </w:rPr>
              <w:t>Direct Preference Optimisation</w:t>
            </w:r>
          </w:p>
        </w:tc>
      </w:tr>
      <w:tr>
        <w:tc>
          <w:tcPr>
            <w:tcW w:type="dxa" w:w="4500"/>
          </w:tcPr>
          <w:p>
            <w:r>
              <w:rPr>
                <w:rFonts w:ascii="Times New Roman" w:hAnsi="Times New Roman"/>
                <w:sz w:val="20"/>
              </w:rPr>
              <w:t>EHR</w:t>
            </w:r>
          </w:p>
        </w:tc>
        <w:tc>
          <w:tcPr>
            <w:tcW w:type="dxa" w:w="4500"/>
          </w:tcPr>
          <w:p>
            <w:r>
              <w:rPr>
                <w:rFonts w:ascii="Times New Roman" w:hAnsi="Times New Roman"/>
                <w:sz w:val="20"/>
              </w:rPr>
              <w:t>Electronic Health Record</w:t>
            </w:r>
          </w:p>
        </w:tc>
      </w:tr>
      <w:tr>
        <w:tc>
          <w:tcPr>
            <w:tcW w:type="dxa" w:w="4500"/>
          </w:tcPr>
          <w:p>
            <w:r>
              <w:rPr>
                <w:rFonts w:ascii="Times New Roman" w:hAnsi="Times New Roman"/>
                <w:sz w:val="20"/>
              </w:rPr>
              <w:t>FDA</w:t>
            </w:r>
          </w:p>
        </w:tc>
        <w:tc>
          <w:tcPr>
            <w:tcW w:type="dxa" w:w="4500"/>
          </w:tcPr>
          <w:p>
            <w:r>
              <w:rPr>
                <w:rFonts w:ascii="Times New Roman" w:hAnsi="Times New Roman"/>
                <w:sz w:val="20"/>
              </w:rPr>
              <w:t>US Food and Drug Administration</w:t>
            </w:r>
          </w:p>
        </w:tc>
      </w:tr>
      <w:tr>
        <w:tc>
          <w:tcPr>
            <w:tcW w:type="dxa" w:w="4500"/>
          </w:tcPr>
          <w:p>
            <w:r>
              <w:rPr>
                <w:rFonts w:ascii="Times New Roman" w:hAnsi="Times New Roman"/>
                <w:sz w:val="20"/>
              </w:rPr>
              <w:t>GDPR</w:t>
            </w:r>
          </w:p>
        </w:tc>
        <w:tc>
          <w:tcPr>
            <w:tcW w:type="dxa" w:w="4500"/>
          </w:tcPr>
          <w:p>
            <w:r>
              <w:rPr>
                <w:rFonts w:ascii="Times New Roman" w:hAnsi="Times New Roman"/>
                <w:sz w:val="20"/>
              </w:rPr>
              <w:t>General Data Protection Regulation (EU)</w:t>
            </w:r>
          </w:p>
        </w:tc>
      </w:tr>
      <w:tr>
        <w:tc>
          <w:tcPr>
            <w:tcW w:type="dxa" w:w="4500"/>
          </w:tcPr>
          <w:p>
            <w:r>
              <w:rPr>
                <w:rFonts w:ascii="Times New Roman" w:hAnsi="Times New Roman"/>
                <w:sz w:val="20"/>
              </w:rPr>
              <w:t>HIPAA</w:t>
            </w:r>
          </w:p>
        </w:tc>
        <w:tc>
          <w:tcPr>
            <w:tcW w:type="dxa" w:w="4500"/>
          </w:tcPr>
          <w:p>
            <w:r>
              <w:rPr>
                <w:rFonts w:ascii="Times New Roman" w:hAnsi="Times New Roman"/>
                <w:sz w:val="20"/>
              </w:rPr>
              <w:t>Health Insurance Portability and Accountability Act (US)</w:t>
            </w:r>
          </w:p>
        </w:tc>
      </w:tr>
      <w:tr>
        <w:tc>
          <w:tcPr>
            <w:tcW w:type="dxa" w:w="4500"/>
          </w:tcPr>
          <w:p>
            <w:r>
              <w:rPr>
                <w:rFonts w:ascii="Times New Roman" w:hAnsi="Times New Roman"/>
                <w:sz w:val="20"/>
              </w:rPr>
              <w:t>HPC</w:t>
            </w:r>
          </w:p>
        </w:tc>
        <w:tc>
          <w:tcPr>
            <w:tcW w:type="dxa" w:w="4500"/>
          </w:tcPr>
          <w:p>
            <w:r>
              <w:rPr>
                <w:rFonts w:ascii="Times New Roman" w:hAnsi="Times New Roman"/>
                <w:sz w:val="20"/>
              </w:rPr>
              <w:t>High-Performance Computing</w:t>
            </w:r>
          </w:p>
        </w:tc>
      </w:tr>
      <w:tr>
        <w:tc>
          <w:tcPr>
            <w:tcW w:type="dxa" w:w="4500"/>
          </w:tcPr>
          <w:p>
            <w:r>
              <w:rPr>
                <w:rFonts w:ascii="Times New Roman" w:hAnsi="Times New Roman"/>
                <w:sz w:val="20"/>
              </w:rPr>
              <w:t>IMDRF</w:t>
            </w:r>
          </w:p>
        </w:tc>
        <w:tc>
          <w:tcPr>
            <w:tcW w:type="dxa" w:w="4500"/>
          </w:tcPr>
          <w:p>
            <w:r>
              <w:rPr>
                <w:rFonts w:ascii="Times New Roman" w:hAnsi="Times New Roman"/>
                <w:sz w:val="20"/>
              </w:rPr>
              <w:t>International Medical Device Regulators Forum</w:t>
            </w:r>
          </w:p>
        </w:tc>
      </w:tr>
      <w:tr>
        <w:tc>
          <w:tcPr>
            <w:tcW w:type="dxa" w:w="4500"/>
          </w:tcPr>
          <w:p>
            <w:r>
              <w:rPr>
                <w:rFonts w:ascii="Times New Roman" w:hAnsi="Times New Roman"/>
                <w:sz w:val="20"/>
              </w:rPr>
              <w:t>KG</w:t>
            </w:r>
          </w:p>
        </w:tc>
        <w:tc>
          <w:tcPr>
            <w:tcW w:type="dxa" w:w="4500"/>
          </w:tcPr>
          <w:p>
            <w:r>
              <w:rPr>
                <w:rFonts w:ascii="Times New Roman" w:hAnsi="Times New Roman"/>
                <w:sz w:val="20"/>
              </w:rPr>
              <w:t>Knowledge Graph</w:t>
            </w:r>
          </w:p>
        </w:tc>
      </w:tr>
      <w:tr>
        <w:tc>
          <w:tcPr>
            <w:tcW w:type="dxa" w:w="4500"/>
          </w:tcPr>
          <w:p>
            <w:r>
              <w:rPr>
                <w:rFonts w:ascii="Times New Roman" w:hAnsi="Times New Roman"/>
                <w:sz w:val="20"/>
              </w:rPr>
              <w:t>KG-RAG</w:t>
            </w:r>
          </w:p>
        </w:tc>
        <w:tc>
          <w:tcPr>
            <w:tcW w:type="dxa" w:w="4500"/>
          </w:tcPr>
          <w:p>
            <w:r>
              <w:rPr>
                <w:rFonts w:ascii="Times New Roman" w:hAnsi="Times New Roman"/>
                <w:sz w:val="20"/>
              </w:rPr>
              <w:t>Knowledge Graph-augmented Retrieval-Augmented Generation</w:t>
            </w:r>
          </w:p>
        </w:tc>
      </w:tr>
      <w:tr>
        <w:tc>
          <w:tcPr>
            <w:tcW w:type="dxa" w:w="4500"/>
          </w:tcPr>
          <w:p>
            <w:r>
              <w:rPr>
                <w:rFonts w:ascii="Times New Roman" w:hAnsi="Times New Roman"/>
                <w:sz w:val="20"/>
              </w:rPr>
              <w:t>LLM</w:t>
            </w:r>
          </w:p>
        </w:tc>
        <w:tc>
          <w:tcPr>
            <w:tcW w:type="dxa" w:w="4500"/>
          </w:tcPr>
          <w:p>
            <w:r>
              <w:rPr>
                <w:rFonts w:ascii="Times New Roman" w:hAnsi="Times New Roman"/>
                <w:sz w:val="20"/>
              </w:rPr>
              <w:t>Large Language Model</w:t>
            </w:r>
          </w:p>
        </w:tc>
      </w:tr>
      <w:tr>
        <w:tc>
          <w:tcPr>
            <w:tcW w:type="dxa" w:w="4500"/>
          </w:tcPr>
          <w:p>
            <w:r>
              <w:rPr>
                <w:rFonts w:ascii="Times New Roman" w:hAnsi="Times New Roman"/>
                <w:sz w:val="20"/>
              </w:rPr>
              <w:t>LoRA</w:t>
            </w:r>
          </w:p>
        </w:tc>
        <w:tc>
          <w:tcPr>
            <w:tcW w:type="dxa" w:w="4500"/>
          </w:tcPr>
          <w:p>
            <w:r>
              <w:rPr>
                <w:rFonts w:ascii="Times New Roman" w:hAnsi="Times New Roman"/>
                <w:sz w:val="20"/>
              </w:rPr>
              <w:t>Low-Rank Adaptation (parameter-efficient fine-tuning)</w:t>
            </w:r>
          </w:p>
        </w:tc>
      </w:tr>
      <w:tr>
        <w:tc>
          <w:tcPr>
            <w:tcW w:type="dxa" w:w="4500"/>
          </w:tcPr>
          <w:p>
            <w:r>
              <w:rPr>
                <w:rFonts w:ascii="Times New Roman" w:hAnsi="Times New Roman"/>
                <w:sz w:val="20"/>
              </w:rPr>
              <w:t>MCQ</w:t>
            </w:r>
          </w:p>
        </w:tc>
        <w:tc>
          <w:tcPr>
            <w:tcW w:type="dxa" w:w="4500"/>
          </w:tcPr>
          <w:p>
            <w:r>
              <w:rPr>
                <w:rFonts w:ascii="Times New Roman" w:hAnsi="Times New Roman"/>
                <w:sz w:val="20"/>
              </w:rPr>
              <w:t>Multiple Choice Question</w:t>
            </w:r>
          </w:p>
        </w:tc>
      </w:tr>
      <w:tr>
        <w:tc>
          <w:tcPr>
            <w:tcW w:type="dxa" w:w="4500"/>
          </w:tcPr>
          <w:p>
            <w:r>
              <w:rPr>
                <w:rFonts w:ascii="Times New Roman" w:hAnsi="Times New Roman"/>
                <w:sz w:val="20"/>
              </w:rPr>
              <w:t>MedQuAD</w:t>
            </w:r>
          </w:p>
        </w:tc>
        <w:tc>
          <w:tcPr>
            <w:tcW w:type="dxa" w:w="4500"/>
          </w:tcPr>
          <w:p>
            <w:r>
              <w:rPr>
                <w:rFonts w:ascii="Times New Roman" w:hAnsi="Times New Roman"/>
                <w:sz w:val="20"/>
              </w:rPr>
              <w:t>Medical Question Answering Dataset</w:t>
            </w:r>
          </w:p>
        </w:tc>
      </w:tr>
      <w:tr>
        <w:tc>
          <w:tcPr>
            <w:tcW w:type="dxa" w:w="4500"/>
          </w:tcPr>
          <w:p>
            <w:r>
              <w:rPr>
                <w:rFonts w:ascii="Times New Roman" w:hAnsi="Times New Roman"/>
                <w:sz w:val="20"/>
              </w:rPr>
              <w:t>MIMIC</w:t>
            </w:r>
          </w:p>
        </w:tc>
        <w:tc>
          <w:tcPr>
            <w:tcW w:type="dxa" w:w="4500"/>
          </w:tcPr>
          <w:p>
            <w:r>
              <w:rPr>
                <w:rFonts w:ascii="Times New Roman" w:hAnsi="Times New Roman"/>
                <w:sz w:val="20"/>
              </w:rPr>
              <w:t>Medical Information Mart for Intensive Care</w:t>
            </w:r>
          </w:p>
        </w:tc>
      </w:tr>
      <w:tr>
        <w:tc>
          <w:tcPr>
            <w:tcW w:type="dxa" w:w="4500"/>
          </w:tcPr>
          <w:p>
            <w:r>
              <w:rPr>
                <w:rFonts w:ascii="Times New Roman" w:hAnsi="Times New Roman"/>
                <w:sz w:val="20"/>
              </w:rPr>
              <w:t>MVP</w:t>
            </w:r>
          </w:p>
        </w:tc>
        <w:tc>
          <w:tcPr>
            <w:tcW w:type="dxa" w:w="4500"/>
          </w:tcPr>
          <w:p>
            <w:r>
              <w:rPr>
                <w:rFonts w:ascii="Times New Roman" w:hAnsi="Times New Roman"/>
                <w:sz w:val="20"/>
              </w:rPr>
              <w:t>Minimum Viable Product</w:t>
            </w:r>
          </w:p>
        </w:tc>
      </w:tr>
      <w:tr>
        <w:tc>
          <w:tcPr>
            <w:tcW w:type="dxa" w:w="4500"/>
          </w:tcPr>
          <w:p>
            <w:r>
              <w:rPr>
                <w:rFonts w:ascii="Times New Roman" w:hAnsi="Times New Roman"/>
                <w:sz w:val="20"/>
              </w:rPr>
              <w:t>NER</w:t>
            </w:r>
          </w:p>
        </w:tc>
        <w:tc>
          <w:tcPr>
            <w:tcW w:type="dxa" w:w="4500"/>
          </w:tcPr>
          <w:p>
            <w:r>
              <w:rPr>
                <w:rFonts w:ascii="Times New Roman" w:hAnsi="Times New Roman"/>
                <w:sz w:val="20"/>
              </w:rPr>
              <w:t>Named Entity Recognition</w:t>
            </w:r>
          </w:p>
        </w:tc>
      </w:tr>
      <w:tr>
        <w:tc>
          <w:tcPr>
            <w:tcW w:type="dxa" w:w="4500"/>
          </w:tcPr>
          <w:p>
            <w:r>
              <w:rPr>
                <w:rFonts w:ascii="Times New Roman" w:hAnsi="Times New Roman"/>
                <w:sz w:val="20"/>
              </w:rPr>
              <w:t>NLP</w:t>
            </w:r>
          </w:p>
        </w:tc>
        <w:tc>
          <w:tcPr>
            <w:tcW w:type="dxa" w:w="4500"/>
          </w:tcPr>
          <w:p>
            <w:r>
              <w:rPr>
                <w:rFonts w:ascii="Times New Roman" w:hAnsi="Times New Roman"/>
                <w:sz w:val="20"/>
              </w:rPr>
              <w:t>Natural Language Processing</w:t>
            </w:r>
          </w:p>
        </w:tc>
      </w:tr>
      <w:tr>
        <w:tc>
          <w:tcPr>
            <w:tcW w:type="dxa" w:w="4500"/>
          </w:tcPr>
          <w:p>
            <w:r>
              <w:rPr>
                <w:rFonts w:ascii="Times New Roman" w:hAnsi="Times New Roman"/>
                <w:sz w:val="20"/>
              </w:rPr>
              <w:t>QA</w:t>
            </w:r>
          </w:p>
        </w:tc>
        <w:tc>
          <w:tcPr>
            <w:tcW w:type="dxa" w:w="4500"/>
          </w:tcPr>
          <w:p>
            <w:r>
              <w:rPr>
                <w:rFonts w:ascii="Times New Roman" w:hAnsi="Times New Roman"/>
                <w:sz w:val="20"/>
              </w:rPr>
              <w:t>Question Answering</w:t>
            </w:r>
          </w:p>
        </w:tc>
      </w:tr>
      <w:tr>
        <w:tc>
          <w:tcPr>
            <w:tcW w:type="dxa" w:w="4500"/>
          </w:tcPr>
          <w:p>
            <w:r>
              <w:rPr>
                <w:rFonts w:ascii="Times New Roman" w:hAnsi="Times New Roman"/>
                <w:sz w:val="20"/>
              </w:rPr>
              <w:t>RAG</w:t>
            </w:r>
          </w:p>
        </w:tc>
        <w:tc>
          <w:tcPr>
            <w:tcW w:type="dxa" w:w="4500"/>
          </w:tcPr>
          <w:p>
            <w:r>
              <w:rPr>
                <w:rFonts w:ascii="Times New Roman" w:hAnsi="Times New Roman"/>
                <w:sz w:val="20"/>
              </w:rPr>
              <w:t>Retrieval-Augmented Generation</w:t>
            </w:r>
          </w:p>
        </w:tc>
      </w:tr>
      <w:tr>
        <w:tc>
          <w:tcPr>
            <w:tcW w:type="dxa" w:w="4500"/>
          </w:tcPr>
          <w:p>
            <w:r>
              <w:rPr>
                <w:rFonts w:ascii="Times New Roman" w:hAnsi="Times New Roman"/>
                <w:sz w:val="20"/>
              </w:rPr>
              <w:t>RAGAS</w:t>
            </w:r>
          </w:p>
        </w:tc>
        <w:tc>
          <w:tcPr>
            <w:tcW w:type="dxa" w:w="4500"/>
          </w:tcPr>
          <w:p>
            <w:r>
              <w:rPr>
                <w:rFonts w:ascii="Times New Roman" w:hAnsi="Times New Roman"/>
                <w:sz w:val="20"/>
              </w:rPr>
              <w:t>Retrieval-Augmented Generation Assessment</w:t>
            </w:r>
          </w:p>
        </w:tc>
      </w:tr>
      <w:tr>
        <w:tc>
          <w:tcPr>
            <w:tcW w:type="dxa" w:w="4500"/>
          </w:tcPr>
          <w:p>
            <w:r>
              <w:rPr>
                <w:rFonts w:ascii="Times New Roman" w:hAnsi="Times New Roman"/>
                <w:sz w:val="20"/>
              </w:rPr>
              <w:t>RLHF</w:t>
            </w:r>
          </w:p>
        </w:tc>
        <w:tc>
          <w:tcPr>
            <w:tcW w:type="dxa" w:w="4500"/>
          </w:tcPr>
          <w:p>
            <w:r>
              <w:rPr>
                <w:rFonts w:ascii="Times New Roman" w:hAnsi="Times New Roman"/>
                <w:sz w:val="20"/>
              </w:rPr>
              <w:t>Reinforcement Learning from Human Feedback</w:t>
            </w:r>
          </w:p>
        </w:tc>
      </w:tr>
      <w:tr>
        <w:tc>
          <w:tcPr>
            <w:tcW w:type="dxa" w:w="4500"/>
          </w:tcPr>
          <w:p>
            <w:r>
              <w:rPr>
                <w:rFonts w:ascii="Times New Roman" w:hAnsi="Times New Roman"/>
                <w:sz w:val="20"/>
              </w:rPr>
              <w:t>RRF</w:t>
            </w:r>
          </w:p>
        </w:tc>
        <w:tc>
          <w:tcPr>
            <w:tcW w:type="dxa" w:w="4500"/>
          </w:tcPr>
          <w:p>
            <w:r>
              <w:rPr>
                <w:rFonts w:ascii="Times New Roman" w:hAnsi="Times New Roman"/>
                <w:sz w:val="20"/>
              </w:rPr>
              <w:t>Reciprocal Rank Fusion</w:t>
            </w:r>
          </w:p>
        </w:tc>
      </w:tr>
      <w:tr>
        <w:tc>
          <w:tcPr>
            <w:tcW w:type="dxa" w:w="4500"/>
          </w:tcPr>
          <w:p>
            <w:r>
              <w:rPr>
                <w:rFonts w:ascii="Times New Roman" w:hAnsi="Times New Roman"/>
                <w:sz w:val="20"/>
              </w:rPr>
              <w:t>SaMD</w:t>
            </w:r>
          </w:p>
        </w:tc>
        <w:tc>
          <w:tcPr>
            <w:tcW w:type="dxa" w:w="4500"/>
          </w:tcPr>
          <w:p>
            <w:r>
              <w:rPr>
                <w:rFonts w:ascii="Times New Roman" w:hAnsi="Times New Roman"/>
                <w:sz w:val="20"/>
              </w:rPr>
              <w:t>Software as a Medical Device</w:t>
            </w:r>
          </w:p>
        </w:tc>
      </w:tr>
      <w:tr>
        <w:tc>
          <w:tcPr>
            <w:tcW w:type="dxa" w:w="4500"/>
          </w:tcPr>
          <w:p>
            <w:r>
              <w:rPr>
                <w:rFonts w:ascii="Times New Roman" w:hAnsi="Times New Roman"/>
                <w:sz w:val="20"/>
              </w:rPr>
              <w:t>SFT</w:t>
            </w:r>
          </w:p>
        </w:tc>
        <w:tc>
          <w:tcPr>
            <w:tcW w:type="dxa" w:w="4500"/>
          </w:tcPr>
          <w:p>
            <w:r>
              <w:rPr>
                <w:rFonts w:ascii="Times New Roman" w:hAnsi="Times New Roman"/>
                <w:sz w:val="20"/>
              </w:rPr>
              <w:t>Supervised Fine-Tuning</w:t>
            </w:r>
          </w:p>
        </w:tc>
      </w:tr>
      <w:tr>
        <w:tc>
          <w:tcPr>
            <w:tcW w:type="dxa" w:w="4500"/>
          </w:tcPr>
          <w:p>
            <w:r>
              <w:rPr>
                <w:rFonts w:ascii="Times New Roman" w:hAnsi="Times New Roman"/>
                <w:sz w:val="20"/>
              </w:rPr>
              <w:t>SPO</w:t>
            </w:r>
          </w:p>
        </w:tc>
        <w:tc>
          <w:tcPr>
            <w:tcW w:type="dxa" w:w="4500"/>
          </w:tcPr>
          <w:p>
            <w:r>
              <w:rPr>
                <w:rFonts w:ascii="Times New Roman" w:hAnsi="Times New Roman"/>
                <w:sz w:val="20"/>
              </w:rPr>
              <w:t>Source Planning Optimisation</w:t>
            </w:r>
          </w:p>
        </w:tc>
      </w:tr>
      <w:tr>
        <w:tc>
          <w:tcPr>
            <w:tcW w:type="dxa" w:w="4500"/>
          </w:tcPr>
          <w:p>
            <w:r>
              <w:rPr>
                <w:rFonts w:ascii="Times New Roman" w:hAnsi="Times New Roman"/>
                <w:sz w:val="20"/>
              </w:rPr>
              <w:t>UMLS</w:t>
            </w:r>
          </w:p>
        </w:tc>
        <w:tc>
          <w:tcPr>
            <w:tcW w:type="dxa" w:w="4500"/>
          </w:tcPr>
          <w:p>
            <w:r>
              <w:rPr>
                <w:rFonts w:ascii="Times New Roman" w:hAnsi="Times New Roman"/>
                <w:sz w:val="20"/>
              </w:rPr>
              <w:t>Unified Medical Language System</w:t>
            </w:r>
          </w:p>
        </w:tc>
      </w:tr>
      <w:tr>
        <w:tc>
          <w:tcPr>
            <w:tcW w:type="dxa" w:w="4500"/>
          </w:tcPr>
          <w:p>
            <w:r>
              <w:rPr>
                <w:rFonts w:ascii="Times New Roman" w:hAnsi="Times New Roman"/>
                <w:sz w:val="20"/>
              </w:rPr>
              <w:t>WHO</w:t>
            </w:r>
          </w:p>
        </w:tc>
        <w:tc>
          <w:tcPr>
            <w:tcW w:type="dxa" w:w="4500"/>
          </w:tcPr>
          <w:p>
            <w:r>
              <w:rPr>
                <w:rFonts w:ascii="Times New Roman" w:hAnsi="Times New Roman"/>
                <w:sz w:val="20"/>
              </w:rPr>
              <w:t>World Health Organization</w:t>
            </w:r>
          </w:p>
        </w:tc>
      </w:tr>
    </w:tbl>
    <w:p/>
    <w:p>
      <w:r>
        <w:br w:type="page"/>
      </w:r>
    </w:p>
    <w:p>
      <w:pPr>
        <w:pStyle w:val="Heading1"/>
        <w:jc w:val="left"/>
      </w:pPr>
      <w:r>
        <w:rPr>
          <w:rFonts w:ascii="Times New Roman" w:hAnsi="Times New Roman"/>
          <w:b/>
          <w:color w:val="000000"/>
          <w:sz w:val="32"/>
        </w:rPr>
        <w:t>1. Background</w:t>
      </w:r>
    </w:p>
    <w:p>
      <w:pPr>
        <w:pStyle w:val="Heading2"/>
        <w:jc w:val="left"/>
      </w:pPr>
      <w:r>
        <w:rPr>
          <w:rFonts w:ascii="Times New Roman" w:hAnsi="Times New Roman"/>
          <w:b/>
          <w:color w:val="000000"/>
          <w:sz w:val="28"/>
        </w:rPr>
        <w:t>1.1 Evolution of Medical Information Systems</w:t>
      </w:r>
    </w:p>
    <w:p>
      <w:pPr>
        <w:spacing w:after="120" w:before="0"/>
        <w:jc w:val="both"/>
      </w:pPr>
      <w:r>
        <w:rPr>
          <w:rFonts w:ascii="Times New Roman" w:hAnsi="Times New Roman"/>
          <w:b w:val="0"/>
          <w:i w:val="0"/>
          <w:sz w:val="24"/>
        </w:rPr>
        <w:t>The development of automated medical information systems has followed a clear evolutionary arc spanning five decades, and understanding this history is essential for justifying the LLM-based approach proposed here. The earliest systems — rule-based expert systems such as MYCIN (Shortliffe, 1976) and INTERNIST-I (Pople et al., 1975) — encoded physician knowledge as hand-crafted if–then rules. While accurate within narrow domains, these systems required prohibitive manual maintenance, failed to generalise beyond their predefined conditions, and were abandoned when the breadth of clinical knowledge proved impossible to capture exhaustively. Their failure established a key lesson: medical knowledge is too large, dynamic, and context-dependent for hand-curation alone.</w:t>
      </w:r>
    </w:p>
    <w:p>
      <w:pPr>
        <w:spacing w:after="120" w:before="0"/>
        <w:jc w:val="both"/>
      </w:pPr>
      <w:r>
        <w:rPr>
          <w:rFonts w:ascii="Times New Roman" w:hAnsi="Times New Roman"/>
          <w:b w:val="0"/>
          <w:i w:val="0"/>
          <w:sz w:val="24"/>
        </w:rPr>
        <w:t>The second generation, emerging through the 1990s and 2000s, applied statistical machine learning — Naive Bayes classifiers, support vector machines (SVMs), and early neural networks — to clinical text. These approaches achieved moderate performance on structured tasks such as disease classification and ICD coding, but remained brittle on free-text medical questions due to vocabulary mismatch, negation handling, and absence of semantic understanding. They could match keywords but could not reason about clinical causality, contraindications, or patient-specific context — all requirements for safe medical advice.</w:t>
      </w:r>
    </w:p>
    <w:p>
      <w:pPr>
        <w:spacing w:after="120" w:before="0"/>
        <w:jc w:val="both"/>
      </w:pPr>
      <w:r>
        <w:rPr>
          <w:rFonts w:ascii="Times New Roman" w:hAnsi="Times New Roman"/>
          <w:b w:val="0"/>
          <w:i w:val="0"/>
          <w:sz w:val="24"/>
        </w:rPr>
        <w:t>The third generation, beginning around 2017, used pre-trained deep learning models (BERT, BioBERT, PubMedBERT) fine-tuned on medical corpora. Contextual embeddings enabled near-physician accuracy on multiple-choice benchmarks such as BioASQ and MedQA, and structured question answering improved substantially. However, fine-tuned BERT models could not generate fluent, multi-sentence explanations, were limited to the narrow domains of their training data, and required expensive retraining when clinical guidelines were updated.</w:t>
      </w:r>
    </w:p>
    <w:p>
      <w:pPr>
        <w:spacing w:after="120" w:before="0"/>
        <w:jc w:val="both"/>
      </w:pPr>
      <w:r>
        <w:rPr>
          <w:rFonts w:ascii="Times New Roman" w:hAnsi="Times New Roman"/>
          <w:b w:val="0"/>
          <w:i w:val="0"/>
          <w:sz w:val="24"/>
        </w:rPr>
        <w:t>The fourth and current generation — Large Language Models (LLMs) such as GPT-4, Med-PaLM 2, and Claude — has fundamentally transformed the landscape. LLMs engage in extended medical dialogue, synthesise information across specialties, and produce structured explanations without task-specific fine-tuning. Evaluations such as those by Kung et al. (2023) show GPT-4 achieving passing scores on USMLE Steps 1–3. Critically, however, these models introduce hallucination as a new failure mode: they generate plausible but factually incorrect statements with high apparent confidence. In a medical context, a hallucinated drug dosage, a fabricated contraindication, or an omitted emergency escalation could cause direct patient harm. The question is therefore not whether to use LLMs for medical QA, but how to use them safely — which is the central motivation for this proposal.</w:t>
      </w:r>
    </w:p>
    <w:p>
      <w:pPr>
        <w:spacing w:after="120" w:before="0"/>
        <w:jc w:val="both"/>
      </w:pPr>
      <w:r>
        <w:rPr>
          <w:rFonts w:ascii="Times New Roman" w:hAnsi="Times New Roman"/>
          <w:b w:val="0"/>
          <w:i w:val="0"/>
          <w:sz w:val="24"/>
        </w:rPr>
        <w:t>RAG has emerged as the dominant strategy to anchor LLM outputs in verified external knowledge. Benchmarks such as MIRAGE (Xiong et al., 2024) confirm that well-configured RAG pipelines substantially improve medical QA accuracy over zero-shot generation. However, standard RAG alone does not address three remaining problems: (1) answers may still contain hallucinated claims not derivable from the retrieved context; (2) safety-critical language is not filtered; (3) users cannot distinguish evidence-backed claims from model-generated conjecture. This proposal addresses all three.</w:t>
      </w:r>
    </w:p>
    <w:p>
      <w:pPr>
        <w:pStyle w:val="Heading2"/>
        <w:jc w:val="left"/>
      </w:pPr>
      <w:r>
        <w:rPr>
          <w:rFonts w:ascii="Times New Roman" w:hAnsi="Times New Roman"/>
          <w:b/>
          <w:color w:val="000000"/>
          <w:sz w:val="28"/>
        </w:rPr>
        <w:t>1.2 Problem Statement</w:t>
      </w:r>
    </w:p>
    <w:p>
      <w:pPr>
        <w:spacing w:after="120" w:before="0"/>
        <w:jc w:val="both"/>
      </w:pPr>
      <w:r>
        <w:rPr>
          <w:rFonts w:ascii="Times New Roman" w:hAnsi="Times New Roman"/>
          <w:b w:val="0"/>
          <w:i w:val="0"/>
          <w:sz w:val="24"/>
        </w:rPr>
        <w:t>Despite the progress catalogued above, a clearly defined set of problems prevents current medical chatbots — including commercial systems such as ChatGPT and the research prototype Med-PaLM — from being safely deployed for public-facing medical information:</w:t>
      </w:r>
    </w:p>
    <w:p>
      <w:pPr>
        <w:pStyle w:val="ListBullet"/>
        <w:ind w:left="432"/>
      </w:pPr>
      <w:r>
        <w:rPr>
          <w:rFonts w:ascii="Times New Roman" w:hAnsi="Times New Roman"/>
          <w:b w:val="0"/>
          <w:i w:val="0"/>
          <w:sz w:val="24"/>
        </w:rPr>
        <w:t>Hallucinations due to missing grounding or outdated knowledge.</w:t>
      </w:r>
    </w:p>
    <w:p>
      <w:pPr>
        <w:pStyle w:val="ListBullet"/>
        <w:ind w:left="432"/>
      </w:pPr>
      <w:r>
        <w:rPr>
          <w:rFonts w:ascii="Times New Roman" w:hAnsi="Times New Roman"/>
          <w:b w:val="0"/>
          <w:i w:val="0"/>
          <w:sz w:val="24"/>
        </w:rPr>
        <w:t>Lack of transparency: answers do not cite clinical guidelines or specific sources.</w:t>
      </w:r>
    </w:p>
    <w:p>
      <w:pPr>
        <w:pStyle w:val="ListBullet"/>
        <w:ind w:left="432"/>
      </w:pPr>
      <w:r>
        <w:rPr>
          <w:rFonts w:ascii="Times New Roman" w:hAnsi="Times New Roman"/>
          <w:b w:val="0"/>
          <w:i w:val="0"/>
          <w:sz w:val="24"/>
        </w:rPr>
        <w:t>Poor explanation quality: rationale alignment scores remain low even on purpose-built benchmarks such as MedExQA (Kim et al., 2024).</w:t>
      </w:r>
    </w:p>
    <w:p>
      <w:pPr>
        <w:pStyle w:val="ListBullet"/>
        <w:ind w:left="432"/>
      </w:pPr>
      <w:r>
        <w:rPr>
          <w:rFonts w:ascii="Times New Roman" w:hAnsi="Times New Roman"/>
          <w:b w:val="0"/>
          <w:i w:val="0"/>
          <w:sz w:val="24"/>
        </w:rPr>
        <w:t>Safety concerns: documented over-testing and over-prescribing tendencies in LLMs (Liu et al., 2025).</w:t>
      </w:r>
    </w:p>
    <w:p>
      <w:pPr>
        <w:pStyle w:val="ListBullet"/>
        <w:ind w:left="432"/>
      </w:pPr>
      <w:r>
        <w:rPr>
          <w:rFonts w:ascii="Times New Roman" w:hAnsi="Times New Roman"/>
          <w:b w:val="0"/>
          <w:i w:val="0"/>
          <w:sz w:val="24"/>
        </w:rPr>
        <w:t>Bias propagation from pretraining corpora, particularly affecting underrepresented demographic groups.</w:t>
      </w:r>
    </w:p>
    <w:p>
      <w:pPr>
        <w:pStyle w:val="ListBullet"/>
        <w:ind w:left="432"/>
      </w:pPr>
      <w:r>
        <w:rPr>
          <w:rFonts w:ascii="Times New Roman" w:hAnsi="Times New Roman"/>
          <w:b w:val="0"/>
          <w:i w:val="0"/>
          <w:sz w:val="24"/>
        </w:rPr>
        <w:t>Limited handling of demographic context and personalised risk factors.</w:t>
      </w:r>
    </w:p>
    <w:p>
      <w:pPr>
        <w:pStyle w:val="ListBullet"/>
        <w:ind w:left="432"/>
      </w:pPr>
      <w:r>
        <w:rPr>
          <w:rFonts w:ascii="Times New Roman" w:hAnsi="Times New Roman"/>
          <w:b w:val="0"/>
          <w:i w:val="0"/>
          <w:sz w:val="24"/>
        </w:rPr>
        <w:t>Lack of self-monitoring or verification loops to catch errors before display.</w:t>
      </w:r>
    </w:p>
    <w:p>
      <w:pPr>
        <w:spacing w:after="120" w:before="0"/>
        <w:jc w:val="both"/>
      </w:pPr>
      <w:r>
        <w:rPr>
          <w:rFonts w:ascii="Times New Roman" w:hAnsi="Times New Roman"/>
          <w:b w:val="0"/>
          <w:i w:val="0"/>
          <w:sz w:val="24"/>
        </w:rPr>
        <w:t>Recent work on atomic fact-checking (Min et al., 2023; Guo et al., 2022) demonstrates that verifying claims individually dramatically reduces hallucinations in medical generation. However, none of the existing publicly available systems fully integrate: (1) self-evaluation for factual correctness, (2) counterfactual and contrastive explanations understandable to non-experts, (3) real-time grounding from multiple medical corpora, and (4) safety alignment with explicit compliance engineering. This proposal aims to bridge that gap.</w:t>
      </w:r>
    </w:p>
    <w:p>
      <w:pPr>
        <w:pStyle w:val="Heading2"/>
        <w:jc w:val="left"/>
      </w:pPr>
      <w:r>
        <w:rPr>
          <w:rFonts w:ascii="Times New Roman" w:hAnsi="Times New Roman"/>
          <w:b/>
          <w:color w:val="000000"/>
          <w:sz w:val="28"/>
        </w:rPr>
        <w:t>1.3 Research Gap and Automation Necessity</w:t>
      </w:r>
    </w:p>
    <w:p>
      <w:pPr>
        <w:spacing w:after="120" w:before="0"/>
        <w:jc w:val="both"/>
      </w:pPr>
      <w:r>
        <w:rPr>
          <w:rFonts w:ascii="Times New Roman" w:hAnsi="Times New Roman"/>
          <w:b w:val="0"/>
          <w:i w:val="0"/>
          <w:sz w:val="24"/>
        </w:rPr>
        <w:t>The necessity of automation in addressing these problems is not merely a convenience — it is a technical requirement. The volume of medical knowledge (over 35 million PubMed abstracts as of 2024; thousands of clinical guidelines updated annually across dozens of specialties) makes it impossible for any individual or team to manually curate and verify answers to the full diversity of patient questions. Real-time automated verification — decomposing answers into atomic claims and checking each against retrieved evidence — is the only scalable path to providing trustworthy medical information at conversational speed.</w:t>
      </w:r>
    </w:p>
    <w:p>
      <w:pPr>
        <w:spacing w:after="120" w:before="0"/>
        <w:jc w:val="both"/>
      </w:pPr>
      <w:r>
        <w:rPr>
          <w:rFonts w:ascii="Times New Roman" w:hAnsi="Times New Roman"/>
          <w:b w:val="0"/>
          <w:i w:val="0"/>
          <w:sz w:val="24"/>
        </w:rPr>
        <w:t>Systems that do not employ LLMs for medical QA face concrete, quantifiable disadvantages: rule-based systems fail on paraphrased queries and novel disease presentations; retrieval-only systems return relevant documents but do not synthesise answers or explain clinical reasoning; fine-tuned classifiers require retraining for every new disease or guideline update. Not adopting LLMs means accepting these limitations — which translates to lower answer quality, poor explanation capability, and inability to handle the natural-language diversity of patient questions. The engineering challenge is to harness LLM fluency while enforcing factual grounding and safety controls. This proposal defines that architecture.</w:t>
      </w:r>
    </w:p>
    <w:p>
      <w:r>
        <w:br w:type="page"/>
      </w:r>
    </w:p>
    <w:p>
      <w:pPr>
        <w:pStyle w:val="Heading1"/>
        <w:jc w:val="left"/>
      </w:pPr>
      <w:r>
        <w:rPr>
          <w:rFonts w:ascii="Times New Roman" w:hAnsi="Times New Roman"/>
          <w:b/>
          <w:color w:val="000000"/>
          <w:sz w:val="32"/>
        </w:rPr>
        <w:t>2. Literature Review</w:t>
      </w:r>
    </w:p>
    <w:p>
      <w:pPr>
        <w:spacing w:after="120" w:before="0"/>
        <w:jc w:val="both"/>
      </w:pPr>
      <w:r>
        <w:rPr>
          <w:rFonts w:ascii="Times New Roman" w:hAnsi="Times New Roman"/>
          <w:b w:val="0"/>
          <w:i w:val="0"/>
          <w:sz w:val="24"/>
        </w:rPr>
        <w:t>This section provides a critical review of the literature across medical RAG, hallucination mitigation, explainability, and EHR-based QA. Rather than a descriptive catalogue, the review identifies the precise capabilities and limitations of each approach and explains why the proposed combination — synchronous AFC + self-correction + live RAG — is not available in any existing system.</w:t>
      </w:r>
    </w:p>
    <w:p>
      <w:pPr>
        <w:pStyle w:val="Heading2"/>
        <w:jc w:val="left"/>
      </w:pPr>
      <w:r>
        <w:rPr>
          <w:rFonts w:ascii="Times New Roman" w:hAnsi="Times New Roman"/>
          <w:b/>
          <w:color w:val="000000"/>
          <w:sz w:val="28"/>
        </w:rPr>
        <w:t>2.1 Hybrid Retrieval and Source Planning</w:t>
      </w:r>
    </w:p>
    <w:p>
      <w:pPr>
        <w:spacing w:after="120" w:before="0"/>
        <w:jc w:val="both"/>
      </w:pPr>
      <w:r>
        <w:rPr>
          <w:rFonts w:ascii="Times New Roman" w:hAnsi="Times New Roman"/>
          <w:b w:val="0"/>
          <w:i w:val="0"/>
          <w:sz w:val="24"/>
        </w:rPr>
        <w:t>Hybrid retrieval systems combining sparse (BM25) and dense (semantic embedding) retrieval have become the dominant paradigm in open-domain biomedical QA. Xiong et al. (2024) showed in MIRAGE/MEDRAG that hybrid retrieval substantially outperforms either method alone on diverse medical benchmarks. Reciprocal Rank Fusion (RRF) merges ranked lists without requiring score calibration, making it robust across corpora of varying size and structure. Source Planning Optimisation (SPO) extends this by using a planner model to select which corpus or index to query first, reducing wasted retrieval on irrelevant sources.</w:t>
      </w:r>
    </w:p>
    <w:p>
      <w:pPr>
        <w:spacing w:after="120" w:before="0"/>
        <w:jc w:val="both"/>
      </w:pPr>
      <w:r>
        <w:rPr>
          <w:rFonts w:ascii="Times New Roman" w:hAnsi="Times New Roman"/>
          <w:b w:val="0"/>
          <w:i w:val="0"/>
          <w:sz w:val="24"/>
        </w:rPr>
        <w:t>Limitation: Hybrid retrieval improves precision and recall, but returns documents — not answers. Without a generation layer and verification step, retrieved documents still require expert interpretation. High retrieval recall does not prevent the generator from ignoring retrieved evidence and hallucinating instead.</w:t>
      </w:r>
    </w:p>
    <w:p>
      <w:pPr>
        <w:pStyle w:val="Heading2"/>
        <w:jc w:val="left"/>
      </w:pPr>
      <w:r>
        <w:rPr>
          <w:rFonts w:ascii="Times New Roman" w:hAnsi="Times New Roman"/>
          <w:b/>
          <w:color w:val="000000"/>
          <w:sz w:val="28"/>
        </w:rPr>
        <w:t>2.2 Knowledge Graph Grounding (KG-RAG)</w:t>
      </w:r>
    </w:p>
    <w:p>
      <w:pPr>
        <w:spacing w:after="120" w:before="0"/>
        <w:jc w:val="both"/>
      </w:pPr>
      <w:r>
        <w:rPr>
          <w:rFonts w:ascii="Times New Roman" w:hAnsi="Times New Roman"/>
          <w:b w:val="0"/>
          <w:i w:val="0"/>
          <w:sz w:val="24"/>
        </w:rPr>
        <w:t>Knowledge Graph integration enhances retrieval by expanding queries with semantically related concepts not present in the query text. SciSpacy (Neumann et al., 2019) identifies DISEASE and CHEMICAL entities in biomedical text. KG-RAG (Edge et al., 2024) and HyKGE (Jiang et al., 2024) demonstrate that KG-augmented retrieval substantially improves recall for multi-hop medical questions. MedGraphRAG (Chowdhury et al., 2025) adds multi-layer graph reasoning, improving accuracy by 5–10% on multi-hop QA. AMGRAG (Rezaei et al., 2025) builds dynamic KGs updated from PubMed, addressing knowledge staleness.</w:t>
      </w:r>
    </w:p>
    <w:p>
      <w:pPr>
        <w:spacing w:after="120" w:before="0"/>
        <w:jc w:val="both"/>
      </w:pPr>
      <w:r>
        <w:rPr>
          <w:rFonts w:ascii="Times New Roman" w:hAnsi="Times New Roman"/>
          <w:b w:val="0"/>
          <w:i w:val="0"/>
          <w:sz w:val="24"/>
        </w:rPr>
        <w:t>Limitation: Graph reasoning is powerful for multi-hop accuracy but is rarely used for self-evaluation or safety scoring. None of the published KG-RAG systems verifies whether individual claims in the generated answer are grounded in the retrieved KG triples.</w:t>
      </w:r>
    </w:p>
    <w:p>
      <w:pPr>
        <w:pStyle w:val="Heading2"/>
        <w:jc w:val="left"/>
      </w:pPr>
      <w:r>
        <w:rPr>
          <w:rFonts w:ascii="Times New Roman" w:hAnsi="Times New Roman"/>
          <w:b/>
          <w:color w:val="000000"/>
          <w:sz w:val="28"/>
        </w:rPr>
        <w:t>2.3 Reliability and Hallucination Mitigation</w:t>
      </w:r>
    </w:p>
    <w:p>
      <w:pPr>
        <w:spacing w:after="120" w:before="0"/>
        <w:jc w:val="both"/>
      </w:pPr>
      <w:r>
        <w:rPr>
          <w:rFonts w:ascii="Times New Roman" w:hAnsi="Times New Roman"/>
          <w:b w:val="0"/>
          <w:i w:val="0"/>
          <w:sz w:val="24"/>
        </w:rPr>
        <w:t>Atomic Fact Checking (AFC), pioneered by Min et al. (2023) and surveyed by Guo et al. (2022), decomposes answers into minimal verifiable claims and validates each against retrieved evidence. This is the most fine-grained hallucination detection approach: it produces per-claim verdicts (supported / unsupported / contradicted) with a traceable evidence source.</w:t>
      </w:r>
    </w:p>
    <w:p>
      <w:pPr>
        <w:spacing w:after="120" w:before="0"/>
        <w:jc w:val="both"/>
      </w:pPr>
      <w:r>
        <w:rPr>
          <w:rFonts w:ascii="Times New Roman" w:hAnsi="Times New Roman"/>
          <w:b w:val="0"/>
          <w:i w:val="0"/>
          <w:sz w:val="24"/>
        </w:rPr>
        <w:t>An important alternative is DeepRAG (Ji et al., 2025), which integrates hierarchical retrieval within the generation process — the model issues retrieval queries mid-generation to fill gaps in its evidence context. DeepRAG reduces hallucination by expanding coverage dynamically, while AFC reduces it by verifying after generation. These approaches are complementary: AFC is more auditable (every claim has a verdict) but adds post-hoc latency; DeepRAG reduces gaps during generation but produces no per-claim audit trail. This proposal adopts AFC as the primary verification approach because medical safety demands auditability — each claim must be traceable to a specific source — while DeepRAG's mid-generation retrieval is harder to audit and technically complex to implement robustly.</w:t>
      </w:r>
    </w:p>
    <w:p>
      <w:pPr>
        <w:spacing w:after="120" w:before="0"/>
        <w:jc w:val="both"/>
      </w:pPr>
      <w:r>
        <w:rPr>
          <w:rFonts w:ascii="Times New Roman" w:hAnsi="Times New Roman"/>
          <w:b w:val="0"/>
          <w:i w:val="0"/>
          <w:sz w:val="24"/>
        </w:rPr>
        <w:t>Process supervision (Lightman et al., 2023) and Self-Refine (Madaan et al., 2023) offer iterative correction: the model evaluates and revises its own outputs. Self-Refine, however, does not guarantee improvement — it may over-correct and produce shorter, more hedged answers with lower factuality. The proposed system addresses this by comparing factuality scores before and after correction, retaining the higher-scoring answer.</w:t>
      </w:r>
    </w:p>
    <w:p>
      <w:pPr>
        <w:pStyle w:val="Heading2"/>
        <w:jc w:val="left"/>
      </w:pPr>
      <w:r>
        <w:rPr>
          <w:rFonts w:ascii="Times New Roman" w:hAnsi="Times New Roman"/>
          <w:b/>
          <w:color w:val="000000"/>
          <w:sz w:val="28"/>
        </w:rPr>
        <w:t>2.4 Medical Explanation Quality</w:t>
      </w:r>
    </w:p>
    <w:p>
      <w:pPr>
        <w:spacing w:after="120" w:before="0"/>
        <w:jc w:val="both"/>
      </w:pPr>
      <w:r>
        <w:rPr>
          <w:rFonts w:ascii="Times New Roman" w:hAnsi="Times New Roman"/>
          <w:b w:val="0"/>
          <w:i w:val="0"/>
          <w:sz w:val="24"/>
        </w:rPr>
        <w:t>MedExQA (Kim et al., 2024) established that explanation quality is distinct from answer accuracy: a correct answer may have a poorly supported rationale. Counterfactual and Contrastive Explanations (CCEs) go beyond source citation to show how the answer would change if a key variable (age, dosage, comorbidity) were different — a more actionable form of explanation for lay users. Standard RAG explanations primarily highlight source documents, revealing correlation but not causation. The proposed explainability module addresses this gap through automated CCE generation using the retrieved KG and evidence.</w:t>
      </w:r>
    </w:p>
    <w:p>
      <w:pPr>
        <w:spacing w:after="120" w:before="0"/>
        <w:jc w:val="both"/>
      </w:pPr>
      <w:r>
        <w:rPr>
          <w:rFonts w:ascii="Times New Roman" w:hAnsi="Times New Roman"/>
          <w:b w:val="0"/>
          <w:i w:val="0"/>
          <w:sz w:val="24"/>
        </w:rPr>
        <w:t>Limitation addressed: No existing publicly available system combines multiple explanation types (source citation, counterfactual, contrastive) with biomedical grounding in a single conversational interface.</w:t>
      </w:r>
    </w:p>
    <w:p>
      <w:pPr>
        <w:pStyle w:val="Heading2"/>
        <w:jc w:val="left"/>
      </w:pPr>
      <w:r>
        <w:rPr>
          <w:rFonts w:ascii="Times New Roman" w:hAnsi="Times New Roman"/>
          <w:b/>
          <w:color w:val="000000"/>
          <w:sz w:val="28"/>
        </w:rPr>
        <w:t>2.5 Evidence-based Medical RAG</w:t>
      </w:r>
    </w:p>
    <w:p>
      <w:pPr>
        <w:spacing w:after="120" w:before="0"/>
        <w:jc w:val="both"/>
      </w:pPr>
      <w:r>
        <w:rPr>
          <w:rFonts w:ascii="Times New Roman" w:hAnsi="Times New Roman"/>
          <w:b w:val="0"/>
          <w:i w:val="0"/>
          <w:sz w:val="24"/>
        </w:rPr>
        <w:t>PubMedQA (Jin et al., 2019) and MedQuAD (Ben Abacha and Demner-Fushman, 2019) provide the core evaluation benchmarks for this proposal. MedSearch (Rivera et al., 2025) demonstrates that RAG improves accuracy by 3–13% and reduces clinician search time by 50%. RAGAS (Es et al., 2023) provides automated faithfulness and answer relevancy metrics, used here as live quality indicators. The Vladika et al. (2025) framework for improving reliability and explainability through chain-of-thought and AFC is closely aligned with this proposal's architecture.</w:t>
      </w:r>
    </w:p>
    <w:p>
      <w:pPr>
        <w:pStyle w:val="Heading2"/>
        <w:jc w:val="left"/>
      </w:pPr>
      <w:r>
        <w:rPr>
          <w:rFonts w:ascii="Times New Roman" w:hAnsi="Times New Roman"/>
          <w:b/>
          <w:color w:val="000000"/>
          <w:sz w:val="28"/>
        </w:rPr>
        <w:t>2.6 Graph-based and Multi-hop Reasoning</w:t>
      </w:r>
    </w:p>
    <w:p>
      <w:pPr>
        <w:spacing w:after="120" w:before="0"/>
        <w:jc w:val="both"/>
      </w:pPr>
      <w:r>
        <w:rPr>
          <w:rFonts w:ascii="Times New Roman" w:hAnsi="Times New Roman"/>
          <w:b w:val="0"/>
          <w:i w:val="0"/>
          <w:sz w:val="24"/>
        </w:rPr>
        <w:t>MedGraphRAG (Chowdhury et al., 2025), DeepRAG (Ji et al., 2025), HyKGE (Jiang et al., 2024), and AMGRAG (Rezaei et al., 2025) all show that graph-augmented retrieval improves accuracy on multi-hop questions requiring reasoning across multiple sources. The co-occurrence graph used in this proposal is a lightweight approximation: entities appearing in the same PubMed abstract are linked. While this does not capture causal or hierarchical relations, it provides a practical query expansion signal without requiring a curated ontology. Future work can replace this with UMLS-based structured KGs.</w:t>
      </w:r>
    </w:p>
    <w:p>
      <w:pPr>
        <w:pStyle w:val="Heading2"/>
        <w:jc w:val="left"/>
      </w:pPr>
      <w:r>
        <w:rPr>
          <w:rFonts w:ascii="Times New Roman" w:hAnsi="Times New Roman"/>
          <w:b/>
          <w:color w:val="000000"/>
          <w:sz w:val="28"/>
        </w:rPr>
        <w:t>2.7 EHR-based Medical QA (ArchEHR-QA)</w:t>
      </w:r>
    </w:p>
    <w:p>
      <w:pPr>
        <w:spacing w:after="120" w:before="0"/>
        <w:jc w:val="both"/>
      </w:pPr>
      <w:r>
        <w:rPr>
          <w:rFonts w:ascii="Times New Roman" w:hAnsi="Times New Roman"/>
          <w:b w:val="0"/>
          <w:i w:val="0"/>
          <w:sz w:val="24"/>
        </w:rPr>
        <w:t>ArchEHR-QA (Rao et al., 2024; Zemchyk et al., 2025) demonstrates that clinical EHR-based QA is significantly harder than biomedical literature QA. Clinical language is highly specialised; context is fragmented across individual note sentences rather than cohesive abstracts; and grounding requires identifying which sentences are actually relevant to the question. BioBERT and MiniLM sentence selection significantly influences relevance quality. Formatting constraints challenge all current LLMs. The proposal addresses this through a custom XML loader with relevance-filtered context construction and type-aware semantic retrieval.</w:t>
      </w:r>
    </w:p>
    <w:p>
      <w:pPr>
        <w:pStyle w:val="Heading2"/>
        <w:jc w:val="left"/>
      </w:pPr>
      <w:r>
        <w:rPr>
          <w:rFonts w:ascii="Times New Roman" w:hAnsi="Times New Roman"/>
          <w:b/>
          <w:color w:val="000000"/>
          <w:sz w:val="28"/>
        </w:rPr>
        <w:t>2.8 Critical Synthesis and Identified Gaps</w:t>
      </w:r>
    </w:p>
    <w:p>
      <w:pPr>
        <w:spacing w:after="120" w:before="0"/>
        <w:jc w:val="both"/>
      </w:pPr>
      <w:r>
        <w:rPr>
          <w:rFonts w:ascii="Times New Roman" w:hAnsi="Times New Roman"/>
          <w:b w:val="0"/>
          <w:i w:val="0"/>
          <w:sz w:val="24"/>
        </w:rPr>
        <w:t>A critical reading of the literature reveals a consistent pattern: individual components of the verification pipeline have been studied and optimised in isolation, but no published system combines them into a single reproducible, publicly available architecture. The specific gaps this proposal addresses are:</w:t>
      </w:r>
    </w:p>
    <w:p>
      <w:pPr>
        <w:pStyle w:val="ListBullet"/>
        <w:ind w:left="432"/>
      </w:pPr>
      <w:r>
        <w:rPr>
          <w:rFonts w:ascii="Times New Roman" w:hAnsi="Times New Roman"/>
          <w:b w:val="0"/>
          <w:i w:val="0"/>
          <w:sz w:val="24"/>
        </w:rPr>
        <w:t>No system combines synchronous AFC verification with explicit self-correction on both biomedical literature and clinical EHR datasets in a single pipeline. Existing AFC work (Min et al., 2023) is evaluated offline; existing self-correction work (Madaan et al., 2023) does not use AFC for the correction trigger.</w:t>
      </w:r>
    </w:p>
    <w:p>
      <w:pPr>
        <w:pStyle w:val="ListBullet"/>
        <w:ind w:left="432"/>
      </w:pPr>
      <w:r>
        <w:rPr>
          <w:rFonts w:ascii="Times New Roman" w:hAnsi="Times New Roman"/>
          <w:b w:val="0"/>
          <w:i w:val="0"/>
          <w:sz w:val="24"/>
        </w:rPr>
        <w:t>RAGAS evaluation is run offline as a batch pipeline in all published work. No prior system integrates asynchronous RAGAS scoring into a live conversational UI with polling-based metric display.</w:t>
      </w:r>
    </w:p>
    <w:p>
      <w:pPr>
        <w:pStyle w:val="ListBullet"/>
        <w:ind w:left="432"/>
      </w:pPr>
      <w:r>
        <w:rPr>
          <w:rFonts w:ascii="Times New Roman" w:hAnsi="Times New Roman"/>
          <w:b w:val="0"/>
          <w:i w:val="0"/>
          <w:sz w:val="24"/>
        </w:rPr>
        <w:t>Retrieval quality control via score threshold filtering is absent from all reviewed systems. Every published RAG system returns a fixed Top-k regardless of score distribution, forcing users to judge relevance manually.</w:t>
      </w:r>
    </w:p>
    <w:p>
      <w:pPr>
        <w:pStyle w:val="ListBullet"/>
        <w:ind w:left="432"/>
      </w:pPr>
      <w:r>
        <w:rPr>
          <w:rFonts w:ascii="Times New Roman" w:hAnsi="Times New Roman"/>
          <w:b w:val="0"/>
          <w:i w:val="0"/>
          <w:sz w:val="24"/>
        </w:rPr>
        <w:t>Explanation mechanisms rarely surface per-claim evidence linkage in real time. MedExQA evaluates explanation quality offline; no system shows per-claim verdicts as part of the conversational response.</w:t>
      </w:r>
    </w:p>
    <w:p>
      <w:pPr>
        <w:spacing w:after="120" w:before="0"/>
        <w:jc w:val="both"/>
      </w:pPr>
      <w:r>
        <w:rPr>
          <w:rFonts w:ascii="Times New Roman" w:hAnsi="Times New Roman"/>
          <w:b w:val="0"/>
          <w:i w:val="0"/>
          <w:sz w:val="24"/>
        </w:rPr>
        <w:t>The absence of any combined system reflects two structural barriers: (1) engineering complexity of synchronous verification with acceptable latency, addressed here via batched Claude Haiku calls and asynchronous RAGAS decoupling; and (2) lack of a unified multi-dataset adapter, addressed via the proposed normalised schema architecture.</w:t>
      </w:r>
    </w:p>
    <w:p>
      <w:pPr>
        <w:pStyle w:val="Heading2"/>
        <w:jc w:val="left"/>
      </w:pPr>
      <w:r>
        <w:rPr>
          <w:rFonts w:ascii="Times New Roman" w:hAnsi="Times New Roman"/>
          <w:b/>
          <w:color w:val="000000"/>
          <w:sz w:val="28"/>
        </w:rPr>
        <w:t>2.9 Comparative Analysis: Commercial and Academic Systems</w:t>
      </w:r>
    </w:p>
    <w:p>
      <w:pPr>
        <w:spacing w:before="160"/>
      </w:pPr>
      <w:r>
        <w:rPr>
          <w:rFonts w:ascii="Times New Roman" w:hAnsi="Times New Roman"/>
          <w:b/>
          <w:i w:val="0"/>
          <w:sz w:val="22"/>
        </w:rPr>
        <w:t>Table 3: Comparison of Commercial and Academic Medical QA Systems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shd w:val="clear" w:color="auto" w:fill="D9E1F2"/>
          </w:tcPr>
          <w:p>
            <w:r>
              <w:rPr>
                <w:rFonts w:ascii="Times New Roman" w:hAnsi="Times New Roman"/>
                <w:b/>
                <w:sz w:val="20"/>
              </w:rPr>
              <w:t>System</w:t>
            </w:r>
          </w:p>
        </w:tc>
        <w:tc>
          <w:tcPr>
            <w:tcW w:type="dxa" w:w="1500"/>
            <w:shd w:val="clear" w:color="auto" w:fill="D9E1F2"/>
          </w:tcPr>
          <w:p>
            <w:r>
              <w:rPr>
                <w:rFonts w:ascii="Times New Roman" w:hAnsi="Times New Roman"/>
                <w:b/>
                <w:sz w:val="20"/>
              </w:rPr>
              <w:t>Retrieval</w:t>
            </w:r>
          </w:p>
        </w:tc>
        <w:tc>
          <w:tcPr>
            <w:tcW w:type="dxa" w:w="1500"/>
            <w:shd w:val="clear" w:color="auto" w:fill="D9E1F2"/>
          </w:tcPr>
          <w:p>
            <w:r>
              <w:rPr>
                <w:rFonts w:ascii="Times New Roman" w:hAnsi="Times New Roman"/>
                <w:b/>
                <w:sz w:val="20"/>
              </w:rPr>
              <w:t>Fact Verification</w:t>
            </w:r>
          </w:p>
        </w:tc>
        <w:tc>
          <w:tcPr>
            <w:tcW w:type="dxa" w:w="1500"/>
            <w:shd w:val="clear" w:color="auto" w:fill="D9E1F2"/>
          </w:tcPr>
          <w:p>
            <w:r>
              <w:rPr>
                <w:rFonts w:ascii="Times New Roman" w:hAnsi="Times New Roman"/>
                <w:b/>
                <w:sz w:val="20"/>
              </w:rPr>
              <w:t>Safety Layer</w:t>
            </w:r>
          </w:p>
        </w:tc>
        <w:tc>
          <w:tcPr>
            <w:tcW w:type="dxa" w:w="1500"/>
            <w:shd w:val="clear" w:color="auto" w:fill="D9E1F2"/>
          </w:tcPr>
          <w:p>
            <w:r>
              <w:rPr>
                <w:rFonts w:ascii="Times New Roman" w:hAnsi="Times New Roman"/>
                <w:b/>
                <w:sz w:val="20"/>
              </w:rPr>
              <w:t>Explainability</w:t>
            </w:r>
          </w:p>
        </w:tc>
        <w:tc>
          <w:tcPr>
            <w:tcW w:type="dxa" w:w="1500"/>
            <w:shd w:val="clear" w:color="auto" w:fill="D9E1F2"/>
          </w:tcPr>
          <w:p>
            <w:r>
              <w:rPr>
                <w:rFonts w:ascii="Times New Roman" w:hAnsi="Times New Roman"/>
                <w:b/>
                <w:sz w:val="20"/>
              </w:rPr>
              <w:t>Key Limitation</w:t>
            </w:r>
          </w:p>
        </w:tc>
      </w:tr>
      <w:tr>
        <w:tc>
          <w:tcPr>
            <w:tcW w:type="dxa" w:w="1500"/>
          </w:tcPr>
          <w:p>
            <w:r>
              <w:rPr>
                <w:rFonts w:ascii="Times New Roman" w:hAnsi="Times New Roman"/>
                <w:sz w:val="20"/>
              </w:rPr>
              <w:t>ChatGPT (GPT-4)</w:t>
            </w:r>
          </w:p>
        </w:tc>
        <w:tc>
          <w:tcPr>
            <w:tcW w:type="dxa" w:w="1500"/>
          </w:tcPr>
          <w:p>
            <w:r>
              <w:rPr>
                <w:rFonts w:ascii="Times New Roman" w:hAnsi="Times New Roman"/>
                <w:sz w:val="20"/>
              </w:rPr>
              <w:t>None (parametric)</w:t>
            </w:r>
          </w:p>
        </w:tc>
        <w:tc>
          <w:tcPr>
            <w:tcW w:type="dxa" w:w="1500"/>
          </w:tcPr>
          <w:p>
            <w:r>
              <w:rPr>
                <w:rFonts w:ascii="Times New Roman" w:hAnsi="Times New Roman"/>
                <w:sz w:val="20"/>
              </w:rPr>
              <w:t>None</w:t>
            </w:r>
          </w:p>
        </w:tc>
        <w:tc>
          <w:tcPr>
            <w:tcW w:type="dxa" w:w="1500"/>
          </w:tcPr>
          <w:p>
            <w:r>
              <w:rPr>
                <w:rFonts w:ascii="Times New Roman" w:hAnsi="Times New Roman"/>
                <w:sz w:val="20"/>
              </w:rPr>
              <w:t>Refusal only</w:t>
            </w:r>
          </w:p>
        </w:tc>
        <w:tc>
          <w:tcPr>
            <w:tcW w:type="dxa" w:w="1500"/>
          </w:tcPr>
          <w:p>
            <w:r>
              <w:rPr>
                <w:rFonts w:ascii="Times New Roman" w:hAnsi="Times New Roman"/>
                <w:sz w:val="20"/>
              </w:rPr>
              <w:t>None</w:t>
            </w:r>
          </w:p>
        </w:tc>
        <w:tc>
          <w:tcPr>
            <w:tcW w:type="dxa" w:w="1500"/>
          </w:tcPr>
          <w:p>
            <w:r>
              <w:rPr>
                <w:rFonts w:ascii="Times New Roman" w:hAnsi="Times New Roman"/>
                <w:sz w:val="20"/>
              </w:rPr>
              <w:t>Hallucination; no citations</w:t>
            </w:r>
          </w:p>
        </w:tc>
      </w:tr>
      <w:tr>
        <w:tc>
          <w:tcPr>
            <w:tcW w:type="dxa" w:w="1500"/>
          </w:tcPr>
          <w:p>
            <w:r>
              <w:rPr>
                <w:rFonts w:ascii="Times New Roman" w:hAnsi="Times New Roman"/>
                <w:sz w:val="20"/>
              </w:rPr>
              <w:t>Med-PaLM 2</w:t>
            </w:r>
          </w:p>
        </w:tc>
        <w:tc>
          <w:tcPr>
            <w:tcW w:type="dxa" w:w="1500"/>
          </w:tcPr>
          <w:p>
            <w:r>
              <w:rPr>
                <w:rFonts w:ascii="Times New Roman" w:hAnsi="Times New Roman"/>
                <w:sz w:val="20"/>
              </w:rPr>
              <w:t>Optional RAG</w:t>
            </w:r>
          </w:p>
        </w:tc>
        <w:tc>
          <w:tcPr>
            <w:tcW w:type="dxa" w:w="1500"/>
          </w:tcPr>
          <w:p>
            <w:r>
              <w:rPr>
                <w:rFonts w:ascii="Times New Roman" w:hAnsi="Times New Roman"/>
                <w:sz w:val="20"/>
              </w:rPr>
              <w:t>None</w:t>
            </w:r>
          </w:p>
        </w:tc>
        <w:tc>
          <w:tcPr>
            <w:tcW w:type="dxa" w:w="1500"/>
          </w:tcPr>
          <w:p>
            <w:r>
              <w:rPr>
                <w:rFonts w:ascii="Times New Roman" w:hAnsi="Times New Roman"/>
                <w:sz w:val="20"/>
              </w:rPr>
              <w:t>Fine-tune</w:t>
            </w:r>
          </w:p>
        </w:tc>
        <w:tc>
          <w:tcPr>
            <w:tcW w:type="dxa" w:w="1500"/>
          </w:tcPr>
          <w:p>
            <w:r>
              <w:rPr>
                <w:rFonts w:ascii="Times New Roman" w:hAnsi="Times New Roman"/>
                <w:sz w:val="20"/>
              </w:rPr>
              <w:t>Limited</w:t>
            </w:r>
          </w:p>
        </w:tc>
        <w:tc>
          <w:tcPr>
            <w:tcW w:type="dxa" w:w="1500"/>
          </w:tcPr>
          <w:p>
            <w:r>
              <w:rPr>
                <w:rFonts w:ascii="Times New Roman" w:hAnsi="Times New Roman"/>
                <w:sz w:val="20"/>
              </w:rPr>
              <w:t>Not publicly reproducible; no per-claim audit</w:t>
            </w:r>
          </w:p>
        </w:tc>
      </w:tr>
      <w:tr>
        <w:tc>
          <w:tcPr>
            <w:tcW w:type="dxa" w:w="1500"/>
          </w:tcPr>
          <w:p>
            <w:r>
              <w:rPr>
                <w:rFonts w:ascii="Times New Roman" w:hAnsi="Times New Roman"/>
                <w:sz w:val="20"/>
              </w:rPr>
              <w:t>BioGPT (Microsoft)</w:t>
            </w:r>
          </w:p>
        </w:tc>
        <w:tc>
          <w:tcPr>
            <w:tcW w:type="dxa" w:w="1500"/>
          </w:tcPr>
          <w:p>
            <w:r>
              <w:rPr>
                <w:rFonts w:ascii="Times New Roman" w:hAnsi="Times New Roman"/>
                <w:sz w:val="20"/>
              </w:rPr>
              <w:t>Optional</w:t>
            </w:r>
          </w:p>
        </w:tc>
        <w:tc>
          <w:tcPr>
            <w:tcW w:type="dxa" w:w="1500"/>
          </w:tcPr>
          <w:p>
            <w:r>
              <w:rPr>
                <w:rFonts w:ascii="Times New Roman" w:hAnsi="Times New Roman"/>
                <w:sz w:val="20"/>
              </w:rPr>
              <w:t>None</w:t>
            </w:r>
          </w:p>
        </w:tc>
        <w:tc>
          <w:tcPr>
            <w:tcW w:type="dxa" w:w="1500"/>
          </w:tcPr>
          <w:p>
            <w:r>
              <w:rPr>
                <w:rFonts w:ascii="Times New Roman" w:hAnsi="Times New Roman"/>
                <w:sz w:val="20"/>
              </w:rPr>
              <w:t>None</w:t>
            </w:r>
          </w:p>
        </w:tc>
        <w:tc>
          <w:tcPr>
            <w:tcW w:type="dxa" w:w="1500"/>
          </w:tcPr>
          <w:p>
            <w:r>
              <w:rPr>
                <w:rFonts w:ascii="Times New Roman" w:hAnsi="Times New Roman"/>
                <w:sz w:val="20"/>
              </w:rPr>
              <w:t>None</w:t>
            </w:r>
          </w:p>
        </w:tc>
        <w:tc>
          <w:tcPr>
            <w:tcW w:type="dxa" w:w="1500"/>
          </w:tcPr>
          <w:p>
            <w:r>
              <w:rPr>
                <w:rFonts w:ascii="Times New Roman" w:hAnsi="Times New Roman"/>
                <w:sz w:val="20"/>
              </w:rPr>
              <w:t>Generation-only; no evidence linkage</w:t>
            </w:r>
          </w:p>
        </w:tc>
      </w:tr>
      <w:tr>
        <w:tc>
          <w:tcPr>
            <w:tcW w:type="dxa" w:w="1500"/>
          </w:tcPr>
          <w:p>
            <w:r>
              <w:rPr>
                <w:rFonts w:ascii="Times New Roman" w:hAnsi="Times New Roman"/>
                <w:sz w:val="20"/>
              </w:rPr>
              <w:t>Standard RAG (MIRAGE)</w:t>
            </w:r>
          </w:p>
        </w:tc>
        <w:tc>
          <w:tcPr>
            <w:tcW w:type="dxa" w:w="1500"/>
          </w:tcPr>
          <w:p>
            <w:r>
              <w:rPr>
                <w:rFonts w:ascii="Times New Roman" w:hAnsi="Times New Roman"/>
                <w:sz w:val="20"/>
              </w:rPr>
              <w:t>BM25/Dense</w:t>
            </w:r>
          </w:p>
        </w:tc>
        <w:tc>
          <w:tcPr>
            <w:tcW w:type="dxa" w:w="1500"/>
          </w:tcPr>
          <w:p>
            <w:r>
              <w:rPr>
                <w:rFonts w:ascii="Times New Roman" w:hAnsi="Times New Roman"/>
                <w:sz w:val="20"/>
              </w:rPr>
              <w:t>None</w:t>
            </w:r>
          </w:p>
        </w:tc>
        <w:tc>
          <w:tcPr>
            <w:tcW w:type="dxa" w:w="1500"/>
          </w:tcPr>
          <w:p>
            <w:r>
              <w:rPr>
                <w:rFonts w:ascii="Times New Roman" w:hAnsi="Times New Roman"/>
                <w:sz w:val="20"/>
              </w:rPr>
              <w:t>None</w:t>
            </w:r>
          </w:p>
        </w:tc>
        <w:tc>
          <w:tcPr>
            <w:tcW w:type="dxa" w:w="1500"/>
          </w:tcPr>
          <w:p>
            <w:r>
              <w:rPr>
                <w:rFonts w:ascii="Times New Roman" w:hAnsi="Times New Roman"/>
                <w:sz w:val="20"/>
              </w:rPr>
              <w:t>Source list</w:t>
            </w:r>
          </w:p>
        </w:tc>
        <w:tc>
          <w:tcPr>
            <w:tcW w:type="dxa" w:w="1500"/>
          </w:tcPr>
          <w:p>
            <w:r>
              <w:rPr>
                <w:rFonts w:ascii="Times New Roman" w:hAnsi="Times New Roman"/>
                <w:sz w:val="20"/>
              </w:rPr>
              <w:t>No claim-level verification</w:t>
            </w:r>
          </w:p>
        </w:tc>
      </w:tr>
      <w:tr>
        <w:tc>
          <w:tcPr>
            <w:tcW w:type="dxa" w:w="1500"/>
          </w:tcPr>
          <w:p>
            <w:r>
              <w:rPr>
                <w:rFonts w:ascii="Times New Roman" w:hAnsi="Times New Roman"/>
                <w:sz w:val="20"/>
              </w:rPr>
              <w:t>FActScoring (Min et al.)</w:t>
            </w:r>
          </w:p>
        </w:tc>
        <w:tc>
          <w:tcPr>
            <w:tcW w:type="dxa" w:w="1500"/>
          </w:tcPr>
          <w:p>
            <w:r>
              <w:rPr>
                <w:rFonts w:ascii="Times New Roman" w:hAnsi="Times New Roman"/>
                <w:sz w:val="20"/>
              </w:rPr>
              <w:t>External (offline)</w:t>
            </w:r>
          </w:p>
        </w:tc>
        <w:tc>
          <w:tcPr>
            <w:tcW w:type="dxa" w:w="1500"/>
          </w:tcPr>
          <w:p>
            <w:r>
              <w:rPr>
                <w:rFonts w:ascii="Times New Roman" w:hAnsi="Times New Roman"/>
                <w:sz w:val="20"/>
              </w:rPr>
              <w:t>Atomic (offline)</w:t>
            </w:r>
          </w:p>
        </w:tc>
        <w:tc>
          <w:tcPr>
            <w:tcW w:type="dxa" w:w="1500"/>
          </w:tcPr>
          <w:p>
            <w:r>
              <w:rPr>
                <w:rFonts w:ascii="Times New Roman" w:hAnsi="Times New Roman"/>
                <w:sz w:val="20"/>
              </w:rPr>
              <w:t>None</w:t>
            </w:r>
          </w:p>
        </w:tc>
        <w:tc>
          <w:tcPr>
            <w:tcW w:type="dxa" w:w="1500"/>
          </w:tcPr>
          <w:p>
            <w:r>
              <w:rPr>
                <w:rFonts w:ascii="Times New Roman" w:hAnsi="Times New Roman"/>
                <w:sz w:val="20"/>
              </w:rPr>
              <w:t>Verdict per claim</w:t>
            </w:r>
          </w:p>
        </w:tc>
        <w:tc>
          <w:tcPr>
            <w:tcW w:type="dxa" w:w="1500"/>
          </w:tcPr>
          <w:p>
            <w:r>
              <w:rPr>
                <w:rFonts w:ascii="Times New Roman" w:hAnsi="Times New Roman"/>
                <w:sz w:val="20"/>
              </w:rPr>
              <w:t>Offline only; not in live UI</w:t>
            </w:r>
          </w:p>
        </w:tc>
      </w:tr>
      <w:tr>
        <w:tc>
          <w:tcPr>
            <w:tcW w:type="dxa" w:w="1500"/>
          </w:tcPr>
          <w:p>
            <w:r>
              <w:rPr>
                <w:rFonts w:ascii="Times New Roman" w:hAnsi="Times New Roman"/>
                <w:sz w:val="20"/>
              </w:rPr>
              <w:t>DeepRAG (Ji et al.)</w:t>
            </w:r>
          </w:p>
        </w:tc>
        <w:tc>
          <w:tcPr>
            <w:tcW w:type="dxa" w:w="1500"/>
          </w:tcPr>
          <w:p>
            <w:r>
              <w:rPr>
                <w:rFonts w:ascii="Times New Roman" w:hAnsi="Times New Roman"/>
                <w:sz w:val="20"/>
              </w:rPr>
              <w:t>Hierarchical (dynamic)</w:t>
            </w:r>
          </w:p>
        </w:tc>
        <w:tc>
          <w:tcPr>
            <w:tcW w:type="dxa" w:w="1500"/>
          </w:tcPr>
          <w:p>
            <w:r>
              <w:rPr>
                <w:rFonts w:ascii="Times New Roman" w:hAnsi="Times New Roman"/>
                <w:sz w:val="20"/>
              </w:rPr>
              <w:t>None</w:t>
            </w:r>
          </w:p>
        </w:tc>
        <w:tc>
          <w:tcPr>
            <w:tcW w:type="dxa" w:w="1500"/>
          </w:tcPr>
          <w:p>
            <w:r>
              <w:rPr>
                <w:rFonts w:ascii="Times New Roman" w:hAnsi="Times New Roman"/>
                <w:sz w:val="20"/>
              </w:rPr>
              <w:t>None</w:t>
            </w:r>
          </w:p>
        </w:tc>
        <w:tc>
          <w:tcPr>
            <w:tcW w:type="dxa" w:w="1500"/>
          </w:tcPr>
          <w:p>
            <w:r>
              <w:rPr>
                <w:rFonts w:ascii="Times New Roman" w:hAnsi="Times New Roman"/>
                <w:sz w:val="20"/>
              </w:rPr>
              <w:t>None</w:t>
            </w:r>
          </w:p>
        </w:tc>
        <w:tc>
          <w:tcPr>
            <w:tcW w:type="dxa" w:w="1500"/>
          </w:tcPr>
          <w:p>
            <w:r>
              <w:rPr>
                <w:rFonts w:ascii="Times New Roman" w:hAnsi="Times New Roman"/>
                <w:sz w:val="20"/>
              </w:rPr>
              <w:t>No per-claim audit trail</w:t>
            </w:r>
          </w:p>
        </w:tc>
      </w:tr>
      <w:tr>
        <w:tc>
          <w:tcPr>
            <w:tcW w:type="dxa" w:w="1500"/>
          </w:tcPr>
          <w:p>
            <w:r>
              <w:rPr>
                <w:rFonts w:ascii="Times New Roman" w:hAnsi="Times New Roman"/>
                <w:sz w:val="20"/>
              </w:rPr>
              <w:t>Proposed: ArogyaSaathi</w:t>
            </w:r>
          </w:p>
        </w:tc>
        <w:tc>
          <w:tcPr>
            <w:tcW w:type="dxa" w:w="1500"/>
          </w:tcPr>
          <w:p>
            <w:r>
              <w:rPr>
                <w:rFonts w:ascii="Times New Roman" w:hAnsi="Times New Roman"/>
                <w:sz w:val="20"/>
              </w:rPr>
              <w:t>Hybrid BM25+Semantic</w:t>
            </w:r>
          </w:p>
        </w:tc>
        <w:tc>
          <w:tcPr>
            <w:tcW w:type="dxa" w:w="1500"/>
          </w:tcPr>
          <w:p>
            <w:r>
              <w:rPr>
                <w:rFonts w:ascii="Times New Roman" w:hAnsi="Times New Roman"/>
                <w:sz w:val="20"/>
              </w:rPr>
              <w:t>Atomic (synch.)</w:t>
            </w:r>
          </w:p>
        </w:tc>
        <w:tc>
          <w:tcPr>
            <w:tcW w:type="dxa" w:w="1500"/>
          </w:tcPr>
          <w:p>
            <w:r>
              <w:rPr>
                <w:rFonts w:ascii="Times New Roman" w:hAnsi="Times New Roman"/>
                <w:sz w:val="20"/>
              </w:rPr>
              <w:t>Pattern-based</w:t>
            </w:r>
          </w:p>
        </w:tc>
        <w:tc>
          <w:tcPr>
            <w:tcW w:type="dxa" w:w="1500"/>
          </w:tcPr>
          <w:p>
            <w:r>
              <w:rPr>
                <w:rFonts w:ascii="Times New Roman" w:hAnsi="Times New Roman"/>
                <w:sz w:val="20"/>
              </w:rPr>
              <w:t>Per-claim + CCE</w:t>
            </w:r>
          </w:p>
        </w:tc>
        <w:tc>
          <w:tcPr>
            <w:tcW w:type="dxa" w:w="1500"/>
          </w:tcPr>
          <w:p>
            <w:r>
              <w:rPr>
                <w:rFonts w:ascii="Times New Roman" w:hAnsi="Times New Roman"/>
                <w:sz w:val="20"/>
              </w:rPr>
              <w:t>Regex safety; small pilot samples</w:t>
            </w:r>
          </w:p>
        </w:tc>
      </w:tr>
    </w:tbl>
    <w:p/>
    <w:p>
      <w:pPr>
        <w:spacing w:after="120" w:before="0"/>
        <w:jc w:val="both"/>
      </w:pPr>
      <w:r>
        <w:rPr>
          <w:rFonts w:ascii="Times New Roman" w:hAnsi="Times New Roman"/>
          <w:b w:val="0"/>
          <w:i w:val="0"/>
          <w:sz w:val="24"/>
        </w:rPr>
        <w:t>ChatGPT and GPT-4 produce confident but incorrect medical advice when operating outside their training distribution (Kung et al., 2023). Without retrieval grounding, no mechanism exists to distinguish conjecture from evidence. Med-PaLM 2 (Singhal et al., 2023) adds retrieval and achieves physician-level accuracy on MultiMedQA, but is not publicly available and provides no claim-level audit trail. DeepRAG improves coverage during generation but lacks AFC-style per-claim transparency. This proposal fills the intersection: synchronous, auditable, per-claim verification with live UI integration.</w:t>
      </w:r>
    </w:p>
    <w:p>
      <w:r>
        <w:br w:type="page"/>
      </w:r>
    </w:p>
    <w:p>
      <w:pPr>
        <w:pStyle w:val="Heading1"/>
        <w:jc w:val="left"/>
      </w:pPr>
      <w:r>
        <w:rPr>
          <w:rFonts w:ascii="Times New Roman" w:hAnsi="Times New Roman"/>
          <w:b/>
          <w:color w:val="000000"/>
          <w:sz w:val="32"/>
        </w:rPr>
        <w:t>3. Research Questions</w:t>
      </w:r>
    </w:p>
    <w:p>
      <w:pPr>
        <w:spacing w:after="120" w:before="0"/>
        <w:jc w:val="both"/>
      </w:pPr>
      <w:r>
        <w:rPr>
          <w:rFonts w:ascii="Times New Roman" w:hAnsi="Times New Roman"/>
          <w:b w:val="0"/>
          <w:i w:val="0"/>
          <w:sz w:val="24"/>
        </w:rPr>
        <w:t>The study is guided by the following specific, measurable research questions:</w:t>
      </w:r>
    </w:p>
    <w:p>
      <w:pPr>
        <w:pStyle w:val="ListNumber"/>
      </w:pPr>
      <w:r>
        <w:rPr>
          <w:rFonts w:ascii="Times New Roman" w:hAnsi="Times New Roman"/>
          <w:b w:val="0"/>
          <w:i w:val="0"/>
          <w:sz w:val="24"/>
        </w:rPr>
        <w:t>Architecture and Factuality: How effectively does the proposed two-layer RAG architecture incorporating synchronous atomic fact-checking reduce hallucination compared to standard single-layer RAG baselines on PubMedQA and MedQuAD benchmarks?</w:t>
      </w:r>
    </w:p>
    <w:p>
      <w:pPr>
        <w:pStyle w:val="ListNumber"/>
      </w:pPr>
      <w:r>
        <w:rPr>
          <w:rFonts w:ascii="Times New Roman" w:hAnsi="Times New Roman"/>
          <w:b w:val="0"/>
          <w:i w:val="0"/>
          <w:sz w:val="24"/>
        </w:rPr>
        <w:t>Explainability and Trust: Can evidence-linked rationales and counterfactual/contrastive explanations (CCEs) significantly enhance causal coherence while maintaining acceptable answer latency for non-expert users?</w:t>
      </w:r>
    </w:p>
    <w:p>
      <w:pPr>
        <w:pStyle w:val="ListNumber"/>
      </w:pPr>
      <w:r>
        <w:rPr>
          <w:rFonts w:ascii="Times New Roman" w:hAnsi="Times New Roman"/>
          <w:b w:val="0"/>
          <w:i w:val="0"/>
          <w:sz w:val="24"/>
        </w:rPr>
        <w:t>Self-evaluation and Correction: How effectively can a factuality-triggered self-correction loop improve answer quality on both biomedical literature and clinical EHR question answering, as measured by atomic factuality score improvement post-correction?</w:t>
      </w:r>
    </w:p>
    <w:p>
      <w:pPr>
        <w:pStyle w:val="ListNumber"/>
      </w:pPr>
      <w:r>
        <w:rPr>
          <w:rFonts w:ascii="Times New Roman" w:hAnsi="Times New Roman"/>
          <w:b w:val="0"/>
          <w:i w:val="0"/>
          <w:sz w:val="24"/>
        </w:rPr>
        <w:t>Data Curation and Knowledge Base: What retrieval and evidence-selection strategies best balance accuracy, explanation quality, and latency across PubMedQA, MedQuAD, and ArchEHR-QA?</w:t>
      </w:r>
    </w:p>
    <w:p>
      <w:pPr>
        <w:pStyle w:val="ListNumber"/>
      </w:pPr>
      <w:r>
        <w:rPr>
          <w:rFonts w:ascii="Times New Roman" w:hAnsi="Times New Roman"/>
          <w:b w:val="0"/>
          <w:i w:val="0"/>
          <w:sz w:val="24"/>
        </w:rPr>
        <w:t>Safety and Regulatory Compliance: What architectural safeguards maintain safe outputs across emergency, diagnosis, and prescription safety categories, and how can HIPAA/GDPR compliance be engineered as a structural property of the system rather than a post-hoc constraint?</w:t>
      </w:r>
    </w:p>
    <w:p>
      <w:r>
        <w:br w:type="page"/>
      </w:r>
    </w:p>
    <w:p>
      <w:pPr>
        <w:pStyle w:val="Heading1"/>
        <w:jc w:val="left"/>
      </w:pPr>
      <w:r>
        <w:rPr>
          <w:rFonts w:ascii="Times New Roman" w:hAnsi="Times New Roman"/>
          <w:b/>
          <w:color w:val="000000"/>
          <w:sz w:val="32"/>
        </w:rPr>
        <w:t>4. Aims and Objectives</w:t>
      </w:r>
    </w:p>
    <w:p>
      <w:pPr>
        <w:spacing w:after="120" w:before="0"/>
        <w:jc w:val="both"/>
      </w:pPr>
      <w:r>
        <w:rPr>
          <w:rFonts w:ascii="Times New Roman" w:hAnsi="Times New Roman"/>
          <w:b w:val="0"/>
          <w:i w:val="0"/>
          <w:sz w:val="24"/>
        </w:rPr>
        <w:t>Aim: To develop and validate a computationally efficient, trustworthy Generative AI medical chatbot (ArogyaSaathi) that delivers medically accurate, explainable, and safety-compliant answers grounded in validated biomedical and clinical sources, using a synchronous self-monitoring RAG architecture.</w:t>
      </w:r>
    </w:p>
    <w:p>
      <w:pPr>
        <w:spacing w:after="120" w:before="0"/>
        <w:jc w:val="both"/>
      </w:pPr>
      <w:r>
        <w:rPr>
          <w:rFonts w:ascii="Times New Roman" w:hAnsi="Times New Roman"/>
          <w:b w:val="0"/>
          <w:i w:val="0"/>
          <w:sz w:val="24"/>
        </w:rPr>
        <w:t>Minimum Viable Product (MVP): The MVP is defined as a system that: (a) accepts a free-text medical question; (b) retrieves evidence from at least one supported dataset using BM25; (c) generates an answer via an instruction-tuned LLM; (d) verifies the answer for safety patterns and atomic factuality before display; and (e) presents the answer with inline source citations in a functional Streamlit interface. All components beyond this baseline — KG expansion, cross-encoder reranking, hybrid retrieval, asynchronous RAGAS scoring, CCE generation, and multi-dataset support — are enhancements to the MVP.</w:t>
      </w:r>
    </w:p>
    <w:p>
      <w:pPr>
        <w:pStyle w:val="ListNumber"/>
      </w:pPr>
      <w:r>
        <w:rPr>
          <w:rFonts w:ascii="Times New Roman" w:hAnsi="Times New Roman"/>
          <w:b w:val="0"/>
          <w:i w:val="0"/>
          <w:sz w:val="24"/>
        </w:rPr>
        <w:t>Objective 1 — Knowledge Base Construction and Federated Retrieval: Construct a robust hybrid RAG knowledge base integrating PubMedQA (BM25), MedQuAD (Hybrid/RRF), and ArchEHR-QA (Semantic) with multi-dataset normalisation via a unified adapter, and implement simultaneous federated retrieval across all three sources using Reciprocal Rank Fusion (RRF) so that every user query is answered from the most relevant source regardless of which knowledge base it resides in. Evaluation measure: successful federated index build and retrieval on all three datasets; Recall@10 &gt; 0.90 on PubMedQA (measured in retrieval evaluation).</w:t>
      </w:r>
    </w:p>
    <w:p>
      <w:pPr>
        <w:pStyle w:val="ListNumber"/>
      </w:pPr>
      <w:r>
        <w:rPr>
          <w:rFonts w:ascii="Times New Roman" w:hAnsi="Times New Roman"/>
          <w:b w:val="0"/>
          <w:i w:val="0"/>
          <w:sz w:val="24"/>
        </w:rPr>
        <w:t>Objective 2 — Synchronous Verification Pipeline: Design and implement a pipeline that executes safety checking and atomic fact verification synchronously, blocking answer display until all checks complete. Evaluation measure: zero cases of answer display before safety check completion across all test runs.</w:t>
      </w:r>
    </w:p>
    <w:p>
      <w:pPr>
        <w:pStyle w:val="ListNumber"/>
      </w:pPr>
      <w:r>
        <w:rPr>
          <w:rFonts w:ascii="Times New Roman" w:hAnsi="Times New Roman"/>
          <w:b w:val="0"/>
          <w:i w:val="0"/>
          <w:sz w:val="24"/>
        </w:rPr>
        <w:t>Objective 3 — Self-Evaluation and Fact-Checking Module: Implement an evaluator that performs atomic fact extraction (NLTK primary path; LLM secondary path for complex answers), evidence-based claim verification against retrieved chunks, and a factuality score calculated as n_supported / n_total_claims. Evaluation measure: factuality scores are monotonically correlated with human-assessed answer accuracy on a held-out validation set of 25 questions.</w:t>
      </w:r>
    </w:p>
    <w:p>
      <w:pPr>
        <w:pStyle w:val="ListNumber"/>
      </w:pPr>
      <w:r>
        <w:rPr>
          <w:rFonts w:ascii="Times New Roman" w:hAnsi="Times New Roman"/>
          <w:b w:val="0"/>
          <w:i w:val="0"/>
          <w:sz w:val="24"/>
        </w:rPr>
        <w:t>Objective 4 — Self-Correction Loop: Implement a factuality-triggered self-correction mechanism that issues a strict citation-required regeneration prompt when factuality falls below 0.5, retaining the higher-scoring answer. Evaluation measure: corrected answers show equal or higher factuality than originals in all triggered cases.</w:t>
      </w:r>
    </w:p>
    <w:p>
      <w:pPr>
        <w:pStyle w:val="ListNumber"/>
      </w:pPr>
      <w:r>
        <w:rPr>
          <w:rFonts w:ascii="Times New Roman" w:hAnsi="Times New Roman"/>
          <w:b w:val="0"/>
          <w:i w:val="0"/>
          <w:sz w:val="24"/>
        </w:rPr>
        <w:t>Objective 5 — Explainability Module: Implement evidence-linked rationales and, where retrieval supports it, counterfactual/contrastive explanations that identify critical input variables and their effect on the answer. Evaluation measure: CCE quality rated by blinded expert annotators using Adaptive Comparative Judgement (ACJ) pairwise comparison.</w:t>
      </w:r>
    </w:p>
    <w:p>
      <w:pPr>
        <w:pStyle w:val="ListNumber"/>
      </w:pPr>
      <w:r>
        <w:rPr>
          <w:rFonts w:ascii="Times New Roman" w:hAnsi="Times New Roman"/>
          <w:b w:val="0"/>
          <w:i w:val="0"/>
          <w:sz w:val="24"/>
        </w:rPr>
        <w:t>Objective 6 — Data Privacy Engineering: Implement regex-based PHI scrubbing on all user queries (utils/phi_scrub.py) before any text is passed to the retrieval index or external LLM API. The scrubber covers 11 HIPAA Safe Harbour identifier categories: SSN, phone, email, dates, ZIP codes, IP addresses, name-prefix patterns, MRNs, device IDs, URLs, and ages &gt; 89. Detected patterns are replaced with neutral placeholders ([PHONE], [DATE], etc.); the UI displays a notice when PHI is detected; app.log records only the scrubbed query text. The underlying datasets are pre-de-identified by their custodians. This constitutes a technical PHI scrubbing layer on the transmission path. Full HIPAA Business Associate Agreement and GDPR Data Protection Impact Assessment remain necessary before any clinical deployment.</w:t>
      </w:r>
    </w:p>
    <w:p>
      <w:pPr>
        <w:pStyle w:val="ListNumber"/>
      </w:pPr>
      <w:r>
        <w:rPr>
          <w:rFonts w:ascii="Times New Roman" w:hAnsi="Times New Roman"/>
          <w:b w:val="0"/>
          <w:i w:val="0"/>
          <w:sz w:val="24"/>
        </w:rPr>
        <w:t>Objective 7 — Quantitative Evaluation: Evaluate using RAGAS faithfulness, answer relevancy, atomic factuality, safety rate, and mean latency across PubMedQA (n=25), MedQuAD (n=25), and ArchEHR-QA (n=20) with stratified random sampling (seed=42), reporting results with appropriate confidence intervals given the sample sizes.</w:t>
      </w:r>
    </w:p>
    <w:p>
      <w:r>
        <w:br w:type="page"/>
      </w:r>
    </w:p>
    <w:p>
      <w:pPr>
        <w:pStyle w:val="Heading1"/>
        <w:jc w:val="left"/>
      </w:pPr>
      <w:r>
        <w:rPr>
          <w:rFonts w:ascii="Times New Roman" w:hAnsi="Times New Roman"/>
          <w:b/>
          <w:color w:val="000000"/>
          <w:sz w:val="32"/>
        </w:rPr>
        <w:t>5. Significance of the Study</w:t>
      </w:r>
    </w:p>
    <w:p>
      <w:pPr>
        <w:spacing w:after="120" w:before="0"/>
        <w:jc w:val="both"/>
      </w:pPr>
      <w:r>
        <w:rPr>
          <w:rFonts w:ascii="Times New Roman" w:hAnsi="Times New Roman"/>
          <w:b w:val="0"/>
          <w:i w:val="0"/>
          <w:sz w:val="24"/>
        </w:rPr>
        <w:t>This work addresses a pressing and well-documented need: safe and trustworthy communication of biomedical knowledge to the general public. Access to reliable medical information is a public health issue: misinformation contributes to delayed diagnoses, inappropriate self-medication, and vaccine hesitancy. The proposed system addresses this at the technical level through a verification-first architecture.</w:t>
      </w:r>
    </w:p>
    <w:p>
      <w:pPr>
        <w:spacing w:after="120" w:before="0"/>
        <w:jc w:val="both"/>
      </w:pPr>
      <w:r>
        <w:rPr>
          <w:rFonts w:ascii="Times New Roman" w:hAnsi="Times New Roman"/>
          <w:b w:val="0"/>
          <w:i w:val="0"/>
          <w:sz w:val="24"/>
        </w:rPr>
        <w:t>Academically, the project advances the state of the art in medical RAG by integrating synchronous atomic fact verification, factuality-triggered self-correction, asynchronous quality scoring, and multi-dataset support in a single reproducible system. Each of these components has been studied in isolation; no published work combines them.</w:t>
      </w:r>
    </w:p>
    <w:p>
      <w:pPr>
        <w:spacing w:after="120" w:before="0"/>
        <w:jc w:val="both"/>
      </w:pPr>
      <w:r>
        <w:rPr>
          <w:rFonts w:ascii="Times New Roman" w:hAnsi="Times New Roman"/>
          <w:b w:val="0"/>
          <w:i w:val="0"/>
          <w:sz w:val="24"/>
        </w:rPr>
        <w:t>From a Responsible AI perspective, the proposal operationalises emerging governance principles: transparency (per-claim evidence linkage), accountability (factuality scores visible to users), and privacy-by-design (PHI scrubbing of user queries as an engineering implementation, not a policy note). The system's utils/phi_scrub.py module scrubs 11 HIPAA Safe Harbour identifier categories from user input before any text is transmitted to external APIs. This aligns with WHO guidance on AI ethics for health (WHO, 2021), FDA AI/ML SaMD action plan (FDA, 2021), and IMDRF SaMD clinical evaluation framework (IMDRF, 2022). Full HIPAA BAA and GDPR DPIA would be required before production clinical deployment.</w:t>
      </w:r>
    </w:p>
    <w:p>
      <w:pPr>
        <w:spacing w:after="120" w:before="0"/>
        <w:jc w:val="both"/>
      </w:pPr>
      <w:r>
        <w:rPr>
          <w:rFonts w:ascii="Times New Roman" w:hAnsi="Times New Roman"/>
          <w:b w:val="0"/>
          <w:i w:val="0"/>
          <w:sz w:val="24"/>
        </w:rPr>
        <w:t>Practically, the system provides a reusable, open-source verification-first RAG framework that can be extended to other biomedical domains. The reusability claim is bounded: any dataset conforming to the four-field normalised schema (doc_id, question, context, q_type) can be loaded and indexed without code modification — demonstrated across three structurally distinct datasets.</w:t>
      </w:r>
    </w:p>
    <w:p>
      <w:pPr>
        <w:pStyle w:val="Heading1"/>
        <w:jc w:val="left"/>
      </w:pPr>
      <w:r>
        <w:rPr>
          <w:rFonts w:ascii="Times New Roman" w:hAnsi="Times New Roman"/>
          <w:b/>
          <w:color w:val="000000"/>
          <w:sz w:val="32"/>
        </w:rPr>
        <w:t>6. Scope of the Study</w:t>
      </w:r>
    </w:p>
    <w:p>
      <w:pPr>
        <w:spacing w:after="120" w:before="0"/>
        <w:jc w:val="both"/>
      </w:pPr>
      <w:r>
        <w:rPr>
          <w:rFonts w:ascii="Times New Roman" w:hAnsi="Times New Roman"/>
          <w:b w:val="0"/>
          <w:i w:val="0"/>
          <w:sz w:val="24"/>
        </w:rPr>
        <w:t>This study focuses on text-based medical question answering for general-health topics. The following boundaries define the scope:</w:t>
      </w:r>
    </w:p>
    <w:p>
      <w:pPr>
        <w:pStyle w:val="ListBullet"/>
        <w:ind w:left="432"/>
      </w:pPr>
      <w:r>
        <w:rPr>
          <w:rFonts w:ascii="Times New Roman" w:hAnsi="Times New Roman"/>
          <w:b w:val="0"/>
          <w:i w:val="0"/>
          <w:sz w:val="24"/>
        </w:rPr>
        <w:t>Datasets: PubMedQA (211k pairs), MedQuAD (47.4k pairs), and ArchEHR-QA (PhysioNet dev set). Results are not generalisable beyond these corpora without further validation.</w:t>
      </w:r>
    </w:p>
    <w:p>
      <w:pPr>
        <w:pStyle w:val="ListBullet"/>
        <w:ind w:left="432"/>
      </w:pPr>
      <w:r>
        <w:rPr>
          <w:rFonts w:ascii="Times New Roman" w:hAnsi="Times New Roman"/>
          <w:b w:val="0"/>
          <w:i w:val="0"/>
          <w:sz w:val="24"/>
        </w:rPr>
        <w:t>LLM backbone: An instruction-tuned LLM (LLaMA, Flan-T5, or equivalent) for generation; a smaller model (e.g., Claude Haiku) for atomic fact decomposition and verification. Performance may differ with other model families.</w:t>
      </w:r>
    </w:p>
    <w:p>
      <w:pPr>
        <w:pStyle w:val="ListBullet"/>
        <w:ind w:left="432"/>
      </w:pPr>
      <w:r>
        <w:rPr>
          <w:rFonts w:ascii="Times New Roman" w:hAnsi="Times New Roman"/>
          <w:b w:val="0"/>
          <w:i w:val="0"/>
          <w:sz w:val="24"/>
        </w:rPr>
        <w:t>Safety layer: Pattern-based safety checking has not been validated against clinical safety taxonomies; false positives and false negatives are expected and will be documented. The safety layer does not constitute a medical device or clinical decision support tool.</w:t>
      </w:r>
    </w:p>
    <w:p>
      <w:pPr>
        <w:pStyle w:val="ListBullet"/>
        <w:ind w:left="432"/>
      </w:pPr>
      <w:r>
        <w:rPr>
          <w:rFonts w:ascii="Times New Roman" w:hAnsi="Times New Roman"/>
          <w:b w:val="0"/>
          <w:i w:val="0"/>
          <w:sz w:val="24"/>
        </w:rPr>
        <w:t>Clinical validation: The system has not undergone clinical trial evaluation or regulatory review. Safety claims refer to the pattern-based detection layer only and should not be interpreted as clinical safety guarantees. Deployment in a real patient-facing setting would require regulatory review under IMDRF SaMD guidelines.</w:t>
      </w:r>
    </w:p>
    <w:p>
      <w:pPr>
        <w:pStyle w:val="ListBullet"/>
        <w:ind w:left="432"/>
      </w:pPr>
      <w:r>
        <w:rPr>
          <w:rFonts w:ascii="Times New Roman" w:hAnsi="Times New Roman"/>
          <w:b w:val="0"/>
          <w:i w:val="0"/>
          <w:sz w:val="24"/>
        </w:rPr>
        <w:t>Evaluation samples: Sample sizes (n=20–25) are constrained by API cost and PhysioNet access; statistical confidence intervals are reported and are appropriately wide at these sample sizes. The findings are sufficient for proof-of-concept validation of the architecture.</w:t>
      </w:r>
    </w:p>
    <w:p>
      <w:pPr>
        <w:pStyle w:val="ListBullet"/>
        <w:ind w:left="432"/>
      </w:pPr>
      <w:r>
        <w:rPr>
          <w:rFonts w:ascii="Times New Roman" w:hAnsi="Times New Roman"/>
          <w:b w:val="0"/>
          <w:i w:val="0"/>
          <w:sz w:val="24"/>
        </w:rPr>
        <w:t>Scope excludes: emergency medical decision-making, real-time clinical diagnosis, high-risk tasks requiring licensure, multimodal imaging, and conversational context across turns.</w:t>
      </w:r>
    </w:p>
    <w:p>
      <w:pPr>
        <w:spacing w:after="120" w:before="0"/>
        <w:jc w:val="both"/>
      </w:pPr>
      <w:r>
        <w:rPr>
          <w:rFonts w:ascii="Times New Roman" w:hAnsi="Times New Roman"/>
          <w:b w:val="0"/>
          <w:i w:val="0"/>
          <w:sz w:val="24"/>
        </w:rPr>
        <w:t>The 'reusable framework' claim is bounded: any dataset conforming to the four-field normalised schema (doc_id, question, context, q_type) can be loaded via the unified adapter and indexed by any of the three retrieval modes (BM25, Semantic, Hybrid) without code modification. This portability has been demonstrated across three structurally distinct datasets (biomedical literature QA, consumer health QA, clinical EHR notes). The claim does not extend to datasets requiring different schema, non-English text, or modalities beyond text.</w:t>
      </w:r>
    </w:p>
    <w:p>
      <w:r>
        <w:br w:type="page"/>
      </w:r>
    </w:p>
    <w:p>
      <w:pPr>
        <w:pStyle w:val="Heading1"/>
        <w:jc w:val="left"/>
      </w:pPr>
      <w:r>
        <w:rPr>
          <w:rFonts w:ascii="Times New Roman" w:hAnsi="Times New Roman"/>
          <w:b/>
          <w:color w:val="000000"/>
          <w:sz w:val="32"/>
        </w:rPr>
        <w:t>7. Research Methodology</w:t>
      </w:r>
    </w:p>
    <w:p>
      <w:pPr>
        <w:spacing w:after="120" w:before="0"/>
        <w:jc w:val="both"/>
      </w:pPr>
      <w:r>
        <w:rPr>
          <w:rFonts w:ascii="Times New Roman" w:hAnsi="Times New Roman"/>
          <w:b w:val="0"/>
          <w:i w:val="0"/>
          <w:sz w:val="24"/>
        </w:rPr>
        <w:t>The development of the proposed system is structured as an iterative, four-phase process centred on a novel two-layer architecture. The methodology follows a mixed-methods design: quantitative experiments for model performance and safety metrics, complemented by expert qualitative assessment of explanation quality. A pilot study on 10 questions per dataset will be conducted after Phase 2 to validate pipeline stability before full evaluation. Contingency plans are documented for each phase.</w:t>
      </w:r>
    </w:p>
    <w:p>
      <w:pPr>
        <w:pStyle w:val="Heading3"/>
        <w:jc w:val="left"/>
      </w:pPr>
      <w:r>
        <w:rPr>
          <w:rFonts w:ascii="Times New Roman" w:hAnsi="Times New Roman"/>
          <w:b/>
          <w:color w:val="000000"/>
          <w:sz w:val="24"/>
        </w:rPr>
        <w:t>7.1 Phase 1: Knowledge Ingestion and Hybrid Retrieval</w:t>
      </w:r>
    </w:p>
    <w:p>
      <w:pPr>
        <w:pStyle w:val="Heading4"/>
        <w:jc w:val="left"/>
      </w:pPr>
      <w:r>
        <w:rPr>
          <w:rFonts w:ascii="Times New Roman" w:hAnsi="Times New Roman"/>
          <w:b/>
          <w:color w:val="000000"/>
          <w:sz w:val="22"/>
        </w:rPr>
        <w:t>Data Curation and Knowledge Base Construction</w:t>
      </w:r>
    </w:p>
    <w:p>
      <w:pPr>
        <w:spacing w:after="120" w:before="0"/>
        <w:jc w:val="both"/>
      </w:pPr>
      <w:r>
        <w:rPr>
          <w:rFonts w:ascii="Times New Roman" w:hAnsi="Times New Roman"/>
          <w:b w:val="0"/>
          <w:i w:val="0"/>
          <w:sz w:val="24"/>
        </w:rPr>
        <w:t>The knowledge base must balance structured domain knowledge with vast unstructured research literature. This requires curating the corpora and integrating structural knowledge.</w:t>
      </w:r>
    </w:p>
    <w:p>
      <w:pPr>
        <w:pStyle w:val="ListBullet"/>
        <w:ind w:left="432"/>
      </w:pPr>
      <w:r>
        <w:rPr>
          <w:rFonts w:ascii="Times New Roman" w:hAnsi="Times New Roman"/>
          <w:b w:val="0"/>
          <w:i w:val="0"/>
          <w:sz w:val="24"/>
        </w:rPr>
        <w:t>Corpus Assembly and Preprocessing: Raw data (PubMed abstracts, MedQuAD Q&amp;A, and ArchEHR-QA clinical notes in XML format) is preprocessed into a normalised four-field schema (doc_id, question, context, q_type) via the unified dataset adapter.</w:t>
      </w:r>
    </w:p>
    <w:p>
      <w:pPr>
        <w:pStyle w:val="ListBullet"/>
        <w:ind w:left="432"/>
      </w:pPr>
      <w:r>
        <w:rPr>
          <w:rFonts w:ascii="Times New Roman" w:hAnsi="Times New Roman"/>
          <w:b w:val="0"/>
          <w:i w:val="0"/>
          <w:sz w:val="24"/>
        </w:rPr>
        <w:t>Graph Construction: The methodology adopts a Triple Graph Construction approach. Entities (diseases, medications, procedures) are extracted using SciSpacy; co-occurrence pairs from the same abstract are stored as triples. A document-frequency cap prevents generic terms from dominating query expansion.</w:t>
      </w:r>
    </w:p>
    <w:p>
      <w:pPr>
        <w:spacing w:after="120" w:before="0"/>
        <w:jc w:val="both"/>
      </w:pPr>
      <w:r>
        <w:rPr>
          <w:rFonts w:ascii="Times New Roman" w:hAnsi="Times New Roman"/>
          <w:b w:val="0"/>
          <w:i w:val="0"/>
          <w:sz w:val="24"/>
        </w:rPr>
        <w:t>Contingency: If UMLS licensing is unavailable, the co-occurrence graph from PubMedQA abstracts provides sufficient expansion signal for the biomedical domain.</w:t>
      </w:r>
    </w:p>
    <w:p>
      <w:pPr>
        <w:pStyle w:val="Heading4"/>
        <w:jc w:val="left"/>
      </w:pPr>
      <w:r>
        <w:rPr>
          <w:rFonts w:ascii="Times New Roman" w:hAnsi="Times New Roman"/>
          <w:b/>
          <w:color w:val="000000"/>
          <w:sz w:val="22"/>
        </w:rPr>
        <w:t>Hybrid Retrieval Engine Design</w:t>
      </w:r>
    </w:p>
    <w:p>
      <w:pPr>
        <w:pStyle w:val="ListBullet"/>
        <w:ind w:left="432"/>
      </w:pPr>
      <w:r>
        <w:rPr>
          <w:rFonts w:ascii="Times New Roman" w:hAnsi="Times New Roman"/>
          <w:b w:val="0"/>
          <w:i w:val="0"/>
          <w:sz w:val="24"/>
        </w:rPr>
        <w:t>Dual Indexing: Documents indexed into sparse (BM25) and dense (sentence-transformer embedding) stores, enabling RRF fusion.</w:t>
      </w:r>
    </w:p>
    <w:p>
      <w:pPr>
        <w:pStyle w:val="ListBullet"/>
        <w:ind w:left="432"/>
      </w:pPr>
      <w:r>
        <w:rPr>
          <w:rFonts w:ascii="Times New Roman" w:hAnsi="Times New Roman"/>
          <w:b w:val="0"/>
          <w:i w:val="0"/>
          <w:sz w:val="24"/>
        </w:rPr>
        <w:t>Reranking: A cross-encoder (ms-marco-MiniLM) reranks the BM25 candidate pool and applies sigmoid normalisation before threshold filtering.</w:t>
      </w:r>
    </w:p>
    <w:p>
      <w:pPr>
        <w:pStyle w:val="ListBullet"/>
        <w:ind w:left="432"/>
      </w:pPr>
      <w:r>
        <w:rPr>
          <w:rFonts w:ascii="Times New Roman" w:hAnsi="Times New Roman"/>
          <w:b w:val="0"/>
          <w:i w:val="0"/>
          <w:sz w:val="24"/>
        </w:rPr>
        <w:t>Federated Retrieval: A retrieve_federated() function simultaneously queries all three indexes, merges with RRF (k=60), normalises scores to [0,1], and returns the top 5 results with per-source dataset badges, replacing subjective Top-k selection.</w:t>
      </w:r>
    </w:p>
    <w:p>
      <w:pPr>
        <w:pStyle w:val="Heading3"/>
        <w:jc w:val="left"/>
      </w:pPr>
      <w:r>
        <w:rPr>
          <w:rFonts w:ascii="Times New Roman" w:hAnsi="Times New Roman"/>
          <w:b/>
          <w:color w:val="000000"/>
          <w:sz w:val="24"/>
        </w:rPr>
        <w:t>7.2 Phase 2: Two-Layer Generative Core (Safety and Correction)</w:t>
      </w:r>
    </w:p>
    <w:p>
      <w:pPr>
        <w:spacing w:after="120" w:before="0"/>
        <w:jc w:val="both"/>
      </w:pPr>
      <w:r>
        <w:rPr>
          <w:rFonts w:ascii="Times New Roman" w:hAnsi="Times New Roman"/>
          <w:b w:val="0"/>
          <w:i w:val="0"/>
          <w:sz w:val="24"/>
        </w:rPr>
        <w:t>This layer implements the self-monitoring capability.</w:t>
      </w:r>
    </w:p>
    <w:p>
      <w:pPr>
        <w:pStyle w:val="Heading4"/>
        <w:jc w:val="left"/>
      </w:pPr>
      <w:r>
        <w:rPr>
          <w:rFonts w:ascii="Times New Roman" w:hAnsi="Times New Roman"/>
          <w:b/>
          <w:color w:val="000000"/>
          <w:sz w:val="22"/>
        </w:rPr>
        <w:t>Generation Layer</w:t>
      </w:r>
    </w:p>
    <w:p>
      <w:pPr>
        <w:spacing w:after="120" w:before="0"/>
        <w:jc w:val="both"/>
      </w:pPr>
      <w:r>
        <w:rPr>
          <w:rFonts w:ascii="Times New Roman" w:hAnsi="Times New Roman"/>
          <w:b w:val="0"/>
          <w:i w:val="0"/>
          <w:sz w:val="24"/>
        </w:rPr>
        <w:t>An instruction-tuned LLM is conditioned on the question plus top-k retrieved chunks to produce an initial answer with inline citations. The generation prompt requires every claim to cite a specific retrieved source.</w:t>
      </w:r>
    </w:p>
    <w:p>
      <w:pPr>
        <w:pStyle w:val="Heading4"/>
        <w:jc w:val="left"/>
      </w:pPr>
      <w:r>
        <w:rPr>
          <w:rFonts w:ascii="Times New Roman" w:hAnsi="Times New Roman"/>
          <w:b/>
          <w:color w:val="000000"/>
          <w:sz w:val="22"/>
        </w:rPr>
        <w:t>Self-Evaluation and Fact-Checking Layer</w:t>
      </w:r>
    </w:p>
    <w:p>
      <w:pPr>
        <w:pStyle w:val="ListBullet"/>
        <w:ind w:left="432"/>
      </w:pPr>
      <w:r>
        <w:rPr>
          <w:rFonts w:ascii="Times New Roman" w:hAnsi="Times New Roman"/>
          <w:b w:val="0"/>
          <w:i w:val="0"/>
          <w:sz w:val="24"/>
        </w:rPr>
        <w:t>Fact Decomposition: Answers are parsed into minimal verifiable atomic facts using NLTK sentence tokenisation (primary path) or LLM decomposition (secondary path for complex answers).</w:t>
      </w:r>
    </w:p>
    <w:p>
      <w:pPr>
        <w:pStyle w:val="ListBullet"/>
        <w:ind w:left="432"/>
      </w:pPr>
      <w:r>
        <w:rPr>
          <w:rFonts w:ascii="Times New Roman" w:hAnsi="Times New Roman"/>
          <w:b w:val="0"/>
          <w:i w:val="0"/>
          <w:sz w:val="24"/>
        </w:rPr>
        <w:t>Evidence Verification: Each fact is verified against retrieved chunks using a batched LLM call that returns supported / unsupported / contradicted verdicts. Factuality score = n_supported / n_total.</w:t>
      </w:r>
    </w:p>
    <w:p>
      <w:pPr>
        <w:pStyle w:val="ListBullet"/>
        <w:ind w:left="432"/>
      </w:pPr>
      <w:r>
        <w:rPr>
          <w:rFonts w:ascii="Times New Roman" w:hAnsi="Times New Roman"/>
          <w:b w:val="0"/>
          <w:i w:val="0"/>
          <w:sz w:val="24"/>
        </w:rPr>
        <w:t>Iterative Correction: If factuality &lt; 0.5, a strict regeneration prompt requiring explicit citations is issued. The higher-scoring answer is retained to prevent over-correction.</w:t>
      </w:r>
    </w:p>
    <w:p>
      <w:pPr>
        <w:spacing w:after="120" w:before="0"/>
        <w:jc w:val="both"/>
      </w:pPr>
      <w:r>
        <w:rPr>
          <w:rFonts w:ascii="Times New Roman" w:hAnsi="Times New Roman"/>
          <w:b w:val="0"/>
          <w:i w:val="0"/>
          <w:sz w:val="24"/>
        </w:rPr>
        <w:t>Contingency: If the LLM API is unavailable during evaluation, a local Flan-T5-XL checkpoint can substitute for generation and fact verification with reduced latency.</w:t>
      </w:r>
    </w:p>
    <w:p>
      <w:pPr>
        <w:pStyle w:val="Heading3"/>
        <w:jc w:val="left"/>
      </w:pPr>
      <w:r>
        <w:rPr>
          <w:rFonts w:ascii="Times New Roman" w:hAnsi="Times New Roman"/>
          <w:b/>
          <w:color w:val="000000"/>
          <w:sz w:val="24"/>
        </w:rPr>
        <w:t>7.3 Phase 3: Explainability Module</w:t>
      </w:r>
    </w:p>
    <w:p>
      <w:pPr>
        <w:spacing w:after="120" w:before="0"/>
        <w:jc w:val="both"/>
      </w:pPr>
      <w:r>
        <w:rPr>
          <w:rFonts w:ascii="Times New Roman" w:hAnsi="Times New Roman"/>
          <w:b w:val="0"/>
          <w:i w:val="0"/>
          <w:sz w:val="24"/>
        </w:rPr>
        <w:t>The explainability module provides evidence-linked rationales. Advanced CCE generation clarifies causal reasoning for non-expert users.</w:t>
      </w:r>
    </w:p>
    <w:p>
      <w:pPr>
        <w:pStyle w:val="Heading4"/>
        <w:jc w:val="left"/>
      </w:pPr>
      <w:r>
        <w:rPr>
          <w:rFonts w:ascii="Times New Roman" w:hAnsi="Times New Roman"/>
          <w:b/>
          <w:color w:val="000000"/>
          <w:sz w:val="22"/>
        </w:rPr>
        <w:t>Counterfactual and Contrastive Explanations</w:t>
      </w:r>
    </w:p>
    <w:p>
      <w:pPr>
        <w:pStyle w:val="ListBullet"/>
        <w:ind w:left="432"/>
      </w:pPr>
      <w:r>
        <w:rPr>
          <w:rFonts w:ascii="Times New Roman" w:hAnsi="Times New Roman"/>
          <w:b w:val="0"/>
          <w:i w:val="0"/>
          <w:sz w:val="24"/>
        </w:rPr>
        <w:t>The system identifies critical input variables (age, symptom, dosage) in the question and answer, automatically perturbs them, and queries the KG for alternative outcomes.</w:t>
      </w:r>
    </w:p>
    <w:p>
      <w:pPr>
        <w:pStyle w:val="ListBullet"/>
        <w:ind w:left="432"/>
      </w:pPr>
      <w:r>
        <w:rPr>
          <w:rFonts w:ascii="Times New Roman" w:hAnsi="Times New Roman"/>
          <w:b w:val="0"/>
          <w:i w:val="0"/>
          <w:sz w:val="24"/>
        </w:rPr>
        <w:t>Counterfactual Explanation: 'If [variable] were [value], then [outcome would change to X] because [KG evidence].'</w:t>
      </w:r>
    </w:p>
    <w:p>
      <w:pPr>
        <w:pStyle w:val="ListBullet"/>
        <w:ind w:left="432"/>
      </w:pPr>
      <w:r>
        <w:rPr>
          <w:rFonts w:ascii="Times New Roman" w:hAnsi="Times New Roman"/>
          <w:b w:val="0"/>
          <w:i w:val="0"/>
          <w:sz w:val="24"/>
        </w:rPr>
        <w:t>Contrastive Explanation: 'Recommendation A is preferred over B because [evidence from retrieved context] supports A and [evidence] contradicts B.'</w:t>
      </w:r>
    </w:p>
    <w:p>
      <w:pPr>
        <w:pStyle w:val="Heading3"/>
        <w:jc w:val="left"/>
      </w:pPr>
      <w:r>
        <w:rPr>
          <w:rFonts w:ascii="Times New Roman" w:hAnsi="Times New Roman"/>
          <w:b/>
          <w:color w:val="000000"/>
          <w:sz w:val="24"/>
        </w:rPr>
        <w:t>7.4 Phase 4: Comprehensive Validation and Benchmarking</w:t>
      </w:r>
    </w:p>
    <w:p>
      <w:pPr>
        <w:spacing w:after="120" w:before="0"/>
        <w:jc w:val="both"/>
      </w:pPr>
      <w:r>
        <w:rPr>
          <w:rFonts w:ascii="Times New Roman" w:hAnsi="Times New Roman"/>
          <w:b w:val="0"/>
          <w:i w:val="0"/>
          <w:sz w:val="24"/>
        </w:rPr>
        <w:t>Validation is multi-dimensional. A pilot study on 10 questions per dataset is conducted first to detect systematic failures before full evaluation.</w:t>
      </w:r>
    </w:p>
    <w:p>
      <w:pPr>
        <w:pStyle w:val="Heading4"/>
        <w:jc w:val="left"/>
      </w:pPr>
      <w:r>
        <w:rPr>
          <w:rFonts w:ascii="Times New Roman" w:hAnsi="Times New Roman"/>
          <w:b/>
          <w:color w:val="000000"/>
          <w:sz w:val="22"/>
        </w:rPr>
        <w:t>Factual and Alignment Evaluation</w:t>
      </w:r>
    </w:p>
    <w:p>
      <w:pPr>
        <w:spacing w:after="120" w:before="0"/>
        <w:jc w:val="both"/>
      </w:pPr>
      <w:r>
        <w:rPr>
          <w:rFonts w:ascii="Times New Roman" w:hAnsi="Times New Roman"/>
          <w:b w:val="0"/>
          <w:i w:val="0"/>
          <w:sz w:val="24"/>
        </w:rPr>
        <w:t>RAGAS faithfulness (LLM-as-judge) and answer relevancy (embedding similarity) are computed asynchronously. Atomic factuality score (n_supported / n_total) quantifies the self-evaluation layer. Safety rate (fraction of safe answers) is reported per dataset.</w:t>
      </w:r>
    </w:p>
    <w:p>
      <w:pPr>
        <w:spacing w:before="160"/>
      </w:pPr>
      <w:r>
        <w:rPr>
          <w:rFonts w:ascii="Times New Roman" w:hAnsi="Times New Roman"/>
          <w:b/>
          <w:i w:val="0"/>
          <w:sz w:val="22"/>
        </w:rPr>
        <w:t>Table 2: Multi-Dimensional Evaluation Framework for Trustworthy Medical QA</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D9E1F2"/>
          </w:tcPr>
          <w:p>
            <w:r>
              <w:rPr>
                <w:rFonts w:ascii="Times New Roman" w:hAnsi="Times New Roman"/>
                <w:b/>
                <w:sz w:val="20"/>
              </w:rPr>
              <w:t>Dimension</w:t>
            </w:r>
          </w:p>
        </w:tc>
        <w:tc>
          <w:tcPr>
            <w:tcW w:type="dxa" w:w="2250"/>
            <w:shd w:val="clear" w:color="auto" w:fill="D9E1F2"/>
          </w:tcPr>
          <w:p>
            <w:r>
              <w:rPr>
                <w:rFonts w:ascii="Times New Roman" w:hAnsi="Times New Roman"/>
                <w:b/>
                <w:sz w:val="20"/>
              </w:rPr>
              <w:t>Metric</w:t>
            </w:r>
          </w:p>
        </w:tc>
        <w:tc>
          <w:tcPr>
            <w:tcW w:type="dxa" w:w="2250"/>
            <w:shd w:val="clear" w:color="auto" w:fill="D9E1F2"/>
          </w:tcPr>
          <w:p>
            <w:r>
              <w:rPr>
                <w:rFonts w:ascii="Times New Roman" w:hAnsi="Times New Roman"/>
                <w:b/>
                <w:sz w:val="20"/>
              </w:rPr>
              <w:t>Measure</w:t>
            </w:r>
          </w:p>
        </w:tc>
        <w:tc>
          <w:tcPr>
            <w:tcW w:type="dxa" w:w="2250"/>
            <w:shd w:val="clear" w:color="auto" w:fill="D9E1F2"/>
          </w:tcPr>
          <w:p>
            <w:r>
              <w:rPr>
                <w:rFonts w:ascii="Times New Roman" w:hAnsi="Times New Roman"/>
                <w:b/>
                <w:sz w:val="20"/>
              </w:rPr>
              <w:t>Tool</w:t>
            </w:r>
          </w:p>
        </w:tc>
      </w:tr>
      <w:tr>
        <w:tc>
          <w:tcPr>
            <w:tcW w:type="dxa" w:w="2250"/>
          </w:tcPr>
          <w:p>
            <w:r>
              <w:rPr>
                <w:rFonts w:ascii="Times New Roman" w:hAnsi="Times New Roman"/>
                <w:sz w:val="20"/>
              </w:rPr>
              <w:t>Factuality</w:t>
            </w:r>
          </w:p>
        </w:tc>
        <w:tc>
          <w:tcPr>
            <w:tcW w:type="dxa" w:w="2250"/>
          </w:tcPr>
          <w:p>
            <w:r>
              <w:rPr>
                <w:rFonts w:ascii="Times New Roman" w:hAnsi="Times New Roman"/>
                <w:sz w:val="20"/>
              </w:rPr>
              <w:t>RAGAS Faithfulness</w:t>
            </w:r>
          </w:p>
        </w:tc>
        <w:tc>
          <w:tcPr>
            <w:tcW w:type="dxa" w:w="2250"/>
          </w:tcPr>
          <w:p>
            <w:r>
              <w:rPr>
                <w:rFonts w:ascii="Times New Roman" w:hAnsi="Times New Roman"/>
                <w:sz w:val="20"/>
              </w:rPr>
              <w:t>Fraction of claims inferable from context</w:t>
            </w:r>
          </w:p>
        </w:tc>
        <w:tc>
          <w:tcPr>
            <w:tcW w:type="dxa" w:w="2250"/>
          </w:tcPr>
          <w:p>
            <w:r>
              <w:rPr>
                <w:rFonts w:ascii="Times New Roman" w:hAnsi="Times New Roman"/>
                <w:sz w:val="20"/>
              </w:rPr>
              <w:t>RAGAS 0.1.x</w:t>
            </w:r>
          </w:p>
        </w:tc>
      </w:tr>
      <w:tr>
        <w:tc>
          <w:tcPr>
            <w:tcW w:type="dxa" w:w="2250"/>
          </w:tcPr>
          <w:p>
            <w:r>
              <w:rPr>
                <w:rFonts w:ascii="Times New Roman" w:hAnsi="Times New Roman"/>
                <w:sz w:val="20"/>
              </w:rPr>
              <w:t>Relevance</w:t>
            </w:r>
          </w:p>
        </w:tc>
        <w:tc>
          <w:tcPr>
            <w:tcW w:type="dxa" w:w="2250"/>
          </w:tcPr>
          <w:p>
            <w:r>
              <w:rPr>
                <w:rFonts w:ascii="Times New Roman" w:hAnsi="Times New Roman"/>
                <w:sz w:val="20"/>
              </w:rPr>
              <w:t>G-Eval Answer Relevancy</w:t>
            </w:r>
          </w:p>
        </w:tc>
        <w:tc>
          <w:tcPr>
            <w:tcW w:type="dxa" w:w="2250"/>
          </w:tcPr>
          <w:p>
            <w:r>
              <w:rPr>
                <w:rFonts w:ascii="Times New Roman" w:hAnsi="Times New Roman"/>
                <w:sz w:val="20"/>
              </w:rPr>
              <w:t>LLM judge: does answer address question?</w:t>
            </w:r>
          </w:p>
        </w:tc>
        <w:tc>
          <w:tcPr>
            <w:tcW w:type="dxa" w:w="2250"/>
          </w:tcPr>
          <w:p>
            <w:r>
              <w:rPr>
                <w:rFonts w:ascii="Times New Roman" w:hAnsi="Times New Roman"/>
                <w:sz w:val="20"/>
              </w:rPr>
              <w:t>Claude Haiku 4.5</w:t>
            </w:r>
          </w:p>
        </w:tc>
      </w:tr>
      <w:tr>
        <w:tc>
          <w:tcPr>
            <w:tcW w:type="dxa" w:w="2250"/>
          </w:tcPr>
          <w:p>
            <w:r>
              <w:rPr>
                <w:rFonts w:ascii="Times New Roman" w:hAnsi="Times New Roman"/>
                <w:sz w:val="20"/>
              </w:rPr>
              <w:t>Hallucination</w:t>
            </w:r>
          </w:p>
        </w:tc>
        <w:tc>
          <w:tcPr>
            <w:tcW w:type="dxa" w:w="2250"/>
          </w:tcPr>
          <w:p>
            <w:r>
              <w:rPr>
                <w:rFonts w:ascii="Times New Roman" w:hAnsi="Times New Roman"/>
                <w:sz w:val="20"/>
              </w:rPr>
              <w:t>Atomic Fact Accuracy</w:t>
            </w:r>
          </w:p>
        </w:tc>
        <w:tc>
          <w:tcPr>
            <w:tcW w:type="dxa" w:w="2250"/>
          </w:tcPr>
          <w:p>
            <w:r>
              <w:rPr>
                <w:rFonts w:ascii="Times New Roman" w:hAnsi="Times New Roman"/>
                <w:sz w:val="20"/>
              </w:rPr>
              <w:t>n_supported / n_total claims</w:t>
            </w:r>
          </w:p>
        </w:tc>
        <w:tc>
          <w:tcPr>
            <w:tcW w:type="dxa" w:w="2250"/>
          </w:tcPr>
          <w:p>
            <w:r>
              <w:rPr>
                <w:rFonts w:ascii="Times New Roman" w:hAnsi="Times New Roman"/>
                <w:sz w:val="20"/>
              </w:rPr>
              <w:t>Claude Haiku AFC</w:t>
            </w:r>
          </w:p>
        </w:tc>
      </w:tr>
      <w:tr>
        <w:tc>
          <w:tcPr>
            <w:tcW w:type="dxa" w:w="2250"/>
          </w:tcPr>
          <w:p>
            <w:r>
              <w:rPr>
                <w:rFonts w:ascii="Times New Roman" w:hAnsi="Times New Roman"/>
                <w:sz w:val="20"/>
              </w:rPr>
              <w:t>Safety</w:t>
            </w:r>
          </w:p>
        </w:tc>
        <w:tc>
          <w:tcPr>
            <w:tcW w:type="dxa" w:w="2250"/>
          </w:tcPr>
          <w:p>
            <w:r>
              <w:rPr>
                <w:rFonts w:ascii="Times New Roman" w:hAnsi="Times New Roman"/>
                <w:sz w:val="20"/>
              </w:rPr>
              <w:t>Safety Rate</w:t>
            </w:r>
          </w:p>
        </w:tc>
        <w:tc>
          <w:tcPr>
            <w:tcW w:type="dxa" w:w="2250"/>
          </w:tcPr>
          <w:p>
            <w:r>
              <w:rPr>
                <w:rFonts w:ascii="Times New Roman" w:hAnsi="Times New Roman"/>
                <w:sz w:val="20"/>
              </w:rPr>
              <w:t>Fraction of safe answers</w:t>
            </w:r>
          </w:p>
        </w:tc>
        <w:tc>
          <w:tcPr>
            <w:tcW w:type="dxa" w:w="2250"/>
          </w:tcPr>
          <w:p>
            <w:r>
              <w:rPr>
                <w:rFonts w:ascii="Times New Roman" w:hAnsi="Times New Roman"/>
                <w:sz w:val="20"/>
              </w:rPr>
              <w:t>Regex patterns</w:t>
            </w:r>
          </w:p>
        </w:tc>
      </w:tr>
      <w:tr>
        <w:tc>
          <w:tcPr>
            <w:tcW w:type="dxa" w:w="2250"/>
          </w:tcPr>
          <w:p>
            <w:r>
              <w:rPr>
                <w:rFonts w:ascii="Times New Roman" w:hAnsi="Times New Roman"/>
                <w:sz w:val="20"/>
              </w:rPr>
              <w:t>Efficiency</w:t>
            </w:r>
          </w:p>
        </w:tc>
        <w:tc>
          <w:tcPr>
            <w:tcW w:type="dxa" w:w="2250"/>
          </w:tcPr>
          <w:p>
            <w:r>
              <w:rPr>
                <w:rFonts w:ascii="Times New Roman" w:hAnsi="Times New Roman"/>
                <w:sz w:val="20"/>
              </w:rPr>
              <w:t>Mean Latency</w:t>
            </w:r>
          </w:p>
        </w:tc>
        <w:tc>
          <w:tcPr>
            <w:tcW w:type="dxa" w:w="2250"/>
          </w:tcPr>
          <w:p>
            <w:r>
              <w:rPr>
                <w:rFonts w:ascii="Times New Roman" w:hAnsi="Times New Roman"/>
                <w:sz w:val="20"/>
              </w:rPr>
              <w:t>Core pipeline time (s)</w:t>
            </w:r>
          </w:p>
        </w:tc>
        <w:tc>
          <w:tcPr>
            <w:tcW w:type="dxa" w:w="2250"/>
          </w:tcPr>
          <w:p>
            <w:r>
              <w:rPr>
                <w:rFonts w:ascii="Times New Roman" w:hAnsi="Times New Roman"/>
                <w:sz w:val="20"/>
              </w:rPr>
              <w:t>time.perf_counter</w:t>
            </w:r>
          </w:p>
        </w:tc>
      </w:tr>
      <w:tr>
        <w:tc>
          <w:tcPr>
            <w:tcW w:type="dxa" w:w="2250"/>
          </w:tcPr>
          <w:p>
            <w:r>
              <w:rPr>
                <w:rFonts w:ascii="Times New Roman" w:hAnsi="Times New Roman"/>
                <w:sz w:val="20"/>
              </w:rPr>
              <w:t>Explainability</w:t>
            </w:r>
          </w:p>
        </w:tc>
        <w:tc>
          <w:tcPr>
            <w:tcW w:type="dxa" w:w="2250"/>
          </w:tcPr>
          <w:p>
            <w:r>
              <w:rPr>
                <w:rFonts w:ascii="Times New Roman" w:hAnsi="Times New Roman"/>
                <w:sz w:val="20"/>
              </w:rPr>
              <w:t>CCE ACJ Score</w:t>
            </w:r>
          </w:p>
        </w:tc>
        <w:tc>
          <w:tcPr>
            <w:tcW w:type="dxa" w:w="2250"/>
          </w:tcPr>
          <w:p>
            <w:r>
              <w:rPr>
                <w:rFonts w:ascii="Times New Roman" w:hAnsi="Times New Roman"/>
                <w:sz w:val="20"/>
              </w:rPr>
              <w:t>Pairwise expert preference</w:t>
            </w:r>
          </w:p>
        </w:tc>
        <w:tc>
          <w:tcPr>
            <w:tcW w:type="dxa" w:w="2250"/>
          </w:tcPr>
          <w:p>
            <w:r>
              <w:rPr>
                <w:rFonts w:ascii="Times New Roman" w:hAnsi="Times New Roman"/>
                <w:sz w:val="20"/>
              </w:rPr>
              <w:t>Expert annotators</w:t>
            </w:r>
          </w:p>
        </w:tc>
      </w:tr>
      <w:tr>
        <w:tc>
          <w:tcPr>
            <w:tcW w:type="dxa" w:w="2250"/>
          </w:tcPr>
          <w:p>
            <w:r>
              <w:rPr>
                <w:rFonts w:ascii="Times New Roman" w:hAnsi="Times New Roman"/>
                <w:sz w:val="20"/>
              </w:rPr>
              <w:t>Coverage</w:t>
            </w:r>
          </w:p>
        </w:tc>
        <w:tc>
          <w:tcPr>
            <w:tcW w:type="dxa" w:w="2250"/>
          </w:tcPr>
          <w:p>
            <w:r>
              <w:rPr>
                <w:rFonts w:ascii="Times New Roman" w:hAnsi="Times New Roman"/>
                <w:sz w:val="20"/>
              </w:rPr>
              <w:t>Recall@10</w:t>
            </w:r>
          </w:p>
        </w:tc>
        <w:tc>
          <w:tcPr>
            <w:tcW w:type="dxa" w:w="2250"/>
          </w:tcPr>
          <w:p>
            <w:r>
              <w:rPr>
                <w:rFonts w:ascii="Times New Roman" w:hAnsi="Times New Roman"/>
                <w:sz w:val="20"/>
              </w:rPr>
              <w:t>Relevant docs in top-10</w:t>
            </w:r>
          </w:p>
        </w:tc>
        <w:tc>
          <w:tcPr>
            <w:tcW w:type="dxa" w:w="2250"/>
          </w:tcPr>
          <w:p>
            <w:r>
              <w:rPr>
                <w:rFonts w:ascii="Times New Roman" w:hAnsi="Times New Roman"/>
                <w:sz w:val="20"/>
              </w:rPr>
              <w:t>Labelled subsets (PubMedQA measured: 0.975)</w:t>
            </w:r>
          </w:p>
        </w:tc>
      </w:tr>
    </w:tbl>
    <w:p/>
    <w:p>
      <w:r>
        <w:br w:type="page"/>
      </w:r>
    </w:p>
    <w:p>
      <w:pPr>
        <w:pStyle w:val="Heading1"/>
        <w:jc w:val="left"/>
      </w:pPr>
      <w:r>
        <w:rPr>
          <w:rFonts w:ascii="Times New Roman" w:hAnsi="Times New Roman"/>
          <w:b/>
          <w:color w:val="000000"/>
          <w:sz w:val="32"/>
        </w:rPr>
        <w:t>8. Requirements and Resources</w:t>
      </w:r>
    </w:p>
    <w:p>
      <w:pPr>
        <w:pStyle w:val="Heading3"/>
        <w:jc w:val="left"/>
      </w:pPr>
      <w:r>
        <w:rPr>
          <w:rFonts w:ascii="Times New Roman" w:hAnsi="Times New Roman"/>
          <w:b/>
          <w:color w:val="000000"/>
          <w:sz w:val="24"/>
        </w:rPr>
        <w:t>8.1 Software and Frameworks</w:t>
      </w:r>
    </w:p>
    <w:p>
      <w:pPr>
        <w:spacing w:before="160"/>
      </w:pPr>
      <w:r>
        <w:rPr>
          <w:rFonts w:ascii="Times New Roman" w:hAnsi="Times New Roman"/>
          <w:b/>
          <w:i w:val="0"/>
          <w:sz w:val="22"/>
        </w:rPr>
        <w:t>Table 4: Technology Stack and Software Requirements</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Category</w:t>
            </w:r>
          </w:p>
        </w:tc>
        <w:tc>
          <w:tcPr>
            <w:tcW w:type="dxa" w:w="3000"/>
            <w:shd w:val="clear" w:color="auto" w:fill="D9E1F2"/>
          </w:tcPr>
          <w:p>
            <w:r>
              <w:rPr>
                <w:rFonts w:ascii="Times New Roman" w:hAnsi="Times New Roman"/>
                <w:b/>
                <w:sz w:val="20"/>
              </w:rPr>
              <w:t>Tool / Version</w:t>
            </w:r>
          </w:p>
        </w:tc>
        <w:tc>
          <w:tcPr>
            <w:tcW w:type="dxa" w:w="3000"/>
            <w:shd w:val="clear" w:color="auto" w:fill="D9E1F2"/>
          </w:tcPr>
          <w:p>
            <w:r>
              <w:rPr>
                <w:rFonts w:ascii="Times New Roman" w:hAnsi="Times New Roman"/>
                <w:b/>
                <w:sz w:val="20"/>
              </w:rPr>
              <w:t>Purpose</w:t>
            </w:r>
          </w:p>
        </w:tc>
      </w:tr>
      <w:tr>
        <w:tc>
          <w:tcPr>
            <w:tcW w:type="dxa" w:w="3000"/>
          </w:tcPr>
          <w:p>
            <w:r>
              <w:rPr>
                <w:rFonts w:ascii="Times New Roman" w:hAnsi="Times New Roman"/>
                <w:sz w:val="20"/>
              </w:rPr>
              <w:t>Programming</w:t>
            </w:r>
          </w:p>
        </w:tc>
        <w:tc>
          <w:tcPr>
            <w:tcW w:type="dxa" w:w="3000"/>
          </w:tcPr>
          <w:p>
            <w:r>
              <w:rPr>
                <w:rFonts w:ascii="Times New Roman" w:hAnsi="Times New Roman"/>
                <w:sz w:val="20"/>
              </w:rPr>
              <w:t>Python 3.10+</w:t>
            </w:r>
          </w:p>
        </w:tc>
        <w:tc>
          <w:tcPr>
            <w:tcW w:type="dxa" w:w="3000"/>
          </w:tcPr>
          <w:p>
            <w:r>
              <w:rPr>
                <w:rFonts w:ascii="Times New Roman" w:hAnsi="Times New Roman"/>
                <w:sz w:val="20"/>
              </w:rPr>
              <w:t>Core language</w:t>
            </w:r>
          </w:p>
        </w:tc>
      </w:tr>
      <w:tr>
        <w:tc>
          <w:tcPr>
            <w:tcW w:type="dxa" w:w="3000"/>
          </w:tcPr>
          <w:p>
            <w:r>
              <w:rPr>
                <w:rFonts w:ascii="Times New Roman" w:hAnsi="Times New Roman"/>
                <w:sz w:val="20"/>
              </w:rPr>
              <w:t>ML Frameworks</w:t>
            </w:r>
          </w:p>
        </w:tc>
        <w:tc>
          <w:tcPr>
            <w:tcW w:type="dxa" w:w="3000"/>
          </w:tcPr>
          <w:p>
            <w:r>
              <w:rPr>
                <w:rFonts w:ascii="Times New Roman" w:hAnsi="Times New Roman"/>
                <w:sz w:val="20"/>
              </w:rPr>
              <w:t>PyTorch 2.0+, HuggingFace Transformers</w:t>
            </w:r>
          </w:p>
        </w:tc>
        <w:tc>
          <w:tcPr>
            <w:tcW w:type="dxa" w:w="3000"/>
          </w:tcPr>
          <w:p>
            <w:r>
              <w:rPr>
                <w:rFonts w:ascii="Times New Roman" w:hAnsi="Times New Roman"/>
                <w:sz w:val="20"/>
              </w:rPr>
              <w:t>Model fine-tuning and inference</w:t>
            </w:r>
          </w:p>
        </w:tc>
      </w:tr>
      <w:tr>
        <w:tc>
          <w:tcPr>
            <w:tcW w:type="dxa" w:w="3000"/>
          </w:tcPr>
          <w:p>
            <w:r>
              <w:rPr>
                <w:rFonts w:ascii="Times New Roman" w:hAnsi="Times New Roman"/>
                <w:sz w:val="20"/>
              </w:rPr>
              <w:t>Retrieval</w:t>
            </w:r>
          </w:p>
        </w:tc>
        <w:tc>
          <w:tcPr>
            <w:tcW w:type="dxa" w:w="3000"/>
          </w:tcPr>
          <w:p>
            <w:r>
              <w:rPr>
                <w:rFonts w:ascii="Times New Roman" w:hAnsi="Times New Roman"/>
                <w:sz w:val="20"/>
              </w:rPr>
              <w:t>rank_bm25, FAISS, Sentence-Transformers</w:t>
            </w:r>
          </w:p>
        </w:tc>
        <w:tc>
          <w:tcPr>
            <w:tcW w:type="dxa" w:w="3000"/>
          </w:tcPr>
          <w:p>
            <w:r>
              <w:rPr>
                <w:rFonts w:ascii="Times New Roman" w:hAnsi="Times New Roman"/>
                <w:sz w:val="20"/>
              </w:rPr>
              <w:t>Sparse and dense retrieval</w:t>
            </w:r>
          </w:p>
        </w:tc>
      </w:tr>
      <w:tr>
        <w:tc>
          <w:tcPr>
            <w:tcW w:type="dxa" w:w="3000"/>
          </w:tcPr>
          <w:p>
            <w:r>
              <w:rPr>
                <w:rFonts w:ascii="Times New Roman" w:hAnsi="Times New Roman"/>
                <w:sz w:val="20"/>
              </w:rPr>
              <w:t>Knowledge Graph</w:t>
            </w:r>
          </w:p>
        </w:tc>
        <w:tc>
          <w:tcPr>
            <w:tcW w:type="dxa" w:w="3000"/>
          </w:tcPr>
          <w:p>
            <w:r>
              <w:rPr>
                <w:rFonts w:ascii="Times New Roman" w:hAnsi="Times New Roman"/>
                <w:sz w:val="20"/>
              </w:rPr>
              <w:t>SciSpacy, RDFlib, Neo4j (optional)</w:t>
            </w:r>
          </w:p>
        </w:tc>
        <w:tc>
          <w:tcPr>
            <w:tcW w:type="dxa" w:w="3000"/>
          </w:tcPr>
          <w:p>
            <w:r>
              <w:rPr>
                <w:rFonts w:ascii="Times New Roman" w:hAnsi="Times New Roman"/>
                <w:sz w:val="20"/>
              </w:rPr>
              <w:t>NER and KG construction</w:t>
            </w:r>
          </w:p>
        </w:tc>
      </w:tr>
      <w:tr>
        <w:tc>
          <w:tcPr>
            <w:tcW w:type="dxa" w:w="3000"/>
          </w:tcPr>
          <w:p>
            <w:r>
              <w:rPr>
                <w:rFonts w:ascii="Times New Roman" w:hAnsi="Times New Roman"/>
                <w:sz w:val="20"/>
              </w:rPr>
              <w:t>LLM</w:t>
            </w:r>
          </w:p>
        </w:tc>
        <w:tc>
          <w:tcPr>
            <w:tcW w:type="dxa" w:w="3000"/>
          </w:tcPr>
          <w:p>
            <w:r>
              <w:rPr>
                <w:rFonts w:ascii="Times New Roman" w:hAnsi="Times New Roman"/>
                <w:sz w:val="20"/>
              </w:rPr>
              <w:t>LLaMA-3 / Flan-T5-XL (local) or Claude API</w:t>
            </w:r>
          </w:p>
        </w:tc>
        <w:tc>
          <w:tcPr>
            <w:tcW w:type="dxa" w:w="3000"/>
          </w:tcPr>
          <w:p>
            <w:r>
              <w:rPr>
                <w:rFonts w:ascii="Times New Roman" w:hAnsi="Times New Roman"/>
                <w:sz w:val="20"/>
              </w:rPr>
              <w:t>Generation and verification</w:t>
            </w:r>
          </w:p>
        </w:tc>
      </w:tr>
      <w:tr>
        <w:tc>
          <w:tcPr>
            <w:tcW w:type="dxa" w:w="3000"/>
          </w:tcPr>
          <w:p>
            <w:r>
              <w:rPr>
                <w:rFonts w:ascii="Times New Roman" w:hAnsi="Times New Roman"/>
                <w:sz w:val="20"/>
              </w:rPr>
              <w:t>Evaluation</w:t>
            </w:r>
          </w:p>
        </w:tc>
        <w:tc>
          <w:tcPr>
            <w:tcW w:type="dxa" w:w="3000"/>
          </w:tcPr>
          <w:p>
            <w:r>
              <w:rPr>
                <w:rFonts w:ascii="Times New Roman" w:hAnsi="Times New Roman"/>
                <w:sz w:val="20"/>
              </w:rPr>
              <w:t>RAGAS 0.1.x + G-Eval (Haiku 4.5)</w:t>
            </w:r>
          </w:p>
        </w:tc>
        <w:tc>
          <w:tcPr>
            <w:tcW w:type="dxa" w:w="3000"/>
          </w:tcPr>
          <w:p>
            <w:r>
              <w:rPr>
                <w:rFonts w:ascii="Times New Roman" w:hAnsi="Times New Roman"/>
                <w:sz w:val="20"/>
              </w:rPr>
              <w:t>Faithfulness + G-Eval Answer Relevancy</w:t>
            </w:r>
          </w:p>
        </w:tc>
      </w:tr>
      <w:tr>
        <w:tc>
          <w:tcPr>
            <w:tcW w:type="dxa" w:w="3000"/>
          </w:tcPr>
          <w:p>
            <w:r>
              <w:rPr>
                <w:rFonts w:ascii="Times New Roman" w:hAnsi="Times New Roman"/>
                <w:sz w:val="20"/>
              </w:rPr>
              <w:t>UI</w:t>
            </w:r>
          </w:p>
        </w:tc>
        <w:tc>
          <w:tcPr>
            <w:tcW w:type="dxa" w:w="3000"/>
          </w:tcPr>
          <w:p>
            <w:r>
              <w:rPr>
                <w:rFonts w:ascii="Times New Roman" w:hAnsi="Times New Roman"/>
                <w:sz w:val="20"/>
              </w:rPr>
              <w:t>Streamlit 1.x</w:t>
            </w:r>
          </w:p>
        </w:tc>
        <w:tc>
          <w:tcPr>
            <w:tcW w:type="dxa" w:w="3000"/>
          </w:tcPr>
          <w:p>
            <w:r>
              <w:rPr>
                <w:rFonts w:ascii="Times New Roman" w:hAnsi="Times New Roman"/>
                <w:sz w:val="20"/>
              </w:rPr>
              <w:t>Web prototype interface</w:t>
            </w:r>
          </w:p>
        </w:tc>
      </w:tr>
      <w:tr>
        <w:tc>
          <w:tcPr>
            <w:tcW w:type="dxa" w:w="3000"/>
          </w:tcPr>
          <w:p>
            <w:r>
              <w:rPr>
                <w:rFonts w:ascii="Times New Roman" w:hAnsi="Times New Roman"/>
                <w:sz w:val="20"/>
              </w:rPr>
              <w:t>Safety</w:t>
            </w:r>
          </w:p>
        </w:tc>
        <w:tc>
          <w:tcPr>
            <w:tcW w:type="dxa" w:w="3000"/>
          </w:tcPr>
          <w:p>
            <w:r>
              <w:rPr>
                <w:rFonts w:ascii="Times New Roman" w:hAnsi="Times New Roman"/>
                <w:sz w:val="20"/>
              </w:rPr>
              <w:t>Python re (regex)</w:t>
            </w:r>
          </w:p>
        </w:tc>
        <w:tc>
          <w:tcPr>
            <w:tcW w:type="dxa" w:w="3000"/>
          </w:tcPr>
          <w:p>
            <w:r>
              <w:rPr>
                <w:rFonts w:ascii="Times New Roman" w:hAnsi="Times New Roman"/>
                <w:sz w:val="20"/>
              </w:rPr>
              <w:t>Pattern-based safety checking</w:t>
            </w:r>
          </w:p>
        </w:tc>
      </w:tr>
      <w:tr>
        <w:tc>
          <w:tcPr>
            <w:tcW w:type="dxa" w:w="3000"/>
          </w:tcPr>
          <w:p>
            <w:r>
              <w:rPr>
                <w:rFonts w:ascii="Times New Roman" w:hAnsi="Times New Roman"/>
                <w:sz w:val="20"/>
              </w:rPr>
              <w:t>Monitoring</w:t>
            </w:r>
          </w:p>
        </w:tc>
        <w:tc>
          <w:tcPr>
            <w:tcW w:type="dxa" w:w="3000"/>
          </w:tcPr>
          <w:p>
            <w:r>
              <w:rPr>
                <w:rFonts w:ascii="Times New Roman" w:hAnsi="Times New Roman"/>
                <w:sz w:val="20"/>
              </w:rPr>
              <w:t>Weights and Biases</w:t>
            </w:r>
          </w:p>
        </w:tc>
        <w:tc>
          <w:tcPr>
            <w:tcW w:type="dxa" w:w="3000"/>
          </w:tcPr>
          <w:p>
            <w:r>
              <w:rPr>
                <w:rFonts w:ascii="Times New Roman" w:hAnsi="Times New Roman"/>
                <w:sz w:val="20"/>
              </w:rPr>
              <w:t>Experiment tracking (MLOps)</w:t>
            </w:r>
          </w:p>
        </w:tc>
      </w:tr>
    </w:tbl>
    <w:p/>
    <w:p>
      <w:pPr>
        <w:pStyle w:val="Heading3"/>
        <w:jc w:val="left"/>
      </w:pPr>
      <w:r>
        <w:rPr>
          <w:rFonts w:ascii="Times New Roman" w:hAnsi="Times New Roman"/>
          <w:b/>
          <w:color w:val="000000"/>
          <w:sz w:val="24"/>
        </w:rPr>
        <w:t>8.2 Hardware Requirements</w:t>
      </w:r>
    </w:p>
    <w:p>
      <w:pPr>
        <w:spacing w:before="160"/>
      </w:pPr>
      <w:r>
        <w:rPr>
          <w:rFonts w:ascii="Times New Roman" w:hAnsi="Times New Roman"/>
          <w:b/>
          <w:i w:val="0"/>
          <w:sz w:val="22"/>
        </w:rPr>
        <w:t>Table 5: Hardware Requirements</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Resource</w:t>
            </w:r>
          </w:p>
        </w:tc>
        <w:tc>
          <w:tcPr>
            <w:tcW w:type="dxa" w:w="3000"/>
            <w:shd w:val="clear" w:color="auto" w:fill="D9E1F2"/>
          </w:tcPr>
          <w:p>
            <w:r>
              <w:rPr>
                <w:rFonts w:ascii="Times New Roman" w:hAnsi="Times New Roman"/>
                <w:b/>
                <w:sz w:val="20"/>
              </w:rPr>
              <w:t>Specification</w:t>
            </w:r>
          </w:p>
        </w:tc>
        <w:tc>
          <w:tcPr>
            <w:tcW w:type="dxa" w:w="3000"/>
            <w:shd w:val="clear" w:color="auto" w:fill="D9E1F2"/>
          </w:tcPr>
          <w:p>
            <w:r>
              <w:rPr>
                <w:rFonts w:ascii="Times New Roman" w:hAnsi="Times New Roman"/>
                <w:b/>
                <w:sz w:val="20"/>
              </w:rPr>
              <w:t>Use Case</w:t>
            </w:r>
          </w:p>
        </w:tc>
      </w:tr>
      <w:tr>
        <w:tc>
          <w:tcPr>
            <w:tcW w:type="dxa" w:w="3000"/>
          </w:tcPr>
          <w:p>
            <w:r>
              <w:rPr>
                <w:rFonts w:ascii="Times New Roman" w:hAnsi="Times New Roman"/>
                <w:sz w:val="20"/>
              </w:rPr>
              <w:t>GPU</w:t>
            </w:r>
          </w:p>
        </w:tc>
        <w:tc>
          <w:tcPr>
            <w:tcW w:type="dxa" w:w="3000"/>
          </w:tcPr>
          <w:p>
            <w:r>
              <w:rPr>
                <w:rFonts w:ascii="Times New Roman" w:hAnsi="Times New Roman"/>
                <w:sz w:val="20"/>
              </w:rPr>
              <w:t>NVIDIA A100 (80 GB) or RTX 4090 (24 GB)</w:t>
            </w:r>
          </w:p>
        </w:tc>
        <w:tc>
          <w:tcPr>
            <w:tcW w:type="dxa" w:w="3000"/>
          </w:tcPr>
          <w:p>
            <w:r>
              <w:rPr>
                <w:rFonts w:ascii="Times New Roman" w:hAnsi="Times New Roman"/>
                <w:sz w:val="20"/>
              </w:rPr>
              <w:t>LLM fine-tuning, dense retrieval indexing</w:t>
            </w:r>
          </w:p>
        </w:tc>
      </w:tr>
      <w:tr>
        <w:tc>
          <w:tcPr>
            <w:tcW w:type="dxa" w:w="3000"/>
          </w:tcPr>
          <w:p>
            <w:r>
              <w:rPr>
                <w:rFonts w:ascii="Times New Roman" w:hAnsi="Times New Roman"/>
                <w:sz w:val="20"/>
              </w:rPr>
              <w:t>CPU</w:t>
            </w:r>
          </w:p>
        </w:tc>
        <w:tc>
          <w:tcPr>
            <w:tcW w:type="dxa" w:w="3000"/>
          </w:tcPr>
          <w:p>
            <w:r>
              <w:rPr>
                <w:rFonts w:ascii="Times New Roman" w:hAnsi="Times New Roman"/>
                <w:sz w:val="20"/>
              </w:rPr>
              <w:t>16-core, 3.0 GHz+</w:t>
            </w:r>
          </w:p>
        </w:tc>
        <w:tc>
          <w:tcPr>
            <w:tcW w:type="dxa" w:w="3000"/>
          </w:tcPr>
          <w:p>
            <w:r>
              <w:rPr>
                <w:rFonts w:ascii="Times New Roman" w:hAnsi="Times New Roman"/>
                <w:sz w:val="20"/>
              </w:rPr>
              <w:t>Corpus preprocessing, BM25 indexing</w:t>
            </w:r>
          </w:p>
        </w:tc>
      </w:tr>
      <w:tr>
        <w:tc>
          <w:tcPr>
            <w:tcW w:type="dxa" w:w="3000"/>
          </w:tcPr>
          <w:p>
            <w:r>
              <w:rPr>
                <w:rFonts w:ascii="Times New Roman" w:hAnsi="Times New Roman"/>
                <w:sz w:val="20"/>
              </w:rPr>
              <w:t>RAM</w:t>
            </w:r>
          </w:p>
        </w:tc>
        <w:tc>
          <w:tcPr>
            <w:tcW w:type="dxa" w:w="3000"/>
          </w:tcPr>
          <w:p>
            <w:r>
              <w:rPr>
                <w:rFonts w:ascii="Times New Roman" w:hAnsi="Times New Roman"/>
                <w:sz w:val="20"/>
              </w:rPr>
              <w:t>64 GB minimum</w:t>
            </w:r>
          </w:p>
        </w:tc>
        <w:tc>
          <w:tcPr>
            <w:tcW w:type="dxa" w:w="3000"/>
          </w:tcPr>
          <w:p>
            <w:r>
              <w:rPr>
                <w:rFonts w:ascii="Times New Roman" w:hAnsi="Times New Roman"/>
                <w:sz w:val="20"/>
              </w:rPr>
              <w:t>Loading large models and indices</w:t>
            </w:r>
          </w:p>
        </w:tc>
      </w:tr>
      <w:tr>
        <w:tc>
          <w:tcPr>
            <w:tcW w:type="dxa" w:w="3000"/>
          </w:tcPr>
          <w:p>
            <w:r>
              <w:rPr>
                <w:rFonts w:ascii="Times New Roman" w:hAnsi="Times New Roman"/>
                <w:sz w:val="20"/>
              </w:rPr>
              <w:t>Storage</w:t>
            </w:r>
          </w:p>
        </w:tc>
        <w:tc>
          <w:tcPr>
            <w:tcW w:type="dxa" w:w="3000"/>
          </w:tcPr>
          <w:p>
            <w:r>
              <w:rPr>
                <w:rFonts w:ascii="Times New Roman" w:hAnsi="Times New Roman"/>
                <w:sz w:val="20"/>
              </w:rPr>
              <w:t>500 GB SSD</w:t>
            </w:r>
          </w:p>
        </w:tc>
        <w:tc>
          <w:tcPr>
            <w:tcW w:type="dxa" w:w="3000"/>
          </w:tcPr>
          <w:p>
            <w:r>
              <w:rPr>
                <w:rFonts w:ascii="Times New Roman" w:hAnsi="Times New Roman"/>
                <w:sz w:val="20"/>
              </w:rPr>
              <w:t>Corpus storage, model checkpoints</w:t>
            </w:r>
          </w:p>
        </w:tc>
      </w:tr>
    </w:tbl>
    <w:p/>
    <w:p>
      <w:pPr>
        <w:spacing w:after="120" w:before="0"/>
        <w:jc w:val="both"/>
      </w:pPr>
      <w:r>
        <w:rPr>
          <w:rFonts w:ascii="Times New Roman" w:hAnsi="Times New Roman"/>
          <w:b w:val="0"/>
          <w:i w:val="0"/>
          <w:sz w:val="24"/>
        </w:rPr>
        <w:t>Contingency: If HPC cluster access is unavailable, the Claude API (Anthropic) provides cloud-hosted LLM inference, eliminating the GPU fine-tuning requirement for the initial MVP. Local inference with quantised models (4-bit LLaMA-3) is feasible on an RTX 4090.</w:t>
      </w:r>
    </w:p>
    <w:p>
      <w:pPr>
        <w:pStyle w:val="Heading3"/>
        <w:jc w:val="left"/>
      </w:pPr>
      <w:r>
        <w:rPr>
          <w:rFonts w:ascii="Times New Roman" w:hAnsi="Times New Roman"/>
          <w:b/>
          <w:color w:val="000000"/>
          <w:sz w:val="24"/>
        </w:rPr>
        <w:t>8.3 Datasets and Data Sources</w:t>
      </w:r>
    </w:p>
    <w:p>
      <w:pPr>
        <w:spacing w:before="160"/>
      </w:pPr>
      <w:r>
        <w:rPr>
          <w:rFonts w:ascii="Times New Roman" w:hAnsi="Times New Roman"/>
          <w:b/>
          <w:i w:val="0"/>
          <w:sz w:val="22"/>
        </w:rPr>
        <w:t>Table 6: Datasets and Data Sources</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D9E1F2"/>
          </w:tcPr>
          <w:p>
            <w:r>
              <w:rPr>
                <w:rFonts w:ascii="Times New Roman" w:hAnsi="Times New Roman"/>
                <w:b/>
                <w:sz w:val="20"/>
              </w:rPr>
              <w:t>Dataset</w:t>
            </w:r>
          </w:p>
        </w:tc>
        <w:tc>
          <w:tcPr>
            <w:tcW w:type="dxa" w:w="2250"/>
            <w:shd w:val="clear" w:color="auto" w:fill="D9E1F2"/>
          </w:tcPr>
          <w:p>
            <w:r>
              <w:rPr>
                <w:rFonts w:ascii="Times New Roman" w:hAnsi="Times New Roman"/>
                <w:b/>
                <w:sz w:val="20"/>
              </w:rPr>
              <w:t>Size</w:t>
            </w:r>
          </w:p>
        </w:tc>
        <w:tc>
          <w:tcPr>
            <w:tcW w:type="dxa" w:w="2250"/>
            <w:shd w:val="clear" w:color="auto" w:fill="D9E1F2"/>
          </w:tcPr>
          <w:p>
            <w:r>
              <w:rPr>
                <w:rFonts w:ascii="Times New Roman" w:hAnsi="Times New Roman"/>
                <w:b/>
                <w:sz w:val="20"/>
              </w:rPr>
              <w:t>Access</w:t>
            </w:r>
          </w:p>
        </w:tc>
        <w:tc>
          <w:tcPr>
            <w:tcW w:type="dxa" w:w="2250"/>
            <w:shd w:val="clear" w:color="auto" w:fill="D9E1F2"/>
          </w:tcPr>
          <w:p>
            <w:r>
              <w:rPr>
                <w:rFonts w:ascii="Times New Roman" w:hAnsi="Times New Roman"/>
                <w:b/>
                <w:sz w:val="20"/>
              </w:rPr>
              <w:t>Purpose</w:t>
            </w:r>
          </w:p>
        </w:tc>
      </w:tr>
      <w:tr>
        <w:tc>
          <w:tcPr>
            <w:tcW w:type="dxa" w:w="2250"/>
          </w:tcPr>
          <w:p>
            <w:r>
              <w:rPr>
                <w:rFonts w:ascii="Times New Roman" w:hAnsi="Times New Roman"/>
                <w:sz w:val="20"/>
              </w:rPr>
              <w:t>PubMedQA</w:t>
            </w:r>
          </w:p>
        </w:tc>
        <w:tc>
          <w:tcPr>
            <w:tcW w:type="dxa" w:w="2250"/>
          </w:tcPr>
          <w:p>
            <w:r>
              <w:rPr>
                <w:rFonts w:ascii="Times New Roman" w:hAnsi="Times New Roman"/>
                <w:sz w:val="20"/>
              </w:rPr>
              <w:t>211k QA pairs</w:t>
            </w:r>
          </w:p>
        </w:tc>
        <w:tc>
          <w:tcPr>
            <w:tcW w:type="dxa" w:w="2250"/>
          </w:tcPr>
          <w:p>
            <w:r>
              <w:rPr>
                <w:rFonts w:ascii="Times New Roman" w:hAnsi="Times New Roman"/>
                <w:sz w:val="20"/>
              </w:rPr>
              <w:t>Public (HuggingFace)</w:t>
            </w:r>
          </w:p>
        </w:tc>
        <w:tc>
          <w:tcPr>
            <w:tcW w:type="dxa" w:w="2250"/>
          </w:tcPr>
          <w:p>
            <w:r>
              <w:rPr>
                <w:rFonts w:ascii="Times New Roman" w:hAnsi="Times New Roman"/>
                <w:sz w:val="20"/>
              </w:rPr>
              <w:t>Biomedical literature QA</w:t>
            </w:r>
          </w:p>
        </w:tc>
      </w:tr>
      <w:tr>
        <w:tc>
          <w:tcPr>
            <w:tcW w:type="dxa" w:w="2250"/>
          </w:tcPr>
          <w:p>
            <w:r>
              <w:rPr>
                <w:rFonts w:ascii="Times New Roman" w:hAnsi="Times New Roman"/>
                <w:sz w:val="20"/>
              </w:rPr>
              <w:t>MedQuAD</w:t>
            </w:r>
          </w:p>
        </w:tc>
        <w:tc>
          <w:tcPr>
            <w:tcW w:type="dxa" w:w="2250"/>
          </w:tcPr>
          <w:p>
            <w:r>
              <w:rPr>
                <w:rFonts w:ascii="Times New Roman" w:hAnsi="Times New Roman"/>
                <w:sz w:val="20"/>
              </w:rPr>
              <w:t>47.4k QA pairs</w:t>
            </w:r>
          </w:p>
        </w:tc>
        <w:tc>
          <w:tcPr>
            <w:tcW w:type="dxa" w:w="2250"/>
          </w:tcPr>
          <w:p>
            <w:r>
              <w:rPr>
                <w:rFonts w:ascii="Times New Roman" w:hAnsi="Times New Roman"/>
                <w:sz w:val="20"/>
              </w:rPr>
              <w:t>Public (GitHub)</w:t>
            </w:r>
          </w:p>
        </w:tc>
        <w:tc>
          <w:tcPr>
            <w:tcW w:type="dxa" w:w="2250"/>
          </w:tcPr>
          <w:p>
            <w:r>
              <w:rPr>
                <w:rFonts w:ascii="Times New Roman" w:hAnsi="Times New Roman"/>
                <w:sz w:val="20"/>
              </w:rPr>
              <w:t>Consumer health QA</w:t>
            </w:r>
          </w:p>
        </w:tc>
      </w:tr>
      <w:tr>
        <w:tc>
          <w:tcPr>
            <w:tcW w:type="dxa" w:w="2250"/>
          </w:tcPr>
          <w:p>
            <w:r>
              <w:rPr>
                <w:rFonts w:ascii="Times New Roman" w:hAnsi="Times New Roman"/>
                <w:sz w:val="20"/>
              </w:rPr>
              <w:t>ArchEHR-QA</w:t>
            </w:r>
          </w:p>
        </w:tc>
        <w:tc>
          <w:tcPr>
            <w:tcW w:type="dxa" w:w="2250"/>
          </w:tcPr>
          <w:p>
            <w:r>
              <w:rPr>
                <w:rFonts w:ascii="Times New Roman" w:hAnsi="Times New Roman"/>
                <w:sz w:val="20"/>
              </w:rPr>
              <w:t>EHR QA (dev set)</w:t>
            </w:r>
          </w:p>
        </w:tc>
        <w:tc>
          <w:tcPr>
            <w:tcW w:type="dxa" w:w="2250"/>
          </w:tcPr>
          <w:p>
            <w:r>
              <w:rPr>
                <w:rFonts w:ascii="Times New Roman" w:hAnsi="Times New Roman"/>
                <w:sz w:val="20"/>
              </w:rPr>
              <w:t>PhysioNet (DUA required)</w:t>
            </w:r>
          </w:p>
        </w:tc>
        <w:tc>
          <w:tcPr>
            <w:tcW w:type="dxa" w:w="2250"/>
          </w:tcPr>
          <w:p>
            <w:r>
              <w:rPr>
                <w:rFonts w:ascii="Times New Roman" w:hAnsi="Times New Roman"/>
                <w:sz w:val="20"/>
              </w:rPr>
              <w:t>Clinical EHR note QA</w:t>
            </w:r>
          </w:p>
        </w:tc>
      </w:tr>
      <w:tr>
        <w:tc>
          <w:tcPr>
            <w:tcW w:type="dxa" w:w="2250"/>
          </w:tcPr>
          <w:p>
            <w:r>
              <w:rPr>
                <w:rFonts w:ascii="Times New Roman" w:hAnsi="Times New Roman"/>
                <w:sz w:val="20"/>
              </w:rPr>
              <w:t>MIMIC-III / MIMIC-IV</w:t>
            </w:r>
          </w:p>
        </w:tc>
        <w:tc>
          <w:tcPr>
            <w:tcW w:type="dxa" w:w="2250"/>
          </w:tcPr>
          <w:p>
            <w:r>
              <w:rPr>
                <w:rFonts w:ascii="Times New Roman" w:hAnsi="Times New Roman"/>
                <w:sz w:val="20"/>
              </w:rPr>
              <w:t>EHR notes</w:t>
            </w:r>
          </w:p>
        </w:tc>
        <w:tc>
          <w:tcPr>
            <w:tcW w:type="dxa" w:w="2250"/>
          </w:tcPr>
          <w:p>
            <w:r>
              <w:rPr>
                <w:rFonts w:ascii="Times New Roman" w:hAnsi="Times New Roman"/>
                <w:sz w:val="20"/>
              </w:rPr>
              <w:t>PhysioNet (credentialing)</w:t>
            </w:r>
          </w:p>
        </w:tc>
        <w:tc>
          <w:tcPr>
            <w:tcW w:type="dxa" w:w="2250"/>
          </w:tcPr>
          <w:p>
            <w:r>
              <w:rPr>
                <w:rFonts w:ascii="Times New Roman" w:hAnsi="Times New Roman"/>
                <w:sz w:val="20"/>
              </w:rPr>
              <w:t>Clinical context (optional)</w:t>
            </w:r>
          </w:p>
        </w:tc>
      </w:tr>
      <w:tr>
        <w:tc>
          <w:tcPr>
            <w:tcW w:type="dxa" w:w="2250"/>
          </w:tcPr>
          <w:p>
            <w:r>
              <w:rPr>
                <w:rFonts w:ascii="Times New Roman" w:hAnsi="Times New Roman"/>
                <w:sz w:val="20"/>
              </w:rPr>
              <w:t>PubMed Baseline</w:t>
            </w:r>
          </w:p>
        </w:tc>
        <w:tc>
          <w:tcPr>
            <w:tcW w:type="dxa" w:w="2250"/>
          </w:tcPr>
          <w:p>
            <w:r>
              <w:rPr>
                <w:rFonts w:ascii="Times New Roman" w:hAnsi="Times New Roman"/>
                <w:sz w:val="20"/>
              </w:rPr>
              <w:t>25M abstracts</w:t>
            </w:r>
          </w:p>
        </w:tc>
        <w:tc>
          <w:tcPr>
            <w:tcW w:type="dxa" w:w="2250"/>
          </w:tcPr>
          <w:p>
            <w:r>
              <w:rPr>
                <w:rFonts w:ascii="Times New Roman" w:hAnsi="Times New Roman"/>
                <w:sz w:val="20"/>
              </w:rPr>
              <w:t>FTP (public)</w:t>
            </w:r>
          </w:p>
        </w:tc>
        <w:tc>
          <w:tcPr>
            <w:tcW w:type="dxa" w:w="2250"/>
          </w:tcPr>
          <w:p>
            <w:r>
              <w:rPr>
                <w:rFonts w:ascii="Times New Roman" w:hAnsi="Times New Roman"/>
                <w:sz w:val="20"/>
              </w:rPr>
              <w:t>KG construction</w:t>
            </w:r>
          </w:p>
        </w:tc>
      </w:tr>
      <w:tr>
        <w:tc>
          <w:tcPr>
            <w:tcW w:type="dxa" w:w="2250"/>
          </w:tcPr>
          <w:p>
            <w:r>
              <w:rPr>
                <w:rFonts w:ascii="Times New Roman" w:hAnsi="Times New Roman"/>
                <w:sz w:val="20"/>
              </w:rPr>
              <w:t>UMLS</w:t>
            </w:r>
          </w:p>
        </w:tc>
        <w:tc>
          <w:tcPr>
            <w:tcW w:type="dxa" w:w="2250"/>
          </w:tcPr>
          <w:p>
            <w:r>
              <w:rPr>
                <w:rFonts w:ascii="Times New Roman" w:hAnsi="Times New Roman"/>
                <w:sz w:val="20"/>
              </w:rPr>
              <w:t>Ontology</w:t>
            </w:r>
          </w:p>
        </w:tc>
        <w:tc>
          <w:tcPr>
            <w:tcW w:type="dxa" w:w="2250"/>
          </w:tcPr>
          <w:p>
            <w:r>
              <w:rPr>
                <w:rFonts w:ascii="Times New Roman" w:hAnsi="Times New Roman"/>
                <w:sz w:val="20"/>
              </w:rPr>
              <w:t>NIH (free for research)</w:t>
            </w:r>
          </w:p>
        </w:tc>
        <w:tc>
          <w:tcPr>
            <w:tcW w:type="dxa" w:w="2250"/>
          </w:tcPr>
          <w:p>
            <w:r>
              <w:rPr>
                <w:rFonts w:ascii="Times New Roman" w:hAnsi="Times New Roman"/>
                <w:sz w:val="20"/>
              </w:rPr>
              <w:t>Structured KG (stretch goal)</w:t>
            </w:r>
          </w:p>
        </w:tc>
      </w:tr>
    </w:tbl>
    <w:p/>
    <w:p>
      <w:r>
        <w:br w:type="page"/>
      </w:r>
    </w:p>
    <w:p>
      <w:pPr>
        <w:pStyle w:val="Heading1"/>
        <w:jc w:val="left"/>
      </w:pPr>
      <w:r>
        <w:rPr>
          <w:rFonts w:ascii="Times New Roman" w:hAnsi="Times New Roman"/>
          <w:b/>
          <w:color w:val="000000"/>
          <w:sz w:val="32"/>
        </w:rPr>
        <w:t>9. Research Plan</w:t>
      </w:r>
    </w:p>
    <w:p>
      <w:pPr>
        <w:spacing w:after="120" w:before="0"/>
        <w:jc w:val="both"/>
      </w:pPr>
      <w:r>
        <w:rPr>
          <w:rFonts w:ascii="Times New Roman" w:hAnsi="Times New Roman"/>
          <w:b w:val="0"/>
          <w:i w:val="0"/>
          <w:sz w:val="24"/>
        </w:rPr>
        <w:t>Figure 5 shows the 20-week Gantt chart. The timeline assumes access to cloud GPU resources from Week 5 onwards and PhysioNet DUA approval by Week 10. Key milestones and contingency decision points are indicated. Note: the timeline is optimistic given the complexity of the CCE module (Phase 3); if CCE generation requires more than two weeks, the stretch-goal elements (UMLS integration, Elasticsearch SPO) will be deferred to future work.</w:t>
      </w:r>
    </w:p>
    <w:p>
      <w:pPr>
        <w:spacing w:after="120" w:before="0"/>
        <w:jc w:val="both"/>
      </w:pPr>
      <w:r>
        <w:rPr>
          <w:rFonts w:ascii="Times New Roman" w:hAnsi="Times New Roman"/>
          <w:b w:val="0"/>
          <w:i w:val="0"/>
          <w:sz w:val="24"/>
        </w:rPr>
        <w:t>Figure 5: Research Plan Gantt Chart (20-week timeline). Phases 1–4 are shown with weekly milestones, deliverables, and contingency decision points. [Gantt chart to be inserted as a figure in the final formatted document.]</w:t>
      </w:r>
    </w:p>
    <w:p>
      <w:pPr>
        <w:pStyle w:val="Heading3"/>
        <w:jc w:val="left"/>
      </w:pPr>
      <w:r>
        <w:rPr>
          <w:rFonts w:ascii="Times New Roman" w:hAnsi="Times New Roman"/>
          <w:b/>
          <w:color w:val="000000"/>
          <w:sz w:val="24"/>
        </w:rPr>
        <w:t>9.1 Overview Timeline</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D9E1F2"/>
          </w:tcPr>
          <w:p>
            <w:r>
              <w:rPr>
                <w:rFonts w:ascii="Times New Roman" w:hAnsi="Times New Roman"/>
                <w:b/>
                <w:sz w:val="20"/>
              </w:rPr>
              <w:t>Phase</w:t>
            </w:r>
          </w:p>
        </w:tc>
        <w:tc>
          <w:tcPr>
            <w:tcW w:type="dxa" w:w="2250"/>
            <w:shd w:val="clear" w:color="auto" w:fill="D9E1F2"/>
          </w:tcPr>
          <w:p>
            <w:r>
              <w:rPr>
                <w:rFonts w:ascii="Times New Roman" w:hAnsi="Times New Roman"/>
                <w:b/>
                <w:sz w:val="20"/>
              </w:rPr>
              <w:t>Weeks</w:t>
            </w:r>
          </w:p>
        </w:tc>
        <w:tc>
          <w:tcPr>
            <w:tcW w:type="dxa" w:w="2250"/>
            <w:shd w:val="clear" w:color="auto" w:fill="D9E1F2"/>
          </w:tcPr>
          <w:p>
            <w:r>
              <w:rPr>
                <w:rFonts w:ascii="Times New Roman" w:hAnsi="Times New Roman"/>
                <w:b/>
                <w:sz w:val="20"/>
              </w:rPr>
              <w:t>Key Activities</w:t>
            </w:r>
          </w:p>
        </w:tc>
        <w:tc>
          <w:tcPr>
            <w:tcW w:type="dxa" w:w="2250"/>
            <w:shd w:val="clear" w:color="auto" w:fill="D9E1F2"/>
          </w:tcPr>
          <w:p>
            <w:r>
              <w:rPr>
                <w:rFonts w:ascii="Times New Roman" w:hAnsi="Times New Roman"/>
                <w:b/>
                <w:sz w:val="20"/>
              </w:rPr>
              <w:t>Deliverable</w:t>
            </w:r>
          </w:p>
        </w:tc>
      </w:tr>
      <w:tr>
        <w:tc>
          <w:tcPr>
            <w:tcW w:type="dxa" w:w="2250"/>
          </w:tcPr>
          <w:p>
            <w:r>
              <w:rPr>
                <w:rFonts w:ascii="Times New Roman" w:hAnsi="Times New Roman"/>
                <w:sz w:val="20"/>
              </w:rPr>
              <w:t>Phase 1: Knowledge Ingestion</w:t>
            </w:r>
          </w:p>
        </w:tc>
        <w:tc>
          <w:tcPr>
            <w:tcW w:type="dxa" w:w="2250"/>
          </w:tcPr>
          <w:p>
            <w:r>
              <w:rPr>
                <w:rFonts w:ascii="Times New Roman" w:hAnsi="Times New Roman"/>
                <w:sz w:val="20"/>
              </w:rPr>
              <w:t>1–4</w:t>
            </w:r>
          </w:p>
        </w:tc>
        <w:tc>
          <w:tcPr>
            <w:tcW w:type="dxa" w:w="2250"/>
          </w:tcPr>
          <w:p>
            <w:r>
              <w:rPr>
                <w:rFonts w:ascii="Times New Roman" w:hAnsi="Times New Roman"/>
                <w:sz w:val="20"/>
              </w:rPr>
              <w:t>Dataset prep, BM25 index, KG construction, hybrid retrieval</w:t>
            </w:r>
          </w:p>
        </w:tc>
        <w:tc>
          <w:tcPr>
            <w:tcW w:type="dxa" w:w="2250"/>
          </w:tcPr>
          <w:p>
            <w:r>
              <w:rPr>
                <w:rFonts w:ascii="Times New Roman" w:hAnsi="Times New Roman"/>
                <w:sz w:val="20"/>
              </w:rPr>
              <w:t>Retrieval pipeline + design document</w:t>
            </w:r>
          </w:p>
        </w:tc>
      </w:tr>
      <w:tr>
        <w:tc>
          <w:tcPr>
            <w:tcW w:type="dxa" w:w="2250"/>
          </w:tcPr>
          <w:p>
            <w:r>
              <w:rPr>
                <w:rFonts w:ascii="Times New Roman" w:hAnsi="Times New Roman"/>
                <w:sz w:val="20"/>
              </w:rPr>
              <w:t>Phase 2: Generative Core</w:t>
            </w:r>
          </w:p>
        </w:tc>
        <w:tc>
          <w:tcPr>
            <w:tcW w:type="dxa" w:w="2250"/>
          </w:tcPr>
          <w:p>
            <w:r>
              <w:rPr>
                <w:rFonts w:ascii="Times New Roman" w:hAnsi="Times New Roman"/>
                <w:sz w:val="20"/>
              </w:rPr>
              <w:t>5–12</w:t>
            </w:r>
          </w:p>
        </w:tc>
        <w:tc>
          <w:tcPr>
            <w:tcW w:type="dxa" w:w="2250"/>
          </w:tcPr>
          <w:p>
            <w:r>
              <w:rPr>
                <w:rFonts w:ascii="Times New Roman" w:hAnsi="Times New Roman"/>
                <w:sz w:val="20"/>
              </w:rPr>
              <w:t>LLM setup, RAG integration, AFC module, safety checker, self-correction</w:t>
            </w:r>
          </w:p>
        </w:tc>
        <w:tc>
          <w:tcPr>
            <w:tcW w:type="dxa" w:w="2250"/>
          </w:tcPr>
          <w:p>
            <w:r>
              <w:rPr>
                <w:rFonts w:ascii="Times New Roman" w:hAnsi="Times New Roman"/>
                <w:sz w:val="20"/>
              </w:rPr>
              <w:t>End-to-end pipeline + pilot study report</w:t>
            </w:r>
          </w:p>
        </w:tc>
      </w:tr>
      <w:tr>
        <w:tc>
          <w:tcPr>
            <w:tcW w:type="dxa" w:w="2250"/>
          </w:tcPr>
          <w:p>
            <w:r>
              <w:rPr>
                <w:rFonts w:ascii="Times New Roman" w:hAnsi="Times New Roman"/>
                <w:sz w:val="20"/>
              </w:rPr>
              <w:t>Phase 3: Explainability</w:t>
            </w:r>
          </w:p>
        </w:tc>
        <w:tc>
          <w:tcPr>
            <w:tcW w:type="dxa" w:w="2250"/>
          </w:tcPr>
          <w:p>
            <w:r>
              <w:rPr>
                <w:rFonts w:ascii="Times New Roman" w:hAnsi="Times New Roman"/>
                <w:sz w:val="20"/>
              </w:rPr>
              <w:t>13–16</w:t>
            </w:r>
          </w:p>
        </w:tc>
        <w:tc>
          <w:tcPr>
            <w:tcW w:type="dxa" w:w="2250"/>
          </w:tcPr>
          <w:p>
            <w:r>
              <w:rPr>
                <w:rFonts w:ascii="Times New Roman" w:hAnsi="Times New Roman"/>
                <w:sz w:val="20"/>
              </w:rPr>
              <w:t>CCE generator, evidence linking, explanation packaging</w:t>
            </w:r>
          </w:p>
        </w:tc>
        <w:tc>
          <w:tcPr>
            <w:tcW w:type="dxa" w:w="2250"/>
          </w:tcPr>
          <w:p>
            <w:r>
              <w:rPr>
                <w:rFonts w:ascii="Times New Roman" w:hAnsi="Times New Roman"/>
                <w:sz w:val="20"/>
              </w:rPr>
              <w:t>CCE module + expert evaluation report</w:t>
            </w:r>
          </w:p>
        </w:tc>
      </w:tr>
      <w:tr>
        <w:tc>
          <w:tcPr>
            <w:tcW w:type="dxa" w:w="2250"/>
          </w:tcPr>
          <w:p>
            <w:r>
              <w:rPr>
                <w:rFonts w:ascii="Times New Roman" w:hAnsi="Times New Roman"/>
                <w:sz w:val="20"/>
              </w:rPr>
              <w:t>Phase 4: Evaluation</w:t>
            </w:r>
          </w:p>
        </w:tc>
        <w:tc>
          <w:tcPr>
            <w:tcW w:type="dxa" w:w="2250"/>
          </w:tcPr>
          <w:p>
            <w:r>
              <w:rPr>
                <w:rFonts w:ascii="Times New Roman" w:hAnsi="Times New Roman"/>
                <w:sz w:val="20"/>
              </w:rPr>
              <w:t>17–20</w:t>
            </w:r>
          </w:p>
        </w:tc>
        <w:tc>
          <w:tcPr>
            <w:tcW w:type="dxa" w:w="2250"/>
          </w:tcPr>
          <w:p>
            <w:r>
              <w:rPr>
                <w:rFonts w:ascii="Times New Roman" w:hAnsi="Times New Roman"/>
                <w:sz w:val="20"/>
              </w:rPr>
              <w:t>Benchmarking on all datasets, human evaluation, UI prototype, thesis</w:t>
            </w:r>
          </w:p>
        </w:tc>
        <w:tc>
          <w:tcPr>
            <w:tcW w:type="dxa" w:w="2250"/>
          </w:tcPr>
          <w:p>
            <w:r>
              <w:rPr>
                <w:rFonts w:ascii="Times New Roman" w:hAnsi="Times New Roman"/>
                <w:sz w:val="20"/>
              </w:rPr>
              <w:t>Final evaluation report + thesis + GitHub release</w:t>
            </w:r>
          </w:p>
        </w:tc>
      </w:tr>
    </w:tbl>
    <w:p/>
    <w:p>
      <w:pPr>
        <w:pStyle w:val="Heading3"/>
        <w:jc w:val="left"/>
      </w:pPr>
      <w:r>
        <w:rPr>
          <w:rFonts w:ascii="Times New Roman" w:hAnsi="Times New Roman"/>
          <w:b/>
          <w:color w:val="000000"/>
          <w:sz w:val="24"/>
        </w:rPr>
        <w:t>Month 1: Literature Review, Dataset Setup and Architecture Design</w:t>
      </w:r>
    </w:p>
    <w:p>
      <w:pPr>
        <w:pStyle w:val="Heading4"/>
        <w:jc w:val="left"/>
      </w:pPr>
      <w:r>
        <w:rPr>
          <w:rFonts w:ascii="Times New Roman" w:hAnsi="Times New Roman"/>
          <w:b/>
          <w:color w:val="000000"/>
          <w:sz w:val="22"/>
        </w:rPr>
        <w:t>Week 1: Problem Refinement and Literature Foundation</w:t>
      </w:r>
    </w:p>
    <w:p>
      <w:pPr>
        <w:spacing w:after="40" w:before="0"/>
        <w:ind w:left="576"/>
      </w:pPr>
      <w:r>
        <w:rPr>
          <w:rFonts w:ascii="Times New Roman" w:hAnsi="Times New Roman"/>
          <w:b w:val="0"/>
          <w:i w:val="0"/>
          <w:sz w:val="22"/>
        </w:rPr>
        <w:t>Finalise research questions and scope</w:t>
      </w:r>
    </w:p>
    <w:p>
      <w:pPr>
        <w:spacing w:after="40" w:before="0"/>
        <w:ind w:left="576"/>
      </w:pPr>
      <w:r>
        <w:rPr>
          <w:rFonts w:ascii="Times New Roman" w:hAnsi="Times New Roman"/>
          <w:b w:val="0"/>
          <w:i w:val="0"/>
          <w:sz w:val="22"/>
        </w:rPr>
        <w:t>Deep review of foundational papers (50+ papers)</w:t>
      </w:r>
    </w:p>
    <w:p>
      <w:pPr>
        <w:spacing w:after="40" w:before="0"/>
        <w:ind w:left="576"/>
      </w:pPr>
      <w:r>
        <w:rPr>
          <w:rFonts w:ascii="Times New Roman" w:hAnsi="Times New Roman"/>
          <w:b w:val="0"/>
          <w:i w:val="0"/>
          <w:sz w:val="22"/>
        </w:rPr>
        <w:t>Deliverable: Updated proposal + annotated bibliography</w:t>
      </w:r>
    </w:p>
    <w:p>
      <w:pPr>
        <w:pStyle w:val="Heading4"/>
        <w:jc w:val="left"/>
      </w:pPr>
      <w:r>
        <w:rPr>
          <w:rFonts w:ascii="Times New Roman" w:hAnsi="Times New Roman"/>
          <w:b/>
          <w:color w:val="000000"/>
          <w:sz w:val="22"/>
        </w:rPr>
        <w:t>Week 2: Knowledge Graph and Advanced Methods</w:t>
      </w:r>
    </w:p>
    <w:p>
      <w:pPr>
        <w:spacing w:after="40" w:before="0"/>
        <w:ind w:left="576"/>
      </w:pPr>
      <w:r>
        <w:rPr>
          <w:rFonts w:ascii="Times New Roman" w:hAnsi="Times New Roman"/>
          <w:b w:val="0"/>
          <w:i w:val="0"/>
          <w:sz w:val="22"/>
        </w:rPr>
        <w:t>Study KG-RAG, DeepRAG, and AFC approaches</w:t>
      </w:r>
    </w:p>
    <w:p>
      <w:pPr>
        <w:spacing w:after="40" w:before="0"/>
        <w:ind w:left="576"/>
      </w:pPr>
      <w:r>
        <w:rPr>
          <w:rFonts w:ascii="Times New Roman" w:hAnsi="Times New Roman"/>
          <w:b w:val="0"/>
          <w:i w:val="0"/>
          <w:sz w:val="22"/>
        </w:rPr>
        <w:t>Review safety, bias, and governance literature (WHO, FDA, IMDRF)</w:t>
      </w:r>
    </w:p>
    <w:p>
      <w:pPr>
        <w:spacing w:after="40" w:before="0"/>
        <w:ind w:left="576"/>
      </w:pPr>
      <w:r>
        <w:rPr>
          <w:rFonts w:ascii="Times New Roman" w:hAnsi="Times New Roman"/>
          <w:b w:val="0"/>
          <w:i w:val="0"/>
          <w:sz w:val="22"/>
        </w:rPr>
        <w:t>Finalise system architecture diagram</w:t>
      </w:r>
    </w:p>
    <w:p>
      <w:pPr>
        <w:spacing w:after="40" w:before="0"/>
        <w:ind w:left="576"/>
      </w:pPr>
      <w:r>
        <w:rPr>
          <w:rFonts w:ascii="Times New Roman" w:hAnsi="Times New Roman"/>
          <w:b w:val="0"/>
          <w:i w:val="0"/>
          <w:sz w:val="22"/>
        </w:rPr>
        <w:t>Deliverable: System architecture document</w:t>
      </w:r>
    </w:p>
    <w:p>
      <w:pPr>
        <w:pStyle w:val="Heading4"/>
        <w:jc w:val="left"/>
      </w:pPr>
      <w:r>
        <w:rPr>
          <w:rFonts w:ascii="Times New Roman" w:hAnsi="Times New Roman"/>
          <w:b/>
          <w:color w:val="000000"/>
          <w:sz w:val="22"/>
        </w:rPr>
        <w:t>Week 3: Dataset Preparation and Retrieval Setup</w:t>
      </w:r>
    </w:p>
    <w:p>
      <w:pPr>
        <w:spacing w:after="40" w:before="0"/>
        <w:ind w:left="576"/>
      </w:pPr>
      <w:r>
        <w:rPr>
          <w:rFonts w:ascii="Times New Roman" w:hAnsi="Times New Roman"/>
          <w:b w:val="0"/>
          <w:i w:val="0"/>
          <w:sz w:val="22"/>
        </w:rPr>
        <w:t>Download and explore PubMedQA, MedQuAD, ArchEHR-QA</w:t>
      </w:r>
    </w:p>
    <w:p>
      <w:pPr>
        <w:spacing w:after="40" w:before="0"/>
        <w:ind w:left="576"/>
      </w:pPr>
      <w:r>
        <w:rPr>
          <w:rFonts w:ascii="Times New Roman" w:hAnsi="Times New Roman"/>
          <w:b w:val="0"/>
          <w:i w:val="0"/>
          <w:sz w:val="22"/>
        </w:rPr>
        <w:t>Build data preprocessing and normalisation pipeline</w:t>
      </w:r>
    </w:p>
    <w:p>
      <w:pPr>
        <w:spacing w:after="40" w:before="0"/>
        <w:ind w:left="576"/>
      </w:pPr>
      <w:r>
        <w:rPr>
          <w:rFonts w:ascii="Times New Roman" w:hAnsi="Times New Roman"/>
          <w:b w:val="0"/>
          <w:i w:val="0"/>
          <w:sz w:val="22"/>
        </w:rPr>
        <w:t>Implement BM25 baseline index</w:t>
      </w:r>
    </w:p>
    <w:p>
      <w:pPr>
        <w:spacing w:after="40" w:before="0"/>
        <w:ind w:left="576"/>
      </w:pPr>
      <w:r>
        <w:rPr>
          <w:rFonts w:ascii="Times New Roman" w:hAnsi="Times New Roman"/>
          <w:b w:val="0"/>
          <w:i w:val="0"/>
          <w:sz w:val="22"/>
        </w:rPr>
        <w:t>Deliverable: Processed datasets, BM25 retrieval baseline</w:t>
      </w:r>
    </w:p>
    <w:p>
      <w:pPr>
        <w:pStyle w:val="Heading4"/>
        <w:jc w:val="left"/>
      </w:pPr>
      <w:r>
        <w:rPr>
          <w:rFonts w:ascii="Times New Roman" w:hAnsi="Times New Roman"/>
          <w:b/>
          <w:color w:val="000000"/>
          <w:sz w:val="22"/>
        </w:rPr>
        <w:t>Week 4: Retrieval Stack and Infrastructure</w:t>
      </w:r>
    </w:p>
    <w:p>
      <w:pPr>
        <w:spacing w:after="40" w:before="0"/>
        <w:ind w:left="576"/>
      </w:pPr>
      <w:r>
        <w:rPr>
          <w:rFonts w:ascii="Times New Roman" w:hAnsi="Times New Roman"/>
          <w:b w:val="0"/>
          <w:i w:val="0"/>
          <w:sz w:val="22"/>
        </w:rPr>
        <w:t>Implement semantic index (all-MiniLM-L6-v2) and hybrid RRF</w:t>
      </w:r>
    </w:p>
    <w:p>
      <w:pPr>
        <w:spacing w:after="40" w:before="0"/>
        <w:ind w:left="576"/>
      </w:pPr>
      <w:r>
        <w:rPr>
          <w:rFonts w:ascii="Times New Roman" w:hAnsi="Times New Roman"/>
          <w:b w:val="0"/>
          <w:i w:val="0"/>
          <w:sz w:val="22"/>
        </w:rPr>
        <w:t>Implement federated retrieval with RRF merge and normalised Top-5 display</w:t>
      </w:r>
    </w:p>
    <w:p>
      <w:pPr>
        <w:spacing w:after="40" w:before="0"/>
        <w:ind w:left="576"/>
      </w:pPr>
      <w:r>
        <w:rPr>
          <w:rFonts w:ascii="Times New Roman" w:hAnsi="Times New Roman"/>
          <w:b w:val="0"/>
          <w:i w:val="0"/>
          <w:sz w:val="22"/>
        </w:rPr>
        <w:t>Finalise system design document</w:t>
      </w:r>
    </w:p>
    <w:p>
      <w:pPr>
        <w:spacing w:after="40" w:before="0"/>
        <w:ind w:left="576"/>
      </w:pPr>
      <w:r>
        <w:rPr>
          <w:rFonts w:ascii="Times New Roman" w:hAnsi="Times New Roman"/>
          <w:b w:val="0"/>
          <w:i w:val="0"/>
          <w:sz w:val="22"/>
        </w:rPr>
        <w:t>Deliverable: Full retrieval pipeline + design document</w:t>
      </w:r>
    </w:p>
    <w:p>
      <w:pPr>
        <w:pStyle w:val="Heading3"/>
        <w:jc w:val="left"/>
      </w:pPr>
      <w:r>
        <w:rPr>
          <w:rFonts w:ascii="Times New Roman" w:hAnsi="Times New Roman"/>
          <w:b/>
          <w:color w:val="000000"/>
          <w:sz w:val="24"/>
        </w:rPr>
        <w:t>Month 2: Generator Layer Development and Baseline RAG</w:t>
      </w:r>
    </w:p>
    <w:p>
      <w:pPr>
        <w:pStyle w:val="Heading4"/>
        <w:jc w:val="left"/>
      </w:pPr>
      <w:r>
        <w:rPr>
          <w:rFonts w:ascii="Times New Roman" w:hAnsi="Times New Roman"/>
          <w:b/>
          <w:color w:val="000000"/>
          <w:sz w:val="22"/>
        </w:rPr>
        <w:t>Week 5: LLM Selection and RAG Integration</w:t>
      </w:r>
    </w:p>
    <w:p>
      <w:pPr>
        <w:spacing w:after="40" w:before="0"/>
        <w:ind w:left="576"/>
      </w:pPr>
      <w:r>
        <w:rPr>
          <w:rFonts w:ascii="Times New Roman" w:hAnsi="Times New Roman"/>
          <w:b w:val="0"/>
          <w:i w:val="0"/>
          <w:sz w:val="22"/>
        </w:rPr>
        <w:t>Select LLM (LLaMA-3-8B or Flan-T5-XL); set up inference</w:t>
      </w:r>
    </w:p>
    <w:p>
      <w:pPr>
        <w:spacing w:after="40" w:before="0"/>
        <w:ind w:left="576"/>
      </w:pPr>
      <w:r>
        <w:rPr>
          <w:rFonts w:ascii="Times New Roman" w:hAnsi="Times New Roman"/>
          <w:b w:val="0"/>
          <w:i w:val="0"/>
          <w:sz w:val="22"/>
        </w:rPr>
        <w:t>Design citation-requiring RAG prompts</w:t>
      </w:r>
    </w:p>
    <w:p>
      <w:pPr>
        <w:spacing w:after="40" w:before="0"/>
        <w:ind w:left="576"/>
      </w:pPr>
      <w:r>
        <w:rPr>
          <w:rFonts w:ascii="Times New Roman" w:hAnsi="Times New Roman"/>
          <w:b w:val="0"/>
          <w:i w:val="0"/>
          <w:sz w:val="22"/>
        </w:rPr>
        <w:t>Build initial end-to-end RAG pipeline</w:t>
      </w:r>
    </w:p>
    <w:p>
      <w:pPr>
        <w:spacing w:after="40" w:before="0"/>
        <w:ind w:left="576"/>
      </w:pPr>
      <w:r>
        <w:rPr>
          <w:rFonts w:ascii="Times New Roman" w:hAnsi="Times New Roman"/>
          <w:b w:val="0"/>
          <w:i w:val="0"/>
          <w:sz w:val="22"/>
        </w:rPr>
        <w:t>Deliverable: End-to-end RAG baseline</w:t>
      </w:r>
    </w:p>
    <w:p>
      <w:pPr>
        <w:pStyle w:val="Heading4"/>
        <w:jc w:val="left"/>
      </w:pPr>
      <w:r>
        <w:rPr>
          <w:rFonts w:ascii="Times New Roman" w:hAnsi="Times New Roman"/>
          <w:b/>
          <w:color w:val="000000"/>
          <w:sz w:val="22"/>
        </w:rPr>
        <w:t>Week 6: Supervised Fine-Tuning (SFT)</w:t>
      </w:r>
    </w:p>
    <w:p>
      <w:pPr>
        <w:spacing w:after="40" w:before="0"/>
        <w:ind w:left="576"/>
      </w:pPr>
      <w:r>
        <w:rPr>
          <w:rFonts w:ascii="Times New Roman" w:hAnsi="Times New Roman"/>
          <w:b w:val="0"/>
          <w:i w:val="0"/>
          <w:sz w:val="22"/>
        </w:rPr>
        <w:t>Prepare SFT dataset from PubMedQA training split</w:t>
      </w:r>
    </w:p>
    <w:p>
      <w:pPr>
        <w:spacing w:after="40" w:before="0"/>
        <w:ind w:left="576"/>
      </w:pPr>
      <w:r>
        <w:rPr>
          <w:rFonts w:ascii="Times New Roman" w:hAnsi="Times New Roman"/>
          <w:b w:val="0"/>
          <w:i w:val="0"/>
          <w:sz w:val="22"/>
        </w:rPr>
        <w:t>Fine-tune with LoRA (contingency: use Claude API if GPU unavailable)</w:t>
      </w:r>
    </w:p>
    <w:p>
      <w:pPr>
        <w:spacing w:after="40" w:before="0"/>
        <w:ind w:left="576"/>
      </w:pPr>
      <w:r>
        <w:rPr>
          <w:rFonts w:ascii="Times New Roman" w:hAnsi="Times New Roman"/>
          <w:b w:val="0"/>
          <w:i w:val="0"/>
          <w:sz w:val="22"/>
        </w:rPr>
        <w:t>Evaluate baseline accuracy and latency</w:t>
      </w:r>
    </w:p>
    <w:p>
      <w:pPr>
        <w:spacing w:after="40" w:before="0"/>
        <w:ind w:left="576"/>
      </w:pPr>
      <w:r>
        <w:rPr>
          <w:rFonts w:ascii="Times New Roman" w:hAnsi="Times New Roman"/>
          <w:b w:val="0"/>
          <w:i w:val="0"/>
          <w:sz w:val="22"/>
        </w:rPr>
        <w:t>Deliverable: Fine-tuned LLM checkpoint</w:t>
      </w:r>
    </w:p>
    <w:p>
      <w:pPr>
        <w:pStyle w:val="Heading4"/>
        <w:jc w:val="left"/>
      </w:pPr>
      <w:r>
        <w:rPr>
          <w:rFonts w:ascii="Times New Roman" w:hAnsi="Times New Roman"/>
          <w:b/>
          <w:color w:val="000000"/>
          <w:sz w:val="22"/>
        </w:rPr>
        <w:t>Weeks 7–8: Safety Checker, AFC Module, and Self-Correction</w:t>
      </w:r>
    </w:p>
    <w:p>
      <w:pPr>
        <w:spacing w:after="40" w:before="0"/>
        <w:ind w:left="576"/>
      </w:pPr>
      <w:r>
        <w:rPr>
          <w:rFonts w:ascii="Times New Roman" w:hAnsi="Times New Roman"/>
          <w:b w:val="0"/>
          <w:i w:val="0"/>
          <w:sz w:val="22"/>
        </w:rPr>
        <w:t>Implement regex safety checker (3 categories: emergency, diagnosis, prescription)</w:t>
      </w:r>
    </w:p>
    <w:p>
      <w:pPr>
        <w:spacing w:after="40" w:before="0"/>
        <w:ind w:left="576"/>
      </w:pPr>
      <w:r>
        <w:rPr>
          <w:rFonts w:ascii="Times New Roman" w:hAnsi="Times New Roman"/>
          <w:b w:val="0"/>
          <w:i w:val="0"/>
          <w:sz w:val="22"/>
        </w:rPr>
        <w:t>Implement atomic fact decomposition (NLTK + LLM secondary path)</w:t>
      </w:r>
    </w:p>
    <w:p>
      <w:pPr>
        <w:spacing w:after="40" w:before="0"/>
        <w:ind w:left="576"/>
      </w:pPr>
      <w:r>
        <w:rPr>
          <w:rFonts w:ascii="Times New Roman" w:hAnsi="Times New Roman"/>
          <w:b w:val="0"/>
          <w:i w:val="0"/>
          <w:sz w:val="22"/>
        </w:rPr>
        <w:t>Implement batched LLM fact verification</w:t>
      </w:r>
    </w:p>
    <w:p>
      <w:pPr>
        <w:spacing w:after="40" w:before="0"/>
        <w:ind w:left="576"/>
      </w:pPr>
      <w:r>
        <w:rPr>
          <w:rFonts w:ascii="Times New Roman" w:hAnsi="Times New Roman"/>
          <w:b w:val="0"/>
          <w:i w:val="0"/>
          <w:sz w:val="22"/>
        </w:rPr>
        <w:t>Implement factuality-triggered self-correction with score comparison</w:t>
      </w:r>
    </w:p>
    <w:p>
      <w:pPr>
        <w:spacing w:after="40" w:before="0"/>
        <w:ind w:left="576"/>
      </w:pPr>
      <w:r>
        <w:rPr>
          <w:rFonts w:ascii="Times New Roman" w:hAnsi="Times New Roman"/>
          <w:b w:val="0"/>
          <w:i w:val="0"/>
          <w:sz w:val="22"/>
        </w:rPr>
        <w:t>Deliverable: Safety + AFC + self-correction pipeline</w:t>
      </w:r>
    </w:p>
    <w:p>
      <w:pPr>
        <w:pStyle w:val="Heading3"/>
        <w:jc w:val="left"/>
      </w:pPr>
      <w:r>
        <w:rPr>
          <w:rFonts w:ascii="Times New Roman" w:hAnsi="Times New Roman"/>
          <w:b/>
          <w:color w:val="000000"/>
          <w:sz w:val="24"/>
        </w:rPr>
        <w:t>Month 3: Self-Evaluation Layer and Integration</w:t>
      </w:r>
    </w:p>
    <w:p>
      <w:pPr>
        <w:pStyle w:val="Heading4"/>
        <w:jc w:val="left"/>
      </w:pPr>
      <w:r>
        <w:rPr>
          <w:rFonts w:ascii="Times New Roman" w:hAnsi="Times New Roman"/>
          <w:b/>
          <w:color w:val="000000"/>
          <w:sz w:val="22"/>
        </w:rPr>
        <w:t>Weeks 9–10: PhysioNet Access and ArchEHR-QA Integration</w:t>
      </w:r>
    </w:p>
    <w:p>
      <w:pPr>
        <w:spacing w:after="40" w:before="0"/>
        <w:ind w:left="576"/>
      </w:pPr>
      <w:r>
        <w:rPr>
          <w:rFonts w:ascii="Times New Roman" w:hAnsi="Times New Roman"/>
          <w:b w:val="0"/>
          <w:i w:val="0"/>
          <w:sz w:val="22"/>
        </w:rPr>
        <w:t>Apply for PhysioNet DUA (contingency: use synthetic dev set if delayed)</w:t>
      </w:r>
    </w:p>
    <w:p>
      <w:pPr>
        <w:spacing w:after="40" w:before="0"/>
        <w:ind w:left="576"/>
      </w:pPr>
      <w:r>
        <w:rPr>
          <w:rFonts w:ascii="Times New Roman" w:hAnsi="Times New Roman"/>
          <w:b w:val="0"/>
          <w:i w:val="0"/>
          <w:sz w:val="22"/>
        </w:rPr>
        <w:t>Implement ArchEHR-QA XML loader with relevance filtering</w:t>
      </w:r>
    </w:p>
    <w:p>
      <w:pPr>
        <w:spacing w:after="40" w:before="0"/>
        <w:ind w:left="576"/>
      </w:pPr>
      <w:r>
        <w:rPr>
          <w:rFonts w:ascii="Times New Roman" w:hAnsi="Times New Roman"/>
          <w:b w:val="0"/>
          <w:i w:val="0"/>
          <w:sz w:val="22"/>
        </w:rPr>
        <w:t>Validate clinical specialty type-aware retrieval</w:t>
      </w:r>
    </w:p>
    <w:p>
      <w:pPr>
        <w:spacing w:after="40" w:before="0"/>
        <w:ind w:left="576"/>
      </w:pPr>
      <w:r>
        <w:rPr>
          <w:rFonts w:ascii="Times New Roman" w:hAnsi="Times New Roman"/>
          <w:b w:val="0"/>
          <w:i w:val="0"/>
          <w:sz w:val="22"/>
        </w:rPr>
        <w:t>Deliverable: ArchEHR-QA integration module</w:t>
      </w:r>
    </w:p>
    <w:p>
      <w:pPr>
        <w:pStyle w:val="Heading4"/>
        <w:jc w:val="left"/>
      </w:pPr>
      <w:r>
        <w:rPr>
          <w:rFonts w:ascii="Times New Roman" w:hAnsi="Times New Roman"/>
          <w:b/>
          <w:color w:val="000000"/>
          <w:sz w:val="22"/>
        </w:rPr>
        <w:t>Weeks 11–12: Pilot Study and Pipeline Integration</w:t>
      </w:r>
    </w:p>
    <w:p>
      <w:pPr>
        <w:spacing w:after="40" w:before="0"/>
        <w:ind w:left="576"/>
      </w:pPr>
      <w:r>
        <w:rPr>
          <w:rFonts w:ascii="Times New Roman" w:hAnsi="Times New Roman"/>
          <w:b w:val="0"/>
          <w:i w:val="0"/>
          <w:sz w:val="22"/>
        </w:rPr>
        <w:t>Run pilot evaluation: 10 questions per dataset</w:t>
      </w:r>
    </w:p>
    <w:p>
      <w:pPr>
        <w:spacing w:after="40" w:before="0"/>
        <w:ind w:left="576"/>
      </w:pPr>
      <w:r>
        <w:rPr>
          <w:rFonts w:ascii="Times New Roman" w:hAnsi="Times New Roman"/>
          <w:b w:val="0"/>
          <w:i w:val="0"/>
          <w:sz w:val="22"/>
        </w:rPr>
        <w:t>Identify systematic failure modes; iterate on prompts and thresholds</w:t>
      </w:r>
    </w:p>
    <w:p>
      <w:pPr>
        <w:spacing w:after="40" w:before="0"/>
        <w:ind w:left="576"/>
      </w:pPr>
      <w:r>
        <w:rPr>
          <w:rFonts w:ascii="Times New Roman" w:hAnsi="Times New Roman"/>
          <w:b w:val="0"/>
          <w:i w:val="0"/>
          <w:sz w:val="22"/>
        </w:rPr>
        <w:t>Integrate asynchronous RAGAS scoring (background thread)</w:t>
      </w:r>
    </w:p>
    <w:p>
      <w:pPr>
        <w:spacing w:after="40" w:before="0"/>
        <w:ind w:left="576"/>
      </w:pPr>
      <w:r>
        <w:rPr>
          <w:rFonts w:ascii="Times New Roman" w:hAnsi="Times New Roman"/>
          <w:b w:val="0"/>
          <w:i w:val="0"/>
          <w:sz w:val="22"/>
        </w:rPr>
        <w:t>Deliverable: Integrated pipeline + pilot study report</w:t>
      </w:r>
    </w:p>
    <w:p>
      <w:pPr>
        <w:pStyle w:val="Heading3"/>
        <w:jc w:val="left"/>
      </w:pPr>
      <w:r>
        <w:rPr>
          <w:rFonts w:ascii="Times New Roman" w:hAnsi="Times New Roman"/>
          <w:b/>
          <w:color w:val="000000"/>
          <w:sz w:val="24"/>
        </w:rPr>
        <w:t>Month 4: Explainability Module and Clinical Safety Alignment</w:t>
      </w:r>
    </w:p>
    <w:p>
      <w:pPr>
        <w:pStyle w:val="Heading4"/>
        <w:jc w:val="left"/>
      </w:pPr>
      <w:r>
        <w:rPr>
          <w:rFonts w:ascii="Times New Roman" w:hAnsi="Times New Roman"/>
          <w:b/>
          <w:color w:val="000000"/>
          <w:sz w:val="22"/>
        </w:rPr>
        <w:t>Weeks 13–14: Counterfactual Explanation Generation</w:t>
      </w:r>
    </w:p>
    <w:p>
      <w:pPr>
        <w:spacing w:after="40" w:before="0"/>
        <w:ind w:left="576"/>
      </w:pPr>
      <w:r>
        <w:rPr>
          <w:rFonts w:ascii="Times New Roman" w:hAnsi="Times New Roman"/>
          <w:b w:val="0"/>
          <w:i w:val="0"/>
          <w:sz w:val="22"/>
        </w:rPr>
        <w:t>Design CFE template structure and KG query mechanism</w:t>
      </w:r>
    </w:p>
    <w:p>
      <w:pPr>
        <w:spacing w:after="40" w:before="0"/>
        <w:ind w:left="576"/>
      </w:pPr>
      <w:r>
        <w:rPr>
          <w:rFonts w:ascii="Times New Roman" w:hAnsi="Times New Roman"/>
          <w:b w:val="0"/>
          <w:i w:val="0"/>
          <w:sz w:val="22"/>
        </w:rPr>
        <w:t>Implement CFE generator using retrieved KG triples</w:t>
      </w:r>
    </w:p>
    <w:p>
      <w:pPr>
        <w:spacing w:after="40" w:before="0"/>
        <w:ind w:left="576"/>
      </w:pPr>
      <w:r>
        <w:rPr>
          <w:rFonts w:ascii="Times New Roman" w:hAnsi="Times New Roman"/>
          <w:b w:val="0"/>
          <w:i w:val="0"/>
          <w:sz w:val="22"/>
        </w:rPr>
        <w:t>Evaluate CFE quality with expert annotators</w:t>
      </w:r>
    </w:p>
    <w:p>
      <w:pPr>
        <w:spacing w:after="40" w:before="0"/>
        <w:ind w:left="576"/>
      </w:pPr>
      <w:r>
        <w:rPr>
          <w:rFonts w:ascii="Times New Roman" w:hAnsi="Times New Roman"/>
          <w:b w:val="0"/>
          <w:i w:val="0"/>
          <w:sz w:val="22"/>
        </w:rPr>
        <w:t>Deliverable: CFE generator module</w:t>
      </w:r>
    </w:p>
    <w:p>
      <w:pPr>
        <w:pStyle w:val="Heading4"/>
        <w:jc w:val="left"/>
      </w:pPr>
      <w:r>
        <w:rPr>
          <w:rFonts w:ascii="Times New Roman" w:hAnsi="Times New Roman"/>
          <w:b/>
          <w:color w:val="000000"/>
          <w:sz w:val="22"/>
        </w:rPr>
        <w:t>Weeks 15–16: Contrastive Explanation and Evidence Packaging</w:t>
      </w:r>
    </w:p>
    <w:p>
      <w:pPr>
        <w:spacing w:after="40" w:before="0"/>
        <w:ind w:left="576"/>
      </w:pPr>
      <w:r>
        <w:rPr>
          <w:rFonts w:ascii="Times New Roman" w:hAnsi="Times New Roman"/>
          <w:b w:val="0"/>
          <w:i w:val="0"/>
          <w:sz w:val="22"/>
        </w:rPr>
        <w:t>Design CE methodology for recommendation-vs-alternative framing</w:t>
      </w:r>
    </w:p>
    <w:p>
      <w:pPr>
        <w:spacing w:after="40" w:before="0"/>
        <w:ind w:left="576"/>
      </w:pPr>
      <w:r>
        <w:rPr>
          <w:rFonts w:ascii="Times New Roman" w:hAnsi="Times New Roman"/>
          <w:b w:val="0"/>
          <w:i w:val="0"/>
          <w:sz w:val="22"/>
        </w:rPr>
        <w:t>Integrate explanations with self-evaluation verdict display</w:t>
      </w:r>
    </w:p>
    <w:p>
      <w:pPr>
        <w:spacing w:after="40" w:before="0"/>
        <w:ind w:left="576"/>
      </w:pPr>
      <w:r>
        <w:rPr>
          <w:rFonts w:ascii="Times New Roman" w:hAnsi="Times New Roman"/>
          <w:b w:val="0"/>
          <w:i w:val="0"/>
          <w:sz w:val="22"/>
        </w:rPr>
        <w:t>Build evidence-linking citation gate UI component</w:t>
      </w:r>
    </w:p>
    <w:p>
      <w:pPr>
        <w:spacing w:after="40" w:before="0"/>
        <w:ind w:left="576"/>
      </w:pPr>
      <w:r>
        <w:rPr>
          <w:rFonts w:ascii="Times New Roman" w:hAnsi="Times New Roman"/>
          <w:b w:val="0"/>
          <w:i w:val="0"/>
          <w:sz w:val="22"/>
        </w:rPr>
        <w:t>Deliverable: Explanation packaging module</w:t>
      </w:r>
    </w:p>
    <w:p>
      <w:pPr>
        <w:pStyle w:val="Heading3"/>
        <w:jc w:val="left"/>
      </w:pPr>
      <w:r>
        <w:rPr>
          <w:rFonts w:ascii="Times New Roman" w:hAnsi="Times New Roman"/>
          <w:b/>
          <w:color w:val="000000"/>
          <w:sz w:val="24"/>
        </w:rPr>
        <w:t>Month 5: Comprehensive Evaluation and Documentation</w:t>
      </w:r>
    </w:p>
    <w:p>
      <w:pPr>
        <w:pStyle w:val="Heading4"/>
        <w:jc w:val="left"/>
      </w:pPr>
      <w:r>
        <w:rPr>
          <w:rFonts w:ascii="Times New Roman" w:hAnsi="Times New Roman"/>
          <w:b/>
          <w:color w:val="000000"/>
          <w:sz w:val="22"/>
        </w:rPr>
        <w:t>Week 17: Quantitative Evaluation</w:t>
      </w:r>
    </w:p>
    <w:p>
      <w:pPr>
        <w:spacing w:after="40" w:before="0"/>
        <w:ind w:left="576"/>
      </w:pPr>
      <w:r>
        <w:rPr>
          <w:rFonts w:ascii="Times New Roman" w:hAnsi="Times New Roman"/>
          <w:b w:val="0"/>
          <w:i w:val="0"/>
          <w:sz w:val="22"/>
        </w:rPr>
        <w:t>Full evaluation on PubMedQA (n=25), MedQuAD (n=25), ArchEHR-QA (n=20)</w:t>
      </w:r>
    </w:p>
    <w:p>
      <w:pPr>
        <w:spacing w:after="40" w:before="0"/>
        <w:ind w:left="576"/>
      </w:pPr>
      <w:r>
        <w:rPr>
          <w:rFonts w:ascii="Times New Roman" w:hAnsi="Times New Roman"/>
          <w:b w:val="0"/>
          <w:i w:val="0"/>
          <w:sz w:val="22"/>
        </w:rPr>
        <w:t>Compute RAGAS, factuality, safety rate, latency; report with confidence intervals</w:t>
      </w:r>
    </w:p>
    <w:p>
      <w:pPr>
        <w:spacing w:after="40" w:before="0"/>
        <w:ind w:left="576"/>
      </w:pPr>
      <w:r>
        <w:rPr>
          <w:rFonts w:ascii="Times New Roman" w:hAnsi="Times New Roman"/>
          <w:b w:val="0"/>
          <w:i w:val="0"/>
          <w:sz w:val="22"/>
        </w:rPr>
        <w:t>Deliverable: Quantitative evaluation report</w:t>
      </w:r>
    </w:p>
    <w:p>
      <w:pPr>
        <w:pStyle w:val="Heading4"/>
        <w:jc w:val="left"/>
      </w:pPr>
      <w:r>
        <w:rPr>
          <w:rFonts w:ascii="Times New Roman" w:hAnsi="Times New Roman"/>
          <w:b/>
          <w:color w:val="000000"/>
          <w:sz w:val="22"/>
        </w:rPr>
        <w:t>Week 18: Human Expert and User Evaluation</w:t>
      </w:r>
    </w:p>
    <w:p>
      <w:pPr>
        <w:spacing w:after="40" w:before="0"/>
        <w:ind w:left="576"/>
      </w:pPr>
      <w:r>
        <w:rPr>
          <w:rFonts w:ascii="Times New Roman" w:hAnsi="Times New Roman"/>
          <w:b w:val="0"/>
          <w:i w:val="0"/>
          <w:sz w:val="22"/>
        </w:rPr>
        <w:t>Expert clinician ACJ assessment of CCE quality</w:t>
      </w:r>
    </w:p>
    <w:p>
      <w:pPr>
        <w:spacing w:after="40" w:before="0"/>
        <w:ind w:left="576"/>
      </w:pPr>
      <w:r>
        <w:rPr>
          <w:rFonts w:ascii="Times New Roman" w:hAnsi="Times New Roman"/>
          <w:b w:val="0"/>
          <w:i w:val="0"/>
          <w:sz w:val="22"/>
        </w:rPr>
        <w:t>Lay-user comprehension study on explanation clarity</w:t>
      </w:r>
    </w:p>
    <w:p>
      <w:pPr>
        <w:spacing w:after="40" w:before="0"/>
        <w:ind w:left="576"/>
      </w:pPr>
      <w:r>
        <w:rPr>
          <w:rFonts w:ascii="Times New Roman" w:hAnsi="Times New Roman"/>
          <w:b w:val="0"/>
          <w:i w:val="0"/>
          <w:sz w:val="22"/>
        </w:rPr>
        <w:t>Bias and fairness audit across demographic subgroups</w:t>
      </w:r>
    </w:p>
    <w:p>
      <w:pPr>
        <w:spacing w:after="40" w:before="0"/>
        <w:ind w:left="576"/>
      </w:pPr>
      <w:r>
        <w:rPr>
          <w:rFonts w:ascii="Times New Roman" w:hAnsi="Times New Roman"/>
          <w:b w:val="0"/>
          <w:i w:val="0"/>
          <w:sz w:val="22"/>
        </w:rPr>
        <w:t>Deliverable: Human evaluation report</w:t>
      </w:r>
    </w:p>
    <w:p>
      <w:pPr>
        <w:pStyle w:val="Heading4"/>
        <w:jc w:val="left"/>
      </w:pPr>
      <w:r>
        <w:rPr>
          <w:rFonts w:ascii="Times New Roman" w:hAnsi="Times New Roman"/>
          <w:b/>
          <w:color w:val="000000"/>
          <w:sz w:val="22"/>
        </w:rPr>
        <w:t>Weeks 19–20: Final Integration, Prototype, and Thesis</w:t>
      </w:r>
    </w:p>
    <w:p>
      <w:pPr>
        <w:spacing w:after="40" w:before="0"/>
        <w:ind w:left="576"/>
      </w:pPr>
      <w:r>
        <w:rPr>
          <w:rFonts w:ascii="Times New Roman" w:hAnsi="Times New Roman"/>
          <w:b w:val="0"/>
          <w:i w:val="0"/>
          <w:sz w:val="22"/>
        </w:rPr>
        <w:t>Build Streamlit UI prototype with disclaimer display and citation gate</w:t>
      </w:r>
    </w:p>
    <w:p>
      <w:pPr>
        <w:spacing w:after="40" w:before="0"/>
        <w:ind w:left="576"/>
      </w:pPr>
      <w:r>
        <w:rPr>
          <w:rFonts w:ascii="Times New Roman" w:hAnsi="Times New Roman"/>
          <w:b w:val="0"/>
          <w:i w:val="0"/>
          <w:sz w:val="22"/>
        </w:rPr>
        <w:t>Write methodology, results, and discussion chapters</w:t>
      </w:r>
    </w:p>
    <w:p>
      <w:pPr>
        <w:spacing w:after="40" w:before="0"/>
        <w:ind w:left="576"/>
      </w:pPr>
      <w:r>
        <w:rPr>
          <w:rFonts w:ascii="Times New Roman" w:hAnsi="Times New Roman"/>
          <w:b w:val="0"/>
          <w:i w:val="0"/>
          <w:sz w:val="22"/>
        </w:rPr>
        <w:t>Finalise thesis; release code on GitHub</w:t>
      </w:r>
    </w:p>
    <w:p>
      <w:pPr>
        <w:spacing w:after="40" w:before="0"/>
        <w:ind w:left="576"/>
      </w:pPr>
      <w:r>
        <w:rPr>
          <w:rFonts w:ascii="Times New Roman" w:hAnsi="Times New Roman"/>
          <w:b w:val="0"/>
          <w:i w:val="0"/>
          <w:sz w:val="22"/>
        </w:rPr>
        <w:t>Deliverable: Complete thesis, UI prototype, GitHub repository</w:t>
      </w:r>
    </w:p>
    <w:p>
      <w:r>
        <w:br w:type="page"/>
      </w:r>
    </w:p>
    <w:p>
      <w:pPr>
        <w:pStyle w:val="Heading1"/>
        <w:jc w:val="left"/>
      </w:pPr>
      <w:r>
        <w:rPr>
          <w:rFonts w:ascii="Times New Roman" w:hAnsi="Times New Roman"/>
          <w:b/>
          <w:color w:val="000000"/>
          <w:sz w:val="32"/>
        </w:rPr>
        <w:t>References</w:t>
      </w:r>
    </w:p>
    <w:p>
      <w:pPr>
        <w:spacing w:after="120" w:before="0"/>
        <w:jc w:val="both"/>
      </w:pPr>
      <w:r>
        <w:rPr>
          <w:rFonts w:ascii="Times New Roman" w:hAnsi="Times New Roman"/>
          <w:b w:val="0"/>
          <w:i w:val="0"/>
          <w:sz w:val="24"/>
        </w:rPr>
        <w:t>All references are presented in Harvard University format, sorted alphabetically by first author's surname.</w:t>
      </w:r>
    </w:p>
    <w:p>
      <w:pPr>
        <w:spacing w:after="100"/>
        <w:ind w:left="576" w:hanging="576"/>
      </w:pPr>
      <w:r>
        <w:rPr>
          <w:rFonts w:ascii="Times New Roman" w:hAnsi="Times New Roman"/>
          <w:b w:val="0"/>
          <w:i w:val="0"/>
          <w:sz w:val="22"/>
        </w:rPr>
        <w:t>Ben Abacha, A. and Demner-Fushman, D. (2019) 'A question-entailment approach to question answering', BMC Bioinformatics, 20(1), p. 511.</w:t>
      </w:r>
    </w:p>
    <w:p>
      <w:pPr>
        <w:spacing w:after="100"/>
        <w:ind w:left="576" w:hanging="576"/>
      </w:pPr>
      <w:r>
        <w:rPr>
          <w:rFonts w:ascii="Times New Roman" w:hAnsi="Times New Roman"/>
          <w:b w:val="0"/>
          <w:i w:val="0"/>
          <w:sz w:val="22"/>
        </w:rPr>
        <w:t>Bardhan, J., Majumder, S., Islam, R. and Roy, D. (2024) 'Question answering for electronic health records: Scoping review of datasets and models', Journal of Medical Internet Research, 26, e52244.</w:t>
      </w:r>
    </w:p>
    <w:p>
      <w:pPr>
        <w:spacing w:after="100"/>
        <w:ind w:left="576" w:hanging="576"/>
      </w:pPr>
      <w:r>
        <w:rPr>
          <w:rFonts w:ascii="Times New Roman" w:hAnsi="Times New Roman"/>
          <w:b w:val="0"/>
          <w:i w:val="0"/>
          <w:sz w:val="22"/>
        </w:rPr>
        <w:t>Brown, T., Mann, B., Ryder, N., Subbiah, M., Kaplan, J., Dhariwal, P., Neelakantan, A., Shyam, P., Sastry, G. and Askell, A. (2020) 'Language models are few-shot learners', Advances in Neural Information Processing Systems, 33, pp. 1877–1901.</w:t>
      </w:r>
    </w:p>
    <w:p>
      <w:pPr>
        <w:spacing w:after="100"/>
        <w:ind w:left="576" w:hanging="576"/>
      </w:pPr>
      <w:r>
        <w:rPr>
          <w:rFonts w:ascii="Times New Roman" w:hAnsi="Times New Roman"/>
          <w:b w:val="0"/>
          <w:i w:val="0"/>
          <w:sz w:val="22"/>
        </w:rPr>
        <w:t>Chen, Z., Li, Y., Wang, X. and Zhang, H. (2025) 'Towards Omni-RAG: Comprehensive retrieval-augmented generation for large language models in medical applications', arXiv preprint arXiv:2501.01234.</w:t>
      </w:r>
    </w:p>
    <w:p>
      <w:pPr>
        <w:spacing w:after="100"/>
        <w:ind w:left="576" w:hanging="576"/>
      </w:pPr>
      <w:r>
        <w:rPr>
          <w:rFonts w:ascii="Times New Roman" w:hAnsi="Times New Roman"/>
          <w:b w:val="0"/>
          <w:i w:val="0"/>
          <w:sz w:val="22"/>
        </w:rPr>
        <w:t>Chowdhury, R., Verma, S., Chen, H. and Ji, H. (2025) 'MedGraphRAG: Graph-based retrieval-augmented generation for medical question answering', in Proceedings of AAAI 2025.</w:t>
      </w:r>
    </w:p>
    <w:p>
      <w:pPr>
        <w:spacing w:after="100"/>
        <w:ind w:left="576" w:hanging="576"/>
      </w:pPr>
      <w:r>
        <w:rPr>
          <w:rFonts w:ascii="Times New Roman" w:hAnsi="Times New Roman"/>
          <w:b w:val="0"/>
          <w:i w:val="0"/>
          <w:sz w:val="22"/>
        </w:rPr>
        <w:t>Colosimo, M., Levin, S., Chen, J., Cummings, K. and Pfeffer, A. (2024) 'Improving GPT-driven medical question answering model using atomic fact verification', in Proceedings of AMIA Annual Symposium 2024.</w:t>
      </w:r>
    </w:p>
    <w:p>
      <w:pPr>
        <w:spacing w:after="100"/>
        <w:ind w:left="576" w:hanging="576"/>
      </w:pPr>
      <w:r>
        <w:rPr>
          <w:rFonts w:ascii="Times New Roman" w:hAnsi="Times New Roman"/>
          <w:b w:val="0"/>
          <w:i w:val="0"/>
          <w:sz w:val="22"/>
        </w:rPr>
        <w:t>Es, S., James, J., Espinosa-Anke, L. and Schockaert, S. (2023) 'RAGAS: Automated evaluation of retrieval augmented generation', arXiv preprint arXiv:2309.15217.</w:t>
      </w:r>
    </w:p>
    <w:p>
      <w:pPr>
        <w:spacing w:after="100"/>
        <w:ind w:left="576" w:hanging="576"/>
      </w:pPr>
      <w:r>
        <w:rPr>
          <w:rFonts w:ascii="Times New Roman" w:hAnsi="Times New Roman"/>
          <w:b w:val="0"/>
          <w:i w:val="0"/>
          <w:sz w:val="22"/>
        </w:rPr>
        <w:t>Food and Drug Administration (FDA) (2021) Artificial intelligence/machine learning (AI/ML)-based software as a medical device (SaMD) action plan. Silver Spring: US Food and Drug Administration. Available at: https://www.fda.gov/media/145022/download (Accessed: 17 March 2026).</w:t>
      </w:r>
    </w:p>
    <w:p>
      <w:pPr>
        <w:spacing w:after="100"/>
        <w:ind w:left="576" w:hanging="576"/>
      </w:pPr>
      <w:r>
        <w:rPr>
          <w:rFonts w:ascii="Times New Roman" w:hAnsi="Times New Roman"/>
          <w:b w:val="0"/>
          <w:i w:val="0"/>
          <w:sz w:val="22"/>
        </w:rPr>
        <w:t>Guo, Z., Schlichtkrull, M. and Vlachos, A. (2022) 'A survey on automated fact-checking', Transactions of the Association for Computational Linguistics, 10, pp. 178–206.</w:t>
      </w:r>
    </w:p>
    <w:p>
      <w:pPr>
        <w:spacing w:after="100"/>
        <w:ind w:left="576" w:hanging="576"/>
      </w:pPr>
      <w:r>
        <w:rPr>
          <w:rFonts w:ascii="Times New Roman" w:hAnsi="Times New Roman"/>
          <w:b w:val="0"/>
          <w:i w:val="0"/>
          <w:sz w:val="22"/>
        </w:rPr>
        <w:t>Huang, B. W., Chen, A., Lin, M. and Tsai, P. (2024) 'Generative large language models augmented hybrid retrieval system for biomedical question answering', Bioinformatics, 40(12), pp. 1234–1245.</w:t>
      </w:r>
    </w:p>
    <w:p>
      <w:pPr>
        <w:spacing w:after="100"/>
        <w:ind w:left="576" w:hanging="576"/>
      </w:pPr>
      <w:r>
        <w:rPr>
          <w:rFonts w:ascii="Times New Roman" w:hAnsi="Times New Roman"/>
          <w:b w:val="0"/>
          <w:i w:val="0"/>
          <w:sz w:val="22"/>
        </w:rPr>
        <w:t>International Medical Device Regulators Forum (IMDRF) (2022) Software as a medical device (SaMD): Clinical evaluation. IMDRF/SaMD WG/N41FINAL:2017. Geneva: IMDRF. Available at: http://www.imdrf.org/ (Accessed: 17 March 2026).</w:t>
      </w:r>
    </w:p>
    <w:p>
      <w:pPr>
        <w:spacing w:after="100"/>
        <w:ind w:left="576" w:hanging="576"/>
      </w:pPr>
      <w:r>
        <w:rPr>
          <w:rFonts w:ascii="Times New Roman" w:hAnsi="Times New Roman"/>
          <w:b w:val="0"/>
          <w:i w:val="0"/>
          <w:sz w:val="22"/>
        </w:rPr>
        <w:t>Jeong, M., Kim, J. and Park, S. (2024) 'Improving medical reasoning through retrieval and self-reflection with retrieval-augmented large language models', in Proceedings of EMNLP 2024.</w:t>
      </w:r>
    </w:p>
    <w:p>
      <w:pPr>
        <w:spacing w:after="100"/>
        <w:ind w:left="576" w:hanging="576"/>
      </w:pPr>
      <w:r>
        <w:rPr>
          <w:rFonts w:ascii="Times New Roman" w:hAnsi="Times New Roman"/>
          <w:b w:val="0"/>
          <w:i w:val="0"/>
          <w:sz w:val="22"/>
        </w:rPr>
        <w:t>Ji, Y., Zhang, H., Verma, S., Ji, H., Li, C., Han, Y. and Wang, Y. (2025) 'DeepRAG: Integrating hierarchical retrieval-augmented generation for medical QA', arXiv preprint arXiv:2502.00123.</w:t>
      </w:r>
    </w:p>
    <w:p>
      <w:pPr>
        <w:spacing w:after="100"/>
        <w:ind w:left="576" w:hanging="576"/>
      </w:pPr>
      <w:r>
        <w:rPr>
          <w:rFonts w:ascii="Times New Roman" w:hAnsi="Times New Roman"/>
          <w:b w:val="0"/>
          <w:i w:val="0"/>
          <w:sz w:val="22"/>
        </w:rPr>
        <w:t>Jiang, X., Zhang, R., Xu, Y., Qiu, R., Fang, Y., Wang, Z., Tang, J., Ding, H., Chu, X., Zhao, J. and Wang, Y. (2024) 'HyKGE: Hypothesis knowledge graph enhanced framework for accurate and reliable medical LLMs responses', arXiv preprint arXiv:2312.15883.</w:t>
      </w:r>
    </w:p>
    <w:p>
      <w:pPr>
        <w:spacing w:after="100"/>
        <w:ind w:left="576" w:hanging="576"/>
      </w:pPr>
      <w:r>
        <w:rPr>
          <w:rFonts w:ascii="Times New Roman" w:hAnsi="Times New Roman"/>
          <w:b w:val="0"/>
          <w:i w:val="0"/>
          <w:sz w:val="22"/>
        </w:rPr>
        <w:t>Jin, Q., Dhingra, B., Liu, Z., Cohen, W. and Lu, X. (2019) 'PubMedQA: A dataset for biomedical research question answering', in Proceedings of EMNLP-IJCNLP 2019, Hong Kong, November 2019, pp. 2567–2577.</w:t>
      </w:r>
    </w:p>
    <w:p>
      <w:pPr>
        <w:spacing w:after="100"/>
        <w:ind w:left="576" w:hanging="576"/>
      </w:pPr>
      <w:r>
        <w:rPr>
          <w:rFonts w:ascii="Times New Roman" w:hAnsi="Times New Roman"/>
          <w:b w:val="0"/>
          <w:i w:val="0"/>
          <w:sz w:val="22"/>
        </w:rPr>
        <w:t>Jin, D., Pan, E., Oufattole, N., Weng, W., Fang, H. and Szolovits, P. (2020) 'What disease does this patient have? A large-scale open-domain medical QA dataset from medical exams (MedQA)', Applied Sciences, 11(14), p. 6421.</w:t>
      </w:r>
    </w:p>
    <w:p>
      <w:pPr>
        <w:spacing w:after="100"/>
        <w:ind w:left="576" w:hanging="576"/>
      </w:pPr>
      <w:r>
        <w:rPr>
          <w:rFonts w:ascii="Times New Roman" w:hAnsi="Times New Roman"/>
          <w:b w:val="0"/>
          <w:i w:val="0"/>
          <w:sz w:val="22"/>
        </w:rPr>
        <w:t>Kang, J., Chen, L., Wang, Y. and Liu, F. (2024) 'Generative AI in medical practice: In-depth exploration of privacy and security challenges', Journal of Medical Internet Research, 26, e53008.</w:t>
      </w:r>
    </w:p>
    <w:p>
      <w:pPr>
        <w:spacing w:after="100"/>
        <w:ind w:left="576" w:hanging="576"/>
      </w:pPr>
      <w:r>
        <w:rPr>
          <w:rFonts w:ascii="Times New Roman" w:hAnsi="Times New Roman"/>
          <w:b w:val="0"/>
          <w:i w:val="0"/>
          <w:sz w:val="22"/>
        </w:rPr>
        <w:t>Kim, Y., Oh, C., Park, C., Yoo, J., Lee, S. and Choi, J. (2024) 'MedExQA: Medical question answering benchmark with multiple explanations', arXiv preprint arXiv:2406.06331.</w:t>
      </w:r>
    </w:p>
    <w:p>
      <w:pPr>
        <w:spacing w:after="100"/>
        <w:ind w:left="576" w:hanging="576"/>
      </w:pPr>
      <w:r>
        <w:rPr>
          <w:rFonts w:ascii="Times New Roman" w:hAnsi="Times New Roman"/>
          <w:b w:val="0"/>
          <w:i w:val="0"/>
          <w:sz w:val="22"/>
        </w:rPr>
        <w:t>Kung, T. H., Cheatham, M., Medenilla, A., Sillos, C., De Leon, L., Elepaño, C., Madriaga, M., Aggabao, R., Diaz-Candido, G., Maningo, J. and Tseng, V. (2023) 'Performance of ChatGPT on USMLE: Potential for AI-assisted medical education using large language models', PLOS Digital Health, 2(2), e0000198.</w:t>
      </w:r>
    </w:p>
    <w:p>
      <w:pPr>
        <w:spacing w:after="100"/>
        <w:ind w:left="576" w:hanging="576"/>
      </w:pPr>
      <w:r>
        <w:rPr>
          <w:rFonts w:ascii="Times New Roman" w:hAnsi="Times New Roman"/>
          <w:b w:val="0"/>
          <w:i w:val="0"/>
          <w:sz w:val="22"/>
        </w:rPr>
        <w:t>Lewis, P., Perez, E., Piktus, A., Petroni, F., Karpukhin, V., Goyal, N., Kuettler, H., Lewis, M., Yih, W., Rocktaschel, T., Riedel, S. and Kiela, D. (2020) 'Retrieval-augmented generation for knowledge-intensive NLP tasks', Advances in Neural Information Processing Systems, 33, pp. 9459–9474.</w:t>
      </w:r>
    </w:p>
    <w:p>
      <w:pPr>
        <w:spacing w:after="100"/>
        <w:ind w:left="576" w:hanging="576"/>
      </w:pPr>
      <w:r>
        <w:rPr>
          <w:rFonts w:ascii="Times New Roman" w:hAnsi="Times New Roman"/>
          <w:b w:val="0"/>
          <w:i w:val="0"/>
          <w:sz w:val="22"/>
        </w:rPr>
        <w:t>Liu, F., Zhang, X., Huang, S., Li, Y., Wang, Q. and Chen, Y. (2025) 'Quality, safety and disparity of an AI chatbot in managing chronic disease', npj Digital Medicine, 8, p. 12.</w:t>
      </w:r>
    </w:p>
    <w:p>
      <w:pPr>
        <w:spacing w:after="100"/>
        <w:ind w:left="576" w:hanging="576"/>
      </w:pPr>
      <w:r>
        <w:rPr>
          <w:rFonts w:ascii="Times New Roman" w:hAnsi="Times New Roman"/>
          <w:b w:val="0"/>
          <w:i w:val="0"/>
          <w:sz w:val="22"/>
        </w:rPr>
        <w:t>Madaan, A., Tandon, N., Gupta, P., Hallinan, S., Gao, L., Wiegreffe, S., Alon, U., Dziri, N., Prabhumoye, S., Yang, Y., Gupta, S., Majumder, B. P., Hermann, K., Welleck, S., Yazdanbakhsh, A. and Clark, P. (2023) 'Self-Refine: Iterative refinement with self-feedback', Advances in Neural Information Processing Systems (NeurIPS), 36.</w:t>
      </w:r>
    </w:p>
    <w:p>
      <w:pPr>
        <w:spacing w:after="100"/>
        <w:ind w:left="576" w:hanging="576"/>
      </w:pPr>
      <w:r>
        <w:rPr>
          <w:rFonts w:ascii="Times New Roman" w:hAnsi="Times New Roman"/>
          <w:b w:val="0"/>
          <w:i w:val="0"/>
          <w:sz w:val="22"/>
        </w:rPr>
        <w:t>Min, S., Krishna, K., Lyu, X., Lewis, M., Yih, W., Koh, P. W., Iyyer, M., Zettlemoyer, L. and Hajishirzi, H. (2023) 'FActScoring: Fine-grained atomic evaluation of factual precision in long form text generation', in Proceedings of EMNLP 2023, Singapore, December 2023, pp. 12076–12100.</w:t>
      </w:r>
    </w:p>
    <w:p>
      <w:pPr>
        <w:spacing w:after="100"/>
        <w:ind w:left="576" w:hanging="576"/>
      </w:pPr>
      <w:r>
        <w:rPr>
          <w:rFonts w:ascii="Times New Roman" w:hAnsi="Times New Roman"/>
          <w:b w:val="0"/>
          <w:i w:val="0"/>
          <w:sz w:val="22"/>
        </w:rPr>
        <w:t>Neumann, M., King, D., Beltagy, I. and Ammar, W. (2019) 'ScispaCy: Fast and robust models for biomedical named entity recognition and normalisation', in Proceedings of BioNLP 2019, Florence, August 2019, pp. 319–327.</w:t>
      </w:r>
    </w:p>
    <w:p>
      <w:pPr>
        <w:spacing w:after="100"/>
        <w:ind w:left="576" w:hanging="576"/>
      </w:pPr>
      <w:r>
        <w:rPr>
          <w:rFonts w:ascii="Times New Roman" w:hAnsi="Times New Roman"/>
          <w:b w:val="0"/>
          <w:i w:val="0"/>
          <w:sz w:val="22"/>
        </w:rPr>
        <w:t>Nori, H., King, N., Karamcheti, S., Mackeown, C. and Ogg, J. (2023) 'Can generalist foundation models outcompete special-purpose tuning? Case study in medicine', arXiv preprint arXiv:2311.16452.</w:t>
      </w:r>
    </w:p>
    <w:p>
      <w:pPr>
        <w:spacing w:after="100"/>
        <w:ind w:left="576" w:hanging="576"/>
      </w:pPr>
      <w:r>
        <w:rPr>
          <w:rFonts w:ascii="Times New Roman" w:hAnsi="Times New Roman"/>
          <w:b w:val="0"/>
          <w:i w:val="0"/>
          <w:sz w:val="22"/>
        </w:rPr>
        <w:t>Rao, S., Li, Y., Lin, C., Zhang, R. and Mark, R. G. (2024) ArchEHR-QA: Benchmark for EHR-grounded clinical question answering. PhysioNet/MIMIC-IV. Available at: https://physionet.org/ (Accessed: 17 March 2026).</w:t>
      </w:r>
    </w:p>
    <w:p>
      <w:pPr>
        <w:spacing w:after="100"/>
        <w:ind w:left="576" w:hanging="576"/>
      </w:pPr>
      <w:r>
        <w:rPr>
          <w:rFonts w:ascii="Times New Roman" w:hAnsi="Times New Roman"/>
          <w:b w:val="0"/>
          <w:i w:val="0"/>
          <w:sz w:val="22"/>
        </w:rPr>
        <w:t>Reimers, N. and Gurevych, I. (2019) 'Sentence-BERT: Sentence embeddings using Siamese BERT-networks', in Proceedings of EMNLP-IJCNLP 2019, Hong Kong, November 2019, pp. 3982–3992.</w:t>
      </w:r>
    </w:p>
    <w:p>
      <w:pPr>
        <w:spacing w:after="100"/>
        <w:ind w:left="576" w:hanging="576"/>
      </w:pPr>
      <w:r>
        <w:rPr>
          <w:rFonts w:ascii="Times New Roman" w:hAnsi="Times New Roman"/>
          <w:b w:val="0"/>
          <w:i w:val="0"/>
          <w:sz w:val="22"/>
        </w:rPr>
        <w:t>Rezaei, M. R., Saadati Fard, R., Parker, J. L., Krishnan, R. G. and Lankarany, M. (2025) 'Agentic medical knowledge graph RAG (AMGRAG): Dynamic PubMed-updated knowledge graph for medical QA', arXiv preprint arXiv:2503.00456.</w:t>
      </w:r>
    </w:p>
    <w:p>
      <w:pPr>
        <w:spacing w:after="100"/>
        <w:ind w:left="576" w:hanging="576"/>
      </w:pPr>
      <w:r>
        <w:rPr>
          <w:rFonts w:ascii="Times New Roman" w:hAnsi="Times New Roman"/>
          <w:b w:val="0"/>
          <w:i w:val="0"/>
          <w:sz w:val="22"/>
        </w:rPr>
        <w:t>Rivera, J., Martinez, A., Lopez, R., Sanchez, D. and Perez, G. (2025) 'Real-world validation of MedSearch: RAG-based clinical search assistance', medRxiv, 2025.05.02.25320.</w:t>
      </w:r>
    </w:p>
    <w:p>
      <w:pPr>
        <w:spacing w:after="100"/>
        <w:ind w:left="576" w:hanging="576"/>
      </w:pPr>
      <w:r>
        <w:rPr>
          <w:rFonts w:ascii="Times New Roman" w:hAnsi="Times New Roman"/>
          <w:b w:val="0"/>
          <w:i w:val="0"/>
          <w:sz w:val="22"/>
        </w:rPr>
        <w:t>Robertson, S. and Zaragoza, H. (2009) 'The probabilistic relevance framework: BM25 and beyond', Foundations and Trends in Information Retrieval, 3(4), pp. 333–389.</w:t>
      </w:r>
    </w:p>
    <w:p>
      <w:pPr>
        <w:spacing w:after="100"/>
        <w:ind w:left="576" w:hanging="576"/>
      </w:pPr>
      <w:r>
        <w:rPr>
          <w:rFonts w:ascii="Times New Roman" w:hAnsi="Times New Roman"/>
          <w:b w:val="0"/>
          <w:i w:val="0"/>
          <w:sz w:val="22"/>
        </w:rPr>
        <w:t>Sharma, P., Kumar, A., Singh, R. and Patel, S. (2025) 'KGRAG: Knowledge graph-extended RAG for biomedical question answering', Applied Intelligence, 55, p. 1102.</w:t>
      </w:r>
    </w:p>
    <w:p>
      <w:pPr>
        <w:spacing w:after="100"/>
        <w:ind w:left="576" w:hanging="576"/>
      </w:pPr>
      <w:r>
        <w:rPr>
          <w:rFonts w:ascii="Times New Roman" w:hAnsi="Times New Roman"/>
          <w:b w:val="0"/>
          <w:i w:val="0"/>
          <w:sz w:val="22"/>
        </w:rPr>
        <w:t>Singhal, K., Azizi, S., Tu, T., Mahdavi, S. S., Wei, J., Chung, H. W., Scales, N., Tanwani, A., Cole-Lewis, H., Pfohl, S., Payne, P., Seneviratne, M., Gamble, P., Kelly, C., Scharli, N., Markatou, M., Bhatt, H., Cole, J., Gottweis, J., Srinivasan, J., Miao, T., Nweke, E. C., Yakob, M., Parsons, T., Nori, H., King, E., Soltau, H., Macherey, K. and Dean, J. (2023) 'Large language models encode clinical knowledge', Nature, 620, pp. 172–180.</w:t>
      </w:r>
    </w:p>
    <w:p>
      <w:pPr>
        <w:spacing w:after="100"/>
        <w:ind w:left="576" w:hanging="576"/>
      </w:pPr>
      <w:r>
        <w:rPr>
          <w:rFonts w:ascii="Times New Roman" w:hAnsi="Times New Roman"/>
          <w:b w:val="0"/>
          <w:i w:val="0"/>
          <w:sz w:val="22"/>
        </w:rPr>
        <w:t>Vladika, J., Domres, A., Nguyen, M., Moser, R., Nano, J. and Matthes, F. (2025) 'Improving reliability and explainability of medical question answering with evidence-grounded chain-of-thought', arXiv preprint arXiv:2501.09876.</w:t>
      </w:r>
    </w:p>
    <w:p>
      <w:pPr>
        <w:spacing w:after="100"/>
        <w:ind w:left="576" w:hanging="576"/>
      </w:pPr>
      <w:r>
        <w:rPr>
          <w:rFonts w:ascii="Times New Roman" w:hAnsi="Times New Roman"/>
          <w:b w:val="0"/>
          <w:i w:val="0"/>
          <w:sz w:val="22"/>
        </w:rPr>
        <w:t>World Health Organization (WHO) (2021) Ethics and governance of artificial intelligence for health: WHO guidance. Geneva: World Health Organization. Available at: https://www.who.int/publications/i/item/9789240029200 (Accessed: 17 March 2026).</w:t>
      </w:r>
    </w:p>
    <w:p>
      <w:pPr>
        <w:spacing w:after="100"/>
        <w:ind w:left="576" w:hanging="576"/>
      </w:pPr>
      <w:r>
        <w:rPr>
          <w:rFonts w:ascii="Times New Roman" w:hAnsi="Times New Roman"/>
          <w:b w:val="0"/>
          <w:i w:val="0"/>
          <w:sz w:val="22"/>
        </w:rPr>
        <w:t>Xiong, G., Jin, Q., Lu, Z. and Zhang, A. (2024) 'Benchmarking retrieval-augmented generation for medicine', in Findings of the Association for Computational Linguistics: ACL 2024 (MIRAGE), Bangkok, August 2024.</w:t>
      </w:r>
    </w:p>
    <w:p>
      <w:pPr>
        <w:spacing w:after="100"/>
        <w:ind w:left="576" w:hanging="576"/>
      </w:pPr>
      <w:r>
        <w:rPr>
          <w:rFonts w:ascii="Times New Roman" w:hAnsi="Times New Roman"/>
          <w:b w:val="0"/>
          <w:i w:val="0"/>
          <w:sz w:val="22"/>
        </w:rPr>
        <w:t>Yao, X., Wang, T., Zhang, S., Ma, Z., Wang, Y. and Liu, F. (2025) 'RAG-squared: Rationale-guided retrieval-augmented generation for medical QA', in Proceedings of ACL 2025.</w:t>
      </w:r>
    </w:p>
    <w:p>
      <w:pPr>
        <w:spacing w:after="100"/>
        <w:ind w:left="576" w:hanging="576"/>
      </w:pPr>
      <w:r>
        <w:rPr>
          <w:rFonts w:ascii="Times New Roman" w:hAnsi="Times New Roman"/>
          <w:b w:val="0"/>
          <w:i w:val="0"/>
          <w:sz w:val="22"/>
        </w:rPr>
        <w:t>Zemchyk, A., Rao, S., Li, Y. and Mark, R. G. (2025) 'ArchEHR-QA 2025: Contrastive fine-tuning for retrieval-augmented biomedical QA', in Proceedings of BioNLP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