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All data that enters a Green Pace application must be treated as untrusted until it has been checked. Validation should confirm the expected type, length, format, range, and allowed values before the information is processed or stored. For example, a field that expects a positive account number should reject letters, negative values, and numbers outside the permitted range. Validation should occur on the server side even when the user interface also performs checks, because client-side controls can be bypassed. Consistent input validation reduces the risk of injection attacks, buffer errors, unexpected program behavior, and corrupted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Compiler warnings often identify code that is technically accepted but may still be unsafe, unclear, or incorrect. Green Pace developers should enable a high warning level, investigate every warning, and avoid suppressing a warning unless the reason is documented and approved. Warnings about narrowing conversions, uninitialized variables, signed and unsigned comparisons, unreachable code, or ignored return values can point to real security defects. Treating warnings as errors in the build process helps prevent questionable code from reaching production and encourages developers to correct problems while the code is still being written.</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Security must be included in the architecture and design of an application instead of being added after development is complete. Green Pace teams should identify sensitive data, trust boundaries, user roles, likely threats, and required controls during planning. The design should clearly show where authentication, authorization, encryption, logging, validation, and error handling are required. Reviewing these decisions before coding begins makes security easier to implement consistently and reduces expensive redesign later. A secure design also helps developers understand the purpose of each control instead of treating security as a collection of unrelated fixes.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Simple code and simple security controls are usually easier to understand, test, and maintain. Green Pace developers should avoid unnecessary complexity, duplicate logic, deeply nested conditions, and custom security mechanisms when a well-tested standard solution is available. Complex code can hide mistakes and make security reviews more difficult because reviewers may not clearly understand every execution path. Keeping functions focused, interfaces small, and responsibilities clear reduces the number of places where a vulnerability can be introduced. Simplicity does not mean removing necessary controls; it means implementing those controls in the clearest reliable way.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Access should be denied unless it has been specifically allowed by an approved rule. New users, services, files, and system functions should begin with no access beyond what is necessary for their approved purpose. When a request does not match a known permission, the application should reject it safely instead of guessing or allowing access. This principle protects the organization when permissions are missing, incomplete, or incorrectly configured. It also prevents accidental exposure caused by broad default settings and ensures that access is granted through deliberate security decisions.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Every user, process, application, and service should receive only the permissions needed to complete its assigned task and only for the time those permissions are required. A reporting service, for example, should not have permission to delete production records if it only needs to read them. Green Pace should separate administrative duties from routine user activity and periodically review privileges for unnecessary access. Limiting privileges reduces the damage that can occur if an account, application, or component is compromised. It also lowers the chance that an honest mistake will affect resources outside the user's responsibility.</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Data leaving one Green Pace component and entering another system must be prepared for the specific destination in which it will be used. This may require output encoding, escaping special characters, selecting safe data formats, or using parameterized interfaces instead of joining commands together as text. The correct protection depends on whether the destination is a database, web page, operating-system command, log file, or another service. Sanitizing output prevents data from being interpreted as instructions and reduces SQL injection, command injection, cross-site scripting, and log manipulation risks.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Green Pace should use multiple independent layers of protection so that one failed control does not expose the entire system. A secure application may combine input validation, authentication, role-based authorization, encryption, network controls, secure configuration, monitoring, and tested recovery procedures. Each layer addresses a different part of the risk and gives the organization another opportunity to prevent, detect, or contain an attack. Defense in depth is especially important because no single tool or coding practice can stop every threat. The layers should support one another without creating unnecessary complexity.</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Security quality assurance should include more than normal functional testing. Green Pace teams should perform peer code reviews, static analysis, unit and integration tests, dependency scanning, fuzz testing where appropriate, and security-focused test cases. Testing should include invalid input, boundary values, failure paths, and attempts to misuse the application. Defects should be tracked until they are corrected and verified. Using several quality assurance techniques improves the chance of finding weaknesses before release because each technique identifies different types of problems.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vAlign w:val="center"/>
          </w:tcPr>
          <w:p>
            <w:pPr>
              <w:spacing w:after="0"/>
            </w:pPr>
            <w:r/>
            <w:r>
              <w:rPr>
                <w:rFonts w:ascii="Arial" w:hAnsi="Arial" w:eastAsia="Arial"/>
                <w:b w:val="0"/>
                <w:sz w:val="20"/>
              </w:rPr>
              <w:t>A secure coding standard gives developers a consistent set of rules for preventing known classes of vulnerabilities. Green Pace will use the SEI CERT C++ Coding Standard as a primary reference for C and C++ development and will supplement it with organization-specific requirements when needed. Standards should be included in training, code reviews, automated checks, and the build process so they are applied consistently rather than only consulted after a problem occurs. A shared standard improves code quality, makes reviews more objective, and helps the organization demonstrate that security expectations are documented and repeatable.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Data Type</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STD-001-DCL</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Use Appropriate, Explicit, and Initialized Data Types</w:t>
            </w:r>
            <w:r>
              <w:br/>
            </w:r>
            <w:r>
              <w:rPr>
                <w:rFonts w:ascii="Arial" w:hAnsi="Arial" w:eastAsia="Arial"/>
                <w:b w:val="0"/>
                <w:sz w:val="18"/>
              </w:rPr>
            </w:r>
            <w:r>
              <w:br/>
            </w:r>
            <w:r>
              <w:rPr>
                <w:rFonts w:ascii="Arial" w:hAnsi="Arial" w:eastAsia="Arial"/>
                <w:b w:val="0"/>
                <w:sz w:val="18"/>
              </w:rPr>
              <w:t>Green Pace developers must choose data types that accurately represent the values being stored and must initialize objects before use. This standard follows the SEI CERT C++ guidance for declarations and initialization, including DCL rules that discourage uninitialized variables and unsafe type choices. Using a type that is too small, mixing signed and unsigned values, or relying on an indeterminate value can cause incorrect comparisons, truncation, or unpredictable control flow. Fixed-width integer types should be used when the required size is part of the interface or file format. Initialization should happen at the point of declaration whenever possible so that every execution path begins with a known value.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variable `attempts` is declared but never initialized. Its indeterminate value is then used in a security decision, so the program may lock an account too early or may fail to lock it when required.</w:t>
            </w:r>
          </w:p>
        </w:tc>
      </w:tr>
      <w:tr w:rsidR="00F72634" w14:paraId="5B8614A1"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int attempts;</w:t>
            </w:r>
            <w:r>
              <w:br/>
            </w:r>
            <w:r>
              <w:rPr>
                <w:rFonts w:ascii="Courier New" w:hAnsi="Courier New" w:eastAsia="Courier New"/>
                <w:sz w:val="24"/>
              </w:rPr>
            </w:r>
            <w:r>
              <w:br/>
            </w:r>
            <w:r>
              <w:rPr>
                <w:rFonts w:ascii="Courier New" w:hAnsi="Courier New" w:eastAsia="Courier New"/>
                <w:sz w:val="24"/>
              </w:rPr>
              <w:t>if (attempts &gt;= 3) {</w:t>
            </w:r>
            <w:r>
              <w:br/>
            </w:r>
            <w:r>
              <w:rPr>
                <w:rFonts w:ascii="Courier New" w:hAnsi="Courier New" w:eastAsia="Courier New"/>
                <w:sz w:val="24"/>
              </w:rPr>
              <w:t xml:space="preserve">    lockAccount();</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++attempts;</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initializes the variable immediately and uses an unsigned fixed-width type because a negative count is not valid. Every use of `attempts` now begins from a predictable value.</w:t>
            </w:r>
          </w:p>
        </w:tc>
      </w:tr>
      <w:tr w:rsidR="00F72634" w14:paraId="4EAB134E"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&lt;cstdint&gt;</w:t>
            </w:r>
            <w:r>
              <w:br/>
            </w:r>
            <w:r>
              <w:rPr>
                <w:rFonts w:ascii="Courier New" w:hAnsi="Courier New" w:eastAsia="Courier New"/>
                <w:sz w:val="24"/>
              </w:rPr>
            </w:r>
            <w:r>
              <w:br/>
            </w:r>
            <w:r>
              <w:rPr>
                <w:rFonts w:ascii="Courier New" w:hAnsi="Courier New" w:eastAsia="Courier New"/>
                <w:sz w:val="24"/>
              </w:rPr>
              <w:t>std::uint32_t attempts{0};</w:t>
            </w:r>
            <w:r>
              <w:br/>
            </w:r>
            <w:r>
              <w:rPr>
                <w:rFonts w:ascii="Courier New" w:hAnsi="Courier New" w:eastAsia="Courier New"/>
                <w:sz w:val="24"/>
              </w:rPr>
            </w:r>
            <w:r>
              <w:br/>
            </w:r>
            <w:r>
              <w:rPr>
                <w:rFonts w:ascii="Courier New" w:hAnsi="Courier New" w:eastAsia="Courier New"/>
                <w:sz w:val="24"/>
              </w:rPr>
              <w:t>if (attempts &gt;= 3U) {</w:t>
            </w:r>
            <w:r>
              <w:br/>
            </w:r>
            <w:r>
              <w:rPr>
                <w:rFonts w:ascii="Courier New" w:hAnsi="Courier New" w:eastAsia="Courier New"/>
                <w:sz w:val="24"/>
              </w:rPr>
              <w:t xml:space="preserve">    lockAccount();</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++attempts;</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2, 4, 9, and 10. Heeding compiler warnings helps identify uninitialized or incompatible declarations. Keeping declarations simple makes type intent easier to review. Quality assurance can detect incorrect initialization before release, while the secure coding standard provides one consistent rule for every Green Pace developer.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Low</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cppcoreguidelines-init-variables</w:t>
            </w:r>
          </w:p>
        </w:tc>
        <w:tc>
          <w:tcPr>
            <w:tcW w:w="3611" w:type="dxa"/>
            <w:shd w:val="clear" w:color="auto" w:fill="auto"/>
          </w:tcPr>
          <w:p>
            <w:pPr>
              <w:spacing w:after="0" w:before="0"/>
              <w:jc w:val="left"/>
            </w:pPr>
            <w:r/>
            <w:r>
              <w:rPr>
                <w:rFonts w:ascii="Arial" w:hAnsi="Arial" w:eastAsia="Arial"/>
                <w:b w:val="0"/>
                <w:sz w:val="15"/>
              </w:rPr>
              <w:t>Flags variables that are declared without a safe initial value.</w:t>
            </w:r>
          </w:p>
        </w:tc>
      </w:tr>
      <w:tr w:rsidR="00B475A1" w14:paraId="39933CAB"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uninitvar / uninitStructMember</w:t>
            </w:r>
          </w:p>
        </w:tc>
        <w:tc>
          <w:tcPr>
            <w:tcW w:w="3611" w:type="dxa"/>
            <w:shd w:val="clear" w:color="auto" w:fill="auto"/>
          </w:tcPr>
          <w:p>
            <w:pPr>
              <w:spacing w:after="0" w:before="0"/>
              <w:jc w:val="left"/>
            </w:pPr>
            <w:r/>
            <w:r>
              <w:rPr>
                <w:rFonts w:ascii="Arial" w:hAnsi="Arial" w:eastAsia="Arial"/>
                <w:b w:val="0"/>
                <w:sz w:val="15"/>
              </w:rPr>
              <w:t>Detects reads of variables or structure members before initialization.</w:t>
            </w:r>
          </w:p>
        </w:tc>
      </w:tr>
      <w:tr w:rsidR="00B475A1" w14:paraId="1BD6F81E" w14:textId="77777777" w:rsidTr="00001F14">
        <w:trPr>
          <w:trHeight w:val="460"/>
        </w:trPr>
        <w:tc>
          <w:tcPr>
            <w:tcW w:w="1807" w:type="dxa"/>
            <w:shd w:val="clear" w:color="auto" w:fill="auto"/>
          </w:tcPr>
          <w:p>
            <w:pPr>
              <w:spacing w:after="0" w:before="0"/>
              <w:jc w:val="center"/>
            </w:pPr>
            <w:r/>
            <w:r>
              <w:rPr>
                <w:rFonts w:ascii="Arial" w:hAnsi="Arial" w:eastAsia="Arial"/>
                <w:b w:val="0"/>
                <w:sz w:val="15"/>
              </w:rPr>
              <w:t>GCC</w:t>
            </w:r>
          </w:p>
        </w:tc>
        <w:tc>
          <w:tcPr>
            <w:tcW w:w="1341" w:type="dxa"/>
            <w:shd w:val="clear" w:color="auto" w:fill="auto"/>
          </w:tcPr>
          <w:p>
            <w:pPr>
              <w:spacing w:after="0" w:before="0"/>
              <w:jc w:val="center"/>
            </w:pPr>
            <w:r/>
            <w:r>
              <w:rPr>
                <w:rFonts w:ascii="Arial" w:hAnsi="Arial" w:eastAsia="Arial"/>
                <w:b w:val="0"/>
                <w:sz w:val="15"/>
              </w:rPr>
              <w:t>14</w:t>
            </w:r>
          </w:p>
        </w:tc>
        <w:tc>
          <w:tcPr>
            <w:tcW w:w="4021" w:type="dxa"/>
            <w:shd w:val="clear" w:color="auto" w:fill="auto"/>
          </w:tcPr>
          <w:p>
            <w:pPr>
              <w:spacing w:after="0" w:before="0"/>
              <w:jc w:val="center"/>
            </w:pPr>
            <w:r/>
            <w:r>
              <w:rPr>
                <w:rFonts w:ascii="Arial" w:hAnsi="Arial" w:eastAsia="Arial"/>
                <w:b w:val="0"/>
                <w:sz w:val="15"/>
              </w:rPr>
              <w:t>-Wall -Wextra -Wuninitialized</w:t>
            </w:r>
          </w:p>
        </w:tc>
        <w:tc>
          <w:tcPr>
            <w:tcW w:w="3611" w:type="dxa"/>
            <w:shd w:val="clear" w:color="auto" w:fill="auto"/>
          </w:tcPr>
          <w:p>
            <w:pPr>
              <w:spacing w:after="0" w:before="0"/>
              <w:jc w:val="left"/>
            </w:pPr>
            <w:r/>
            <w:r>
              <w:rPr>
                <w:rFonts w:ascii="Arial" w:hAnsi="Arial" w:eastAsia="Arial"/>
                <w:b w:val="0"/>
                <w:sz w:val="15"/>
              </w:rPr>
              <w:t>Compiler diagnostics identify uninitialized and suspicious declarations during every build.</w:t>
            </w:r>
          </w:p>
        </w:tc>
      </w:tr>
      <w:tr w:rsidR="00B475A1" w14:paraId="0D2FC839"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cpp/use-of-uninitialized-variable</w:t>
            </w:r>
          </w:p>
        </w:tc>
        <w:tc>
          <w:tcPr>
            <w:tcW w:w="3611" w:type="dxa"/>
            <w:shd w:val="clear" w:color="auto" w:fill="auto"/>
          </w:tcPr>
          <w:p>
            <w:pPr>
              <w:spacing w:after="0" w:before="0"/>
              <w:jc w:val="left"/>
            </w:pPr>
            <w:r/>
            <w:r>
              <w:rPr>
                <w:rFonts w:ascii="Arial" w:hAnsi="Arial" w:eastAsia="Arial"/>
                <w:b w:val="0"/>
                <w:sz w:val="15"/>
              </w:rPr>
              <w:t>Finds paths where an uninitialized value may influence program behavior.</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Data Value</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STD-002-INT</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Validate Numeric Values Before Arithmetic or Conversion</w:t>
            </w:r>
            <w:r>
              <w:br/>
            </w:r>
            <w:r>
              <w:rPr>
                <w:rFonts w:ascii="Arial" w:hAnsi="Arial" w:eastAsia="Arial"/>
                <w:b w:val="0"/>
                <w:sz w:val="18"/>
              </w:rPr>
            </w:r>
            <w:r>
              <w:br/>
            </w:r>
            <w:r>
              <w:rPr>
                <w:rFonts w:ascii="Arial" w:hAnsi="Arial" w:eastAsia="Arial"/>
                <w:b w:val="0"/>
                <w:sz w:val="18"/>
              </w:rPr>
              <w:t>Numeric values must be checked before they are used in calculations, array sizes, memory allocations, or conversions. The SEI CERT C++ integer rules explain that overflow, underflow, sign errors, and narrowing conversions can change a value in ways the programmer did not intend. Green Pace code should verify acceptable ranges before performing arithmetic and should not assume that user-supplied or externally supplied numbers are safe. When a conversion could lose information, the program should compare the value against the destination type limits first. These checks protect calculations that affect billing, record counts, memory sizes, permissions, and other security-sensitive operations.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multiplication can overflow before the result is assigned to `totalBytes`. A large `recordCount` could wrap to a much smaller value and lead to an undersized allocation or an incorrect limit check.</w:t>
            </w:r>
          </w:p>
        </w:tc>
      </w:tr>
      <w:tr w:rsidR="00F72634" w14:paraId="347ECF59"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&lt;cstddef&gt;</w:t>
            </w:r>
            <w:r>
              <w:br/>
            </w:r>
            <w:r>
              <w:rPr>
                <w:rFonts w:ascii="Courier New" w:hAnsi="Courier New" w:eastAsia="Courier New"/>
                <w:sz w:val="24"/>
              </w:rPr>
            </w:r>
            <w:r>
              <w:br/>
            </w:r>
            <w:r>
              <w:rPr>
                <w:rFonts w:ascii="Courier New" w:hAnsi="Courier New" w:eastAsia="Courier New"/>
                <w:sz w:val="24"/>
              </w:rPr>
              <w:t>std::size_t totalBytes = recordCount * recordSize;</w:t>
            </w:r>
            <w:r>
              <w:br/>
            </w:r>
            <w:r>
              <w:rPr>
                <w:rFonts w:ascii="Courier New" w:hAnsi="Courier New" w:eastAsia="Courier New"/>
                <w:sz w:val="24"/>
              </w:rPr>
              <w:t>char* buffer = new char[totalBytes];</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checks whether the multiplication can be represented by `std::size_t` before it performs the operation. It also uses a vector so the allocated memory is released automatically.</w:t>
            </w:r>
          </w:p>
        </w:tc>
      </w:tr>
      <w:tr w:rsidR="00F72634" w14:paraId="71761811"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&lt;cstddef&gt;</w:t>
            </w:r>
            <w:r>
              <w:br/>
            </w:r>
            <w:r>
              <w:rPr>
                <w:rFonts w:ascii="Courier New" w:hAnsi="Courier New" w:eastAsia="Courier New"/>
                <w:sz w:val="24"/>
              </w:rPr>
              <w:t>#include &lt;limits&gt;</w:t>
            </w:r>
            <w:r>
              <w:br/>
            </w:r>
            <w:r>
              <w:rPr>
                <w:rFonts w:ascii="Courier New" w:hAnsi="Courier New" w:eastAsia="Courier New"/>
                <w:sz w:val="24"/>
              </w:rPr>
              <w:t>#include &lt;stdexcept&gt;</w:t>
            </w:r>
            <w:r>
              <w:br/>
            </w:r>
            <w:r>
              <w:rPr>
                <w:rFonts w:ascii="Courier New" w:hAnsi="Courier New" w:eastAsia="Courier New"/>
                <w:sz w:val="24"/>
              </w:rPr>
              <w:t>#include &lt;vector&gt;</w:t>
            </w:r>
            <w:r>
              <w:br/>
            </w:r>
            <w:r>
              <w:rPr>
                <w:rFonts w:ascii="Courier New" w:hAnsi="Courier New" w:eastAsia="Courier New"/>
                <w:sz w:val="24"/>
              </w:rPr>
            </w:r>
            <w:r>
              <w:br/>
            </w:r>
            <w:r>
              <w:rPr>
                <w:rFonts w:ascii="Courier New" w:hAnsi="Courier New" w:eastAsia="Courier New"/>
                <w:sz w:val="24"/>
              </w:rPr>
              <w:t>if (recordSize != 0 &amp;&amp;</w:t>
            </w:r>
            <w:r>
              <w:br/>
            </w:r>
            <w:r>
              <w:rPr>
                <w:rFonts w:ascii="Courier New" w:hAnsi="Courier New" w:eastAsia="Courier New"/>
                <w:sz w:val="24"/>
              </w:rPr>
              <w:t xml:space="preserve">    recordCount &gt; std::numeric_limits&lt;std::size_t&gt;::max() / recordSize) {</w:t>
            </w:r>
            <w:r>
              <w:br/>
            </w:r>
            <w:r>
              <w:rPr>
                <w:rFonts w:ascii="Courier New" w:hAnsi="Courier New" w:eastAsia="Courier New"/>
                <w:sz w:val="24"/>
              </w:rPr>
              <w:t xml:space="preserve">    throw std::overflow_error("Requested size is too large");</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const std::size_t totalBytes = recordCount * recordSize;</w:t>
            </w:r>
            <w:r>
              <w:br/>
            </w:r>
            <w:r>
              <w:rPr>
                <w:rFonts w:ascii="Courier New" w:hAnsi="Courier New" w:eastAsia="Courier New"/>
                <w:sz w:val="24"/>
              </w:rPr>
              <w:t>std::vector&lt;char&gt; buffer(totalBytes);</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2, 4, 8, and 10. Numeric input must be validated before calculation or conversion. Compiler warnings expose narrowing and sign changes, simple arithmetic is easier to verify, defense in depth adds both precondition checks and safe types, and the coding standard makes those protections repeatable.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Medium</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cppcoreguidelines-narrowing-conversions</w:t>
            </w:r>
          </w:p>
        </w:tc>
        <w:tc>
          <w:tcPr>
            <w:tcW w:w="3611" w:type="dxa"/>
            <w:shd w:val="clear" w:color="auto" w:fill="auto"/>
          </w:tcPr>
          <w:p>
            <w:pPr>
              <w:spacing w:after="0" w:before="0"/>
              <w:jc w:val="left"/>
            </w:pPr>
            <w:r/>
            <w:r>
              <w:rPr>
                <w:rFonts w:ascii="Arial" w:hAnsi="Arial" w:eastAsia="Arial"/>
                <w:b w:val="0"/>
                <w:sz w:val="15"/>
              </w:rPr>
              <w:t>Reports conversions that can lose range, sign, or precision.</w:t>
            </w:r>
          </w:p>
        </w:tc>
      </w:tr>
      <w:tr w:rsidR="00B475A1" w14:paraId="5FE44A56"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integerOverflow / signConversion</w:t>
            </w:r>
          </w:p>
        </w:tc>
        <w:tc>
          <w:tcPr>
            <w:tcW w:w="3611" w:type="dxa"/>
            <w:shd w:val="clear" w:color="auto" w:fill="auto"/>
          </w:tcPr>
          <w:p>
            <w:pPr>
              <w:spacing w:after="0" w:before="0"/>
              <w:jc w:val="left"/>
            </w:pPr>
            <w:r/>
            <w:r>
              <w:rPr>
                <w:rFonts w:ascii="Arial" w:hAnsi="Arial" w:eastAsia="Arial"/>
                <w:b w:val="0"/>
                <w:sz w:val="15"/>
              </w:rPr>
              <w:t>Detects suspicious arithmetic and signed/unsigned conversion problems.</w:t>
            </w:r>
          </w:p>
        </w:tc>
      </w:tr>
      <w:tr w:rsidR="00B475A1" w14:paraId="142FCAB9" w14:textId="77777777" w:rsidTr="00001F14">
        <w:trPr>
          <w:trHeight w:val="460"/>
        </w:trPr>
        <w:tc>
          <w:tcPr>
            <w:tcW w:w="1807" w:type="dxa"/>
            <w:shd w:val="clear" w:color="auto" w:fill="auto"/>
          </w:tcPr>
          <w:p>
            <w:pPr>
              <w:spacing w:after="0" w:before="0"/>
              <w:jc w:val="center"/>
            </w:pPr>
            <w:r/>
            <w:r>
              <w:rPr>
                <w:rFonts w:ascii="Arial" w:hAnsi="Arial" w:eastAsia="Arial"/>
                <w:b w:val="0"/>
                <w:sz w:val="15"/>
              </w:rPr>
              <w:t>GCC</w:t>
            </w:r>
          </w:p>
        </w:tc>
        <w:tc>
          <w:tcPr>
            <w:tcW w:w="1341" w:type="dxa"/>
            <w:shd w:val="clear" w:color="auto" w:fill="auto"/>
          </w:tcPr>
          <w:p>
            <w:pPr>
              <w:spacing w:after="0" w:before="0"/>
              <w:jc w:val="center"/>
            </w:pPr>
            <w:r/>
            <w:r>
              <w:rPr>
                <w:rFonts w:ascii="Arial" w:hAnsi="Arial" w:eastAsia="Arial"/>
                <w:b w:val="0"/>
                <w:sz w:val="15"/>
              </w:rPr>
              <w:t>14</w:t>
            </w:r>
          </w:p>
        </w:tc>
        <w:tc>
          <w:tcPr>
            <w:tcW w:w="4021" w:type="dxa"/>
            <w:shd w:val="clear" w:color="auto" w:fill="auto"/>
          </w:tcPr>
          <w:p>
            <w:pPr>
              <w:spacing w:after="0" w:before="0"/>
              <w:jc w:val="center"/>
            </w:pPr>
            <w:r/>
            <w:r>
              <w:rPr>
                <w:rFonts w:ascii="Arial" w:hAnsi="Arial" w:eastAsia="Arial"/>
                <w:b w:val="0"/>
                <w:sz w:val="15"/>
              </w:rPr>
              <w:t>-Wconversion -Wsign-conversion -Woverflow</w:t>
            </w:r>
          </w:p>
        </w:tc>
        <w:tc>
          <w:tcPr>
            <w:tcW w:w="3611" w:type="dxa"/>
            <w:shd w:val="clear" w:color="auto" w:fill="auto"/>
          </w:tcPr>
          <w:p>
            <w:pPr>
              <w:spacing w:after="0" w:before="0"/>
              <w:jc w:val="left"/>
            </w:pPr>
            <w:r/>
            <w:r>
              <w:rPr>
                <w:rFonts w:ascii="Arial" w:hAnsi="Arial" w:eastAsia="Arial"/>
                <w:b w:val="0"/>
                <w:sz w:val="15"/>
              </w:rPr>
              <w:t>Build warnings expose risky conversions and constant overflows.</w:t>
            </w:r>
          </w:p>
        </w:tc>
      </w:tr>
      <w:tr w:rsidR="00B475A1" w14:paraId="7B57D6C5"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cpp/integer-overflow</w:t>
            </w:r>
          </w:p>
        </w:tc>
        <w:tc>
          <w:tcPr>
            <w:tcW w:w="3611" w:type="dxa"/>
            <w:shd w:val="clear" w:color="auto" w:fill="auto"/>
          </w:tcPr>
          <w:p>
            <w:pPr>
              <w:spacing w:after="0" w:before="0"/>
              <w:jc w:val="left"/>
            </w:pPr>
            <w:r/>
            <w:r>
              <w:rPr>
                <w:rFonts w:ascii="Arial" w:hAnsi="Arial" w:eastAsia="Arial"/>
                <w:b w:val="0"/>
                <w:sz w:val="15"/>
              </w:rPr>
              <w:t>Uses data-flow analysis to identify arithmetic that may exceed the destination range.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String Correctness</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STD-003-STR</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Use Bounded String Operations and Preserve Null Termination</w:t>
            </w:r>
            <w:r>
              <w:br/>
            </w:r>
            <w:r>
              <w:rPr>
                <w:rFonts w:ascii="Arial" w:hAnsi="Arial" w:eastAsia="Arial"/>
                <w:b w:val="0"/>
                <w:sz w:val="18"/>
              </w:rPr>
            </w:r>
            <w:r>
              <w:br/>
            </w:r>
            <w:r>
              <w:rPr>
                <w:rFonts w:ascii="Arial" w:hAnsi="Arial" w:eastAsia="Arial"/>
                <w:b w:val="0"/>
                <w:sz w:val="18"/>
              </w:rPr>
              <w:t>String handling must prevent writes beyond the destination and must preserve the expected string representation. The SEI CERT C++ characters and strings rules warn against unsafe copying functions and incorrect assumptions about buffer length. Green Pace developers should prefer `std::string` and other standard library types that manage storage automatically. When a fixed character array is required for an external interface, the code must know the destination capacity, limit the number of characters copied, and guarantee null termination. Correct string handling prevents buffer overflows, data corruption, crashes, and possible execution of attacker-controlled data.</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call to `strcpy` does not know the size of the destination. A username longer than 15 characters writes past the end of the array and corrupts adjacent memory.</w:t>
            </w:r>
          </w:p>
        </w:tc>
      </w:tr>
      <w:tr w:rsidR="00F72634" w14:paraId="6EF6786D"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&lt;cstring&gt;</w:t>
            </w:r>
            <w:r>
              <w:br/>
            </w:r>
            <w:r>
              <w:rPr>
                <w:rFonts w:ascii="Courier New" w:hAnsi="Courier New" w:eastAsia="Courier New"/>
                <w:sz w:val="24"/>
              </w:rPr>
            </w:r>
            <w:r>
              <w:br/>
            </w:r>
            <w:r>
              <w:rPr>
                <w:rFonts w:ascii="Courier New" w:hAnsi="Courier New" w:eastAsia="Courier New"/>
                <w:sz w:val="24"/>
              </w:rPr>
              <w:t>void saveUser(const char* input) {</w:t>
            </w:r>
            <w:r>
              <w:br/>
            </w:r>
            <w:r>
              <w:rPr>
                <w:rFonts w:ascii="Courier New" w:hAnsi="Courier New" w:eastAsia="Courier New"/>
                <w:sz w:val="24"/>
              </w:rPr>
              <w:t xml:space="preserve">    char username[16];</w:t>
            </w:r>
            <w:r>
              <w:br/>
            </w:r>
            <w:r>
              <w:rPr>
                <w:rFonts w:ascii="Courier New" w:hAnsi="Courier New" w:eastAsia="Courier New"/>
                <w:sz w:val="24"/>
              </w:rPr>
              <w:t xml:space="preserve">    std::strcpy(username, input);</w:t>
            </w:r>
            <w:r>
              <w:br/>
            </w:r>
            <w:r>
              <w:rPr>
                <w:rFonts w:ascii="Courier New" w:hAnsi="Courier New" w:eastAsia="Courier New"/>
                <w:sz w:val="24"/>
              </w:rPr>
              <w:t xml:space="preserve">    storeName(username);</w:t>
            </w:r>
            <w:r>
              <w:br/>
            </w:r>
            <w:r>
              <w:rPr>
                <w:rFonts w:ascii="Courier New" w:hAnsi="Courier New" w:eastAsia="Courier New"/>
                <w:sz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uses `std::string`, checks the business limit, and rejects oversized input before storing it. No fixed-size copy is performed, so the destination cannot be overflowed.</w:t>
            </w:r>
          </w:p>
        </w:tc>
      </w:tr>
      <w:tr w:rsidR="00F72634" w14:paraId="1A9D16B4"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&lt;stdexcept&gt;</w:t>
            </w:r>
            <w:r>
              <w:br/>
            </w:r>
            <w:r>
              <w:rPr>
                <w:rFonts w:ascii="Courier New" w:hAnsi="Courier New" w:eastAsia="Courier New"/>
                <w:sz w:val="24"/>
              </w:rPr>
              <w:t>#include &lt;string&gt;</w:t>
            </w:r>
            <w:r>
              <w:br/>
            </w:r>
            <w:r>
              <w:rPr>
                <w:rFonts w:ascii="Courier New" w:hAnsi="Courier New" w:eastAsia="Courier New"/>
                <w:sz w:val="24"/>
              </w:rPr>
              <w:t>#include &lt;string_view&gt;</w:t>
            </w:r>
            <w:r>
              <w:br/>
            </w:r>
            <w:r>
              <w:rPr>
                <w:rFonts w:ascii="Courier New" w:hAnsi="Courier New" w:eastAsia="Courier New"/>
                <w:sz w:val="24"/>
              </w:rPr>
            </w:r>
            <w:r>
              <w:br/>
            </w:r>
            <w:r>
              <w:rPr>
                <w:rFonts w:ascii="Courier New" w:hAnsi="Courier New" w:eastAsia="Courier New"/>
                <w:sz w:val="24"/>
              </w:rPr>
              <w:t>void saveUser(std::string_view input) {</w:t>
            </w:r>
            <w:r>
              <w:br/>
            </w:r>
            <w:r>
              <w:rPr>
                <w:rFonts w:ascii="Courier New" w:hAnsi="Courier New" w:eastAsia="Courier New"/>
                <w:sz w:val="24"/>
              </w:rPr>
              <w:t xml:space="preserve">    constexpr std::size_t maxLength{15};</w:t>
            </w:r>
            <w:r>
              <w:br/>
            </w:r>
            <w:r>
              <w:rPr>
                <w:rFonts w:ascii="Courier New" w:hAnsi="Courier New" w:eastAsia="Courier New"/>
                <w:sz w:val="24"/>
              </w:rPr>
              <w:t xml:space="preserve">    if (input.empty() || input.size() &gt; maxLength) {</w:t>
            </w:r>
            <w:r>
              <w:br/>
            </w:r>
            <w:r>
              <w:rPr>
                <w:rFonts w:ascii="Courier New" w:hAnsi="Courier New" w:eastAsia="Courier New"/>
                <w:sz w:val="24"/>
              </w:rPr>
              <w:t xml:space="preserve">        throw std::invalid_argument("Invalid username length");</w:t>
            </w:r>
            <w:r>
              <w:br/>
            </w:r>
            <w:r>
              <w:rPr>
                <w:rFonts w:ascii="Courier New" w:hAnsi="Courier New" w:eastAsia="Courier New"/>
                <w:sz w:val="24"/>
              </w:rPr>
              <w:t xml:space="preserve">    }</w:t>
            </w:r>
            <w:r>
              <w:br/>
            </w:r>
            <w:r>
              <w:rPr>
                <w:rFonts w:ascii="Courier New" w:hAnsi="Courier New" w:eastAsia="Courier New"/>
                <w:sz w:val="24"/>
              </w:rPr>
            </w:r>
            <w:r>
              <w:br/>
            </w:r>
            <w:r>
              <w:rPr>
                <w:rFonts w:ascii="Courier New" w:hAnsi="Courier New" w:eastAsia="Courier New"/>
                <w:sz w:val="24"/>
              </w:rPr>
              <w:t xml:space="preserve">    const std::string username{input};</w:t>
            </w:r>
            <w:r>
              <w:br/>
            </w:r>
            <w:r>
              <w:rPr>
                <w:rFonts w:ascii="Courier New" w:hAnsi="Courier New" w:eastAsia="Courier New"/>
                <w:sz w:val="24"/>
              </w:rPr>
              <w:t xml:space="preserve">    storeName(username);</w:t>
            </w:r>
            <w:r>
              <w:br/>
            </w:r>
            <w:r>
              <w:rPr>
                <w:rFonts w:ascii="Courier New" w:hAnsi="Courier New" w:eastAsia="Courier New"/>
                <w:sz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4, 7, 8, and 10. String length and format are validated at trust boundaries. Safer string abstractions keep the design understandable, output is sanitized before it reaches another component, layered bounds checks reduce the chance of one failure becoming an exploit, and the standard gives the team a consistent approach.</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Medium</w:t>
            </w:r>
          </w:p>
        </w:tc>
        <w:tc>
          <w:tcPr>
            <w:tcW w:w="1807" w:type="dxa"/>
            <w:shd w:val="clear" w:color="auto" w:fill="auto"/>
          </w:tcPr>
          <w:p>
            <w:pPr>
              <w:spacing w:after="0" w:before="0"/>
              <w:jc w:val="center"/>
            </w:pPr>
            <w:r/>
            <w:r>
              <w:rPr>
                <w:rFonts w:ascii="Arial" w:hAnsi="Arial" w:eastAsia="Arial"/>
                <w:b w:val="0"/>
                <w:sz w:val="17"/>
              </w:rPr>
              <w:t>Critical</w:t>
            </w:r>
          </w:p>
        </w:tc>
        <w:tc>
          <w:tcPr>
            <w:tcW w:w="1805" w:type="dxa"/>
            <w:shd w:val="clear" w:color="auto" w:fill="auto"/>
          </w:tcPr>
          <w:p>
            <w:pPr>
              <w:spacing w:after="0" w:before="0"/>
              <w:jc w:val="center"/>
            </w:pPr>
            <w:r/>
            <w:r>
              <w:rPr>
                <w:rFonts w:ascii="Arial" w:hAnsi="Arial" w:eastAsia="Arial"/>
                <w:b w:val="0"/>
                <w:sz w:val="17"/>
              </w:rP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cppcoreguidelines-pro-bounds-array-to-pointer-decay</w:t>
            </w:r>
          </w:p>
        </w:tc>
        <w:tc>
          <w:tcPr>
            <w:tcW w:w="3611" w:type="dxa"/>
            <w:shd w:val="clear" w:color="auto" w:fill="auto"/>
          </w:tcPr>
          <w:p>
            <w:pPr>
              <w:spacing w:after="0" w:before="0"/>
              <w:jc w:val="left"/>
            </w:pPr>
            <w:r/>
            <w:r>
              <w:rPr>
                <w:rFonts w:ascii="Arial" w:hAnsi="Arial" w:eastAsia="Arial"/>
                <w:b w:val="0"/>
                <w:sz w:val="15"/>
              </w:rPr>
              <w:t>Highlights array and pointer patterns that commonly bypass bounds protection.</w:t>
            </w:r>
          </w:p>
        </w:tc>
      </w:tr>
      <w:tr w:rsidR="00B475A1" w14:paraId="21077E8E"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bufferAccessOutOfBounds</w:t>
            </w:r>
          </w:p>
        </w:tc>
        <w:tc>
          <w:tcPr>
            <w:tcW w:w="3611" w:type="dxa"/>
            <w:shd w:val="clear" w:color="auto" w:fill="auto"/>
          </w:tcPr>
          <w:p>
            <w:pPr>
              <w:spacing w:after="0" w:before="0"/>
              <w:jc w:val="left"/>
            </w:pPr>
            <w:r/>
            <w:r>
              <w:rPr>
                <w:rFonts w:ascii="Arial" w:hAnsi="Arial" w:eastAsia="Arial"/>
                <w:b w:val="0"/>
                <w:sz w:val="15"/>
              </w:rPr>
              <w:t>Detects out-of-bounds reads and writes in string and buffer operations.</w:t>
            </w:r>
          </w:p>
        </w:tc>
      </w:tr>
      <w:tr w:rsidR="00B475A1" w14:paraId="2F58D832" w14:textId="77777777" w:rsidTr="00001F14">
        <w:trPr>
          <w:trHeight w:val="460"/>
        </w:trPr>
        <w:tc>
          <w:tcPr>
            <w:tcW w:w="1807" w:type="dxa"/>
            <w:shd w:val="clear" w:color="auto" w:fill="auto"/>
          </w:tcPr>
          <w:p>
            <w:pPr>
              <w:spacing w:after="0" w:before="0"/>
              <w:jc w:val="center"/>
            </w:pPr>
            <w:r/>
            <w:r>
              <w:rPr>
                <w:rFonts w:ascii="Arial" w:hAnsi="Arial" w:eastAsia="Arial"/>
                <w:b w:val="0"/>
                <w:sz w:val="15"/>
              </w:rPr>
              <w:t>GCC</w:t>
            </w:r>
          </w:p>
        </w:tc>
        <w:tc>
          <w:tcPr>
            <w:tcW w:w="1341" w:type="dxa"/>
            <w:shd w:val="clear" w:color="auto" w:fill="auto"/>
          </w:tcPr>
          <w:p>
            <w:pPr>
              <w:spacing w:after="0" w:before="0"/>
              <w:jc w:val="center"/>
            </w:pPr>
            <w:r/>
            <w:r>
              <w:rPr>
                <w:rFonts w:ascii="Arial" w:hAnsi="Arial" w:eastAsia="Arial"/>
                <w:b w:val="0"/>
                <w:sz w:val="15"/>
              </w:rPr>
              <w:t>14</w:t>
            </w:r>
          </w:p>
        </w:tc>
        <w:tc>
          <w:tcPr>
            <w:tcW w:w="4021" w:type="dxa"/>
            <w:shd w:val="clear" w:color="auto" w:fill="auto"/>
          </w:tcPr>
          <w:p>
            <w:pPr>
              <w:spacing w:after="0" w:before="0"/>
              <w:jc w:val="center"/>
            </w:pPr>
            <w:r/>
            <w:r>
              <w:rPr>
                <w:rFonts w:ascii="Arial" w:hAnsi="Arial" w:eastAsia="Arial"/>
                <w:b w:val="0"/>
                <w:sz w:val="15"/>
              </w:rPr>
              <w:t>-Wstringop-overflow -Warray-bounds</w:t>
            </w:r>
          </w:p>
        </w:tc>
        <w:tc>
          <w:tcPr>
            <w:tcW w:w="3611" w:type="dxa"/>
            <w:shd w:val="clear" w:color="auto" w:fill="auto"/>
          </w:tcPr>
          <w:p>
            <w:pPr>
              <w:spacing w:after="0" w:before="0"/>
              <w:jc w:val="left"/>
            </w:pPr>
            <w:r/>
            <w:r>
              <w:rPr>
                <w:rFonts w:ascii="Arial" w:hAnsi="Arial" w:eastAsia="Arial"/>
                <w:b w:val="0"/>
                <w:sz w:val="15"/>
              </w:rPr>
              <w:t>Compiler checks identify unsafe copies and provable buffer boundary violations.</w:t>
            </w:r>
          </w:p>
        </w:tc>
      </w:tr>
      <w:tr w:rsidR="00B475A1" w14:paraId="4771F374"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cpp/overflow-buffer</w:t>
            </w:r>
          </w:p>
        </w:tc>
        <w:tc>
          <w:tcPr>
            <w:tcW w:w="3611" w:type="dxa"/>
            <w:shd w:val="clear" w:color="auto" w:fill="auto"/>
          </w:tcPr>
          <w:p>
            <w:pPr>
              <w:spacing w:after="0" w:before="0"/>
              <w:jc w:val="left"/>
            </w:pPr>
            <w:r/>
            <w:r>
              <w:rPr>
                <w:rFonts w:ascii="Arial" w:hAnsi="Arial" w:eastAsia="Arial"/>
                <w:b w:val="0"/>
                <w:sz w:val="15"/>
              </w:rPr>
              <w:t>Finds data-flow paths that can copy attacker-controlled data beyond a buffer.</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SQL Injection</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STD-004-SQL</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Use Parameterized SQL Statements for Untrusted Data</w:t>
            </w:r>
            <w:r>
              <w:br/>
            </w:r>
            <w:r>
              <w:rPr>
                <w:rFonts w:ascii="Arial" w:hAnsi="Arial" w:eastAsia="Arial"/>
                <w:b w:val="0"/>
                <w:sz w:val="18"/>
              </w:rPr>
            </w:r>
            <w:r>
              <w:br/>
            </w:r>
            <w:r>
              <w:rPr>
                <w:rFonts w:ascii="Arial" w:hAnsi="Arial" w:eastAsia="Arial"/>
                <w:b w:val="0"/>
                <w:sz w:val="18"/>
              </w:rPr>
              <w:t>Application data must never be inserted into an SQL command by concatenating strings. Although SQL injection is a database issue, the C++ application creates the risk when it combines untrusted input with executable query text. Green Pace code must use prepared statements and bound parameters so the database treats user data as a value rather than as part of the command. Input validation should still be performed for business rules, but validation is not a replacement for parameterization. Database accounts should also follow least privilege so that the impact of a failed control is limited.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username is appended directly to the SQL statement. An attacker can enter SQL syntax that changes the meaning of the query and may bypass authentication or access records belonging to another user.</w:t>
            </w:r>
          </w:p>
        </w:tc>
      </w:tr>
      <w:tr w:rsidR="00F72634" w14:paraId="555F1178"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std::string query =</w:t>
            </w:r>
            <w:r>
              <w:br/>
            </w:r>
            <w:r>
              <w:rPr>
                <w:rFonts w:ascii="Courier New" w:hAnsi="Courier New" w:eastAsia="Courier New"/>
                <w:sz w:val="24"/>
              </w:rPr>
              <w:t xml:space="preserve">    "SELECT id FROM users WHERE username = '" + username + "'";</w:t>
            </w:r>
            <w:r>
              <w:br/>
            </w:r>
            <w:r>
              <w:rPr>
                <w:rFonts w:ascii="Courier New" w:hAnsi="Courier New" w:eastAsia="Courier New"/>
                <w:sz w:val="24"/>
              </w:rPr>
            </w:r>
            <w:r>
              <w:br/>
            </w:r>
            <w:r>
              <w:rPr>
                <w:rFonts w:ascii="Courier New" w:hAnsi="Courier New" w:eastAsia="Courier New"/>
                <w:sz w:val="24"/>
              </w:rPr>
              <w:t>sqlite3_exec(db, query.c_str(), nullptr, nullptr, nullptr);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prepares a statement containing a placeholder and binds the username as data. The database does not execute characters inside the username as SQL syntax.</w:t>
            </w:r>
          </w:p>
        </w:tc>
      </w:tr>
      <w:tr w:rsidR="00F72634" w14:paraId="270FEC8A"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sqlite3_stmt* stmt{nullptr};</w:t>
            </w:r>
            <w:r>
              <w:br/>
            </w:r>
            <w:r>
              <w:rPr>
                <w:rFonts w:ascii="Courier New" w:hAnsi="Courier New" w:eastAsia="Courier New"/>
                <w:sz w:val="24"/>
              </w:rPr>
              <w:t>const char* sql =</w:t>
            </w:r>
            <w:r>
              <w:br/>
            </w:r>
            <w:r>
              <w:rPr>
                <w:rFonts w:ascii="Courier New" w:hAnsi="Courier New" w:eastAsia="Courier New"/>
                <w:sz w:val="24"/>
              </w:rPr>
              <w:t xml:space="preserve">    "SELECT id FROM users WHERE username = ?1";</w:t>
            </w:r>
            <w:r>
              <w:br/>
            </w:r>
            <w:r>
              <w:rPr>
                <w:rFonts w:ascii="Courier New" w:hAnsi="Courier New" w:eastAsia="Courier New"/>
                <w:sz w:val="24"/>
              </w:rPr>
            </w:r>
            <w:r>
              <w:br/>
            </w:r>
            <w:r>
              <w:rPr>
                <w:rFonts w:ascii="Courier New" w:hAnsi="Courier New" w:eastAsia="Courier New"/>
                <w:sz w:val="24"/>
              </w:rPr>
              <w:t>if (sqlite3_prepare_v2(db, sql, -1, &amp;stmt, nullptr) != SQLITE_OK) {</w:t>
            </w:r>
            <w:r>
              <w:br/>
            </w:r>
            <w:r>
              <w:rPr>
                <w:rFonts w:ascii="Courier New" w:hAnsi="Courier New" w:eastAsia="Courier New"/>
                <w:sz w:val="24"/>
              </w:rPr>
              <w:t xml:space="preserve">    throw std::runtime_error("Unable to prepare query");</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sqlite3_bind_text(stmt, 1, username.c_str(), -1, SQLITE_TRANSIENT);</w:t>
            </w:r>
            <w:r>
              <w:br/>
            </w:r>
            <w:r>
              <w:rPr>
                <w:rFonts w:ascii="Courier New" w:hAnsi="Courier New" w:eastAsia="Courier New"/>
                <w:sz w:val="24"/>
              </w:rPr>
              <w:t>const int result = sqlite3_step(stmt);</w:t>
            </w:r>
            <w:r>
              <w:br/>
            </w:r>
            <w:r>
              <w:rPr>
                <w:rFonts w:ascii="Courier New" w:hAnsi="Courier New" w:eastAsia="Courier New"/>
                <w:sz w:val="24"/>
              </w:rPr>
              <w:t>sqlite3_finalize(stmt);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5, 6, 7, 8, and 10. Input is validated, but parameter binding remains the primary control. Database access defaults to denial, uses a least-privileged account, and separates data from executable SQL. Defense in depth combines prepared statements, permissions, logging, and testing under one enforceable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pPr>
              <w:spacing w:after="0" w:before="0"/>
              <w:jc w:val="center"/>
            </w:pPr>
            <w:r/>
            <w:r>
              <w:rPr>
                <w:rFonts w:ascii="Arial" w:hAnsi="Arial" w:eastAsia="Arial"/>
                <w:b w:val="0"/>
                <w:sz w:val="17"/>
              </w:rPr>
              <w:t>Critical</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Medium</w:t>
            </w:r>
          </w:p>
        </w:tc>
        <w:tc>
          <w:tcPr>
            <w:tcW w:w="1807" w:type="dxa"/>
            <w:shd w:val="clear" w:color="auto" w:fill="auto"/>
          </w:tcPr>
          <w:p>
            <w:pPr>
              <w:spacing w:after="0" w:before="0"/>
              <w:jc w:val="center"/>
            </w:pPr>
            <w:r/>
            <w:r>
              <w:rPr>
                <w:rFonts w:ascii="Arial" w:hAnsi="Arial" w:eastAsia="Arial"/>
                <w:b w:val="0"/>
                <w:sz w:val="17"/>
              </w:rPr>
              <w:t>Critical</w:t>
            </w:r>
          </w:p>
        </w:tc>
        <w:tc>
          <w:tcPr>
            <w:tcW w:w="1805" w:type="dxa"/>
            <w:shd w:val="clear" w:color="auto" w:fill="auto"/>
          </w:tcPr>
          <w:p>
            <w:pPr>
              <w:spacing w:after="0" w:before="0"/>
              <w:jc w:val="center"/>
            </w:pPr>
            <w:r/>
            <w:r>
              <w:rPr>
                <w:rFonts w:ascii="Arial" w:hAnsi="Arial" w:eastAsia="Arial"/>
                <w:b w:val="0"/>
                <w:sz w:val="17"/>
              </w:rP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cpp/sql-query-built-from-user-controlled-sources</w:t>
            </w:r>
          </w:p>
        </w:tc>
        <w:tc>
          <w:tcPr>
            <w:tcW w:w="3611" w:type="dxa"/>
            <w:shd w:val="clear" w:color="auto" w:fill="auto"/>
          </w:tcPr>
          <w:p>
            <w:pPr>
              <w:spacing w:after="0" w:before="0"/>
              <w:jc w:val="left"/>
            </w:pPr>
            <w:r/>
            <w:r>
              <w:rPr>
                <w:rFonts w:ascii="Arial" w:hAnsi="Arial" w:eastAsia="Arial"/>
                <w:b w:val="0"/>
                <w:sz w:val="15"/>
              </w:rPr>
              <w:t>Tracks untrusted input into dynamically constructed SQL queries.</w:t>
            </w:r>
          </w:p>
        </w:tc>
      </w:tr>
      <w:tr w:rsidR="00B475A1" w14:paraId="631335FB" w14:textId="77777777" w:rsidTr="00001F14">
        <w:trPr>
          <w:trHeight w:val="460"/>
        </w:trPr>
        <w:tc>
          <w:tcPr>
            <w:tcW w:w="1807" w:type="dxa"/>
            <w:shd w:val="clear" w:color="auto" w:fill="auto"/>
          </w:tcPr>
          <w:p>
            <w:pPr>
              <w:spacing w:after="0" w:before="0"/>
              <w:jc w:val="center"/>
            </w:pPr>
            <w:r/>
            <w:r>
              <w:rPr>
                <w:rFonts w:ascii="Arial" w:hAnsi="Arial" w:eastAsia="Arial"/>
                <w:b w:val="0"/>
                <w:sz w:val="15"/>
              </w:rPr>
              <w:t>SonarQube</w:t>
            </w:r>
          </w:p>
        </w:tc>
        <w:tc>
          <w:tcPr>
            <w:tcW w:w="1341" w:type="dxa"/>
            <w:shd w:val="clear" w:color="auto" w:fill="auto"/>
          </w:tcPr>
          <w:p>
            <w:pPr>
              <w:spacing w:after="0" w:before="0"/>
              <w:jc w:val="center"/>
            </w:pPr>
            <w:r/>
            <w:r>
              <w:rPr>
                <w:rFonts w:ascii="Arial" w:hAnsi="Arial" w:eastAsia="Arial"/>
                <w:b w:val="0"/>
                <w:sz w:val="15"/>
              </w:rPr>
              <w:t>10.6 LTS</w:t>
            </w:r>
          </w:p>
        </w:tc>
        <w:tc>
          <w:tcPr>
            <w:tcW w:w="4021" w:type="dxa"/>
            <w:shd w:val="clear" w:color="auto" w:fill="auto"/>
          </w:tcPr>
          <w:p>
            <w:pPr>
              <w:spacing w:after="0" w:before="0"/>
              <w:jc w:val="center"/>
            </w:pPr>
            <w:r/>
            <w:r>
              <w:rPr>
                <w:rFonts w:ascii="Arial" w:hAnsi="Arial" w:eastAsia="Arial"/>
                <w:b w:val="0"/>
                <w:sz w:val="15"/>
              </w:rPr>
              <w:t>C/C++ injection and taint rules</w:t>
            </w:r>
          </w:p>
        </w:tc>
        <w:tc>
          <w:tcPr>
            <w:tcW w:w="3611" w:type="dxa"/>
            <w:shd w:val="clear" w:color="auto" w:fill="auto"/>
          </w:tcPr>
          <w:p>
            <w:pPr>
              <w:spacing w:after="0" w:before="0"/>
              <w:jc w:val="left"/>
            </w:pPr>
            <w:r/>
            <w:r>
              <w:rPr>
                <w:rFonts w:ascii="Arial" w:hAnsi="Arial" w:eastAsia="Arial"/>
                <w:b w:val="0"/>
                <w:sz w:val="15"/>
              </w:rPr>
              <w:t>Raises security hotspots when external data is concatenated into database commands.</w:t>
            </w:r>
          </w:p>
        </w:tc>
      </w:tr>
      <w:tr w:rsidR="00B475A1" w14:paraId="53A16CAB" w14:textId="77777777" w:rsidTr="00001F14">
        <w:trPr>
          <w:trHeight w:val="460"/>
        </w:trPr>
        <w:tc>
          <w:tcPr>
            <w:tcW w:w="1807" w:type="dxa"/>
            <w:shd w:val="clear" w:color="auto" w:fill="auto"/>
          </w:tcPr>
          <w:p>
            <w:pPr>
              <w:spacing w:after="0" w:before="0"/>
              <w:jc w:val="center"/>
            </w:pPr>
            <w:r/>
            <w:r>
              <w:rPr>
                <w:rFonts w:ascii="Arial" w:hAnsi="Arial" w:eastAsia="Arial"/>
                <w:b w:val="0"/>
                <w:sz w:val="15"/>
              </w:rPr>
              <w:t>Semgrep</w:t>
            </w:r>
          </w:p>
        </w:tc>
        <w:tc>
          <w:tcPr>
            <w:tcW w:w="1341" w:type="dxa"/>
            <w:shd w:val="clear" w:color="auto" w:fill="auto"/>
          </w:tcPr>
          <w:p>
            <w:pPr>
              <w:spacing w:after="0" w:before="0"/>
              <w:jc w:val="center"/>
            </w:pPr>
            <w:r/>
            <w:r>
              <w:rPr>
                <w:rFonts w:ascii="Arial" w:hAnsi="Arial" w:eastAsia="Arial"/>
                <w:b w:val="0"/>
                <w:sz w:val="15"/>
              </w:rPr>
              <w:t>1.78</w:t>
            </w:r>
          </w:p>
        </w:tc>
        <w:tc>
          <w:tcPr>
            <w:tcW w:w="4021" w:type="dxa"/>
            <w:shd w:val="clear" w:color="auto" w:fill="auto"/>
          </w:tcPr>
          <w:p>
            <w:pPr>
              <w:spacing w:after="0" w:before="0"/>
              <w:jc w:val="center"/>
            </w:pPr>
            <w:r/>
            <w:r>
              <w:rPr>
                <w:rFonts w:ascii="Arial" w:hAnsi="Arial" w:eastAsia="Arial"/>
                <w:b w:val="0"/>
                <w:sz w:val="15"/>
              </w:rPr>
              <w:t>custom C++ SQL-concatenation rule</w:t>
            </w:r>
          </w:p>
        </w:tc>
        <w:tc>
          <w:tcPr>
            <w:tcW w:w="3611" w:type="dxa"/>
            <w:shd w:val="clear" w:color="auto" w:fill="auto"/>
          </w:tcPr>
          <w:p>
            <w:pPr>
              <w:spacing w:after="0" w:before="0"/>
              <w:jc w:val="left"/>
            </w:pPr>
            <w:r/>
            <w:r>
              <w:rPr>
                <w:rFonts w:ascii="Arial" w:hAnsi="Arial" w:eastAsia="Arial"/>
                <w:b w:val="0"/>
                <w:sz w:val="15"/>
              </w:rPr>
              <w:t>CI rule rejects query construction that joins SQL text with request values.</w:t>
            </w:r>
          </w:p>
        </w:tc>
      </w:tr>
      <w:tr w:rsidR="00B475A1" w14:paraId="3116DC25"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 Static Analyzer</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alpha.security.taint</w:t>
            </w:r>
          </w:p>
        </w:tc>
        <w:tc>
          <w:tcPr>
            <w:tcW w:w="3611" w:type="dxa"/>
            <w:shd w:val="clear" w:color="auto" w:fill="auto"/>
          </w:tcPr>
          <w:p>
            <w:pPr>
              <w:spacing w:after="0" w:before="0"/>
              <w:jc w:val="left"/>
            </w:pPr>
            <w:r/>
            <w:r>
              <w:rPr>
                <w:rFonts w:ascii="Arial" w:hAnsi="Arial" w:eastAsia="Arial"/>
                <w:b w:val="0"/>
                <w:sz w:val="15"/>
              </w:rPr>
              <w:t>Taint analysis helps identify untrusted values reaching sensitive database calls.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Memory Protection</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STD-005-MEM</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Manage Dynamic Memory Through RAII and Valid Object Lifetimes</w:t>
            </w:r>
            <w:r>
              <w:br/>
            </w:r>
            <w:r>
              <w:rPr>
                <w:rFonts w:ascii="Arial" w:hAnsi="Arial" w:eastAsia="Arial"/>
                <w:b w:val="0"/>
                <w:sz w:val="18"/>
              </w:rPr>
            </w:r>
            <w:r>
              <w:br/>
            </w:r>
            <w:r>
              <w:rPr>
                <w:rFonts w:ascii="Arial" w:hAnsi="Arial" w:eastAsia="Arial"/>
                <w:b w:val="0"/>
                <w:sz w:val="18"/>
              </w:rPr>
              <w:t>Memory should be owned by objects that release resources automatically when their lifetime ends. The SEI CERT C++ memory management rules address leaks, double deletion, use-after-free defects, invalid pointers, and mismatched allocation and deallocation. Green Pace developers should prefer automatic storage, standard containers, `std::unique_ptr`, and `std::shared_ptr` only when shared ownership is truly required. Raw owning pointers and manual `new`/`delete` should be avoided in normal application code. Clear ownership prevents memory corruption and makes exceptional or early-return paths safer because cleanup does not depend on every programmer remembering to release a resource.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function returns a pointer after deleting the object it points to. Any later dereference is a use-after-free error and can cause a crash, disclose data, or corrupt memory.</w:t>
            </w:r>
          </w:p>
        </w:tc>
      </w:tr>
      <w:tr w:rsidR="00F72634" w14:paraId="3267071A"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User* loadUser() {</w:t>
            </w:r>
            <w:r>
              <w:br/>
            </w:r>
            <w:r>
              <w:rPr>
                <w:rFonts w:ascii="Courier New" w:hAnsi="Courier New" w:eastAsia="Courier New"/>
                <w:sz w:val="24"/>
              </w:rPr>
              <w:t xml:space="preserve">    User* user = new User();</w:t>
            </w:r>
            <w:r>
              <w:br/>
            </w:r>
            <w:r>
              <w:rPr>
                <w:rFonts w:ascii="Courier New" w:hAnsi="Courier New" w:eastAsia="Courier New"/>
                <w:sz w:val="24"/>
              </w:rPr>
              <w:t xml:space="preserve">    readUserRecord(*user);</w:t>
            </w:r>
            <w:r>
              <w:br/>
            </w:r>
            <w:r>
              <w:rPr>
                <w:rFonts w:ascii="Courier New" w:hAnsi="Courier New" w:eastAsia="Courier New"/>
                <w:sz w:val="24"/>
              </w:rPr>
              <w:t xml:space="preserve">    delete user;</w:t>
            </w:r>
            <w:r>
              <w:br/>
            </w:r>
            <w:r>
              <w:rPr>
                <w:rFonts w:ascii="Courier New" w:hAnsi="Courier New" w:eastAsia="Courier New"/>
                <w:sz w:val="24"/>
              </w:rPr>
              <w:t xml:space="preserve">    return user;</w:t>
            </w:r>
            <w:r>
              <w:br/>
            </w:r>
            <w:r>
              <w:rPr>
                <w:rFonts w:ascii="Courier New" w:hAnsi="Courier New" w:eastAsia="Courier New"/>
                <w:sz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transfers clear ownership through `std::unique_ptr`. The object remains valid for the caller and is deleted automatically when the owning pointer goes out of scope.</w:t>
            </w:r>
          </w:p>
        </w:tc>
      </w:tr>
      <w:tr w:rsidR="00F72634" w14:paraId="7A1A78A0"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&lt;memory&gt;</w:t>
            </w:r>
            <w:r>
              <w:br/>
            </w:r>
            <w:r>
              <w:rPr>
                <w:rFonts w:ascii="Courier New" w:hAnsi="Courier New" w:eastAsia="Courier New"/>
                <w:sz w:val="24"/>
              </w:rPr>
            </w:r>
            <w:r>
              <w:br/>
            </w:r>
            <w:r>
              <w:rPr>
                <w:rFonts w:ascii="Courier New" w:hAnsi="Courier New" w:eastAsia="Courier New"/>
                <w:sz w:val="24"/>
              </w:rPr>
              <w:t>std::unique_ptr&lt;User&gt; loadUser() {</w:t>
            </w:r>
            <w:r>
              <w:br/>
            </w:r>
            <w:r>
              <w:rPr>
                <w:rFonts w:ascii="Courier New" w:hAnsi="Courier New" w:eastAsia="Courier New"/>
                <w:sz w:val="24"/>
              </w:rPr>
              <w:t xml:space="preserve">    auto user = std::make_unique&lt;User&gt;();</w:t>
            </w:r>
            <w:r>
              <w:br/>
            </w:r>
            <w:r>
              <w:rPr>
                <w:rFonts w:ascii="Courier New" w:hAnsi="Courier New" w:eastAsia="Courier New"/>
                <w:sz w:val="24"/>
              </w:rPr>
              <w:t xml:space="preserve">    readUserRecord(*user);</w:t>
            </w:r>
            <w:r>
              <w:br/>
            </w:r>
            <w:r>
              <w:rPr>
                <w:rFonts w:ascii="Courier New" w:hAnsi="Courier New" w:eastAsia="Courier New"/>
                <w:sz w:val="24"/>
              </w:rPr>
              <w:t xml:space="preserve">    return user;</w:t>
            </w:r>
            <w:r>
              <w:br/>
            </w:r>
            <w:r>
              <w:rPr>
                <w:rFonts w:ascii="Courier New" w:hAnsi="Courier New" w:eastAsia="Courier New"/>
                <w:sz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2, 4, 8, 9, and 10. Compiler and analyzer findings reveal lifetime errors. RAII and smart pointers keep ownership simple, while defense in depth combines automatic lifetime management with sanitizers and review. Testing and a shared coding standard help prevent leaks, double deletion, and use-after-free defects.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pPr>
              <w:spacing w:after="0" w:before="0"/>
              <w:jc w:val="center"/>
            </w:pPr>
            <w:r/>
            <w:r>
              <w:rPr>
                <w:rFonts w:ascii="Arial" w:hAnsi="Arial" w:eastAsia="Arial"/>
                <w:b w:val="0"/>
                <w:sz w:val="17"/>
              </w:rPr>
              <w:t>Critical</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High</w:t>
            </w:r>
          </w:p>
        </w:tc>
        <w:tc>
          <w:tcPr>
            <w:tcW w:w="1807" w:type="dxa"/>
            <w:shd w:val="clear" w:color="auto" w:fill="auto"/>
          </w:tcPr>
          <w:p>
            <w:pPr>
              <w:spacing w:after="0" w:before="0"/>
              <w:jc w:val="center"/>
            </w:pPr>
            <w:r/>
            <w:r>
              <w:rPr>
                <w:rFonts w:ascii="Arial" w:hAnsi="Arial" w:eastAsia="Arial"/>
                <w:b w:val="0"/>
                <w:sz w:val="17"/>
              </w:rPr>
              <w:t>Critical</w:t>
            </w:r>
          </w:p>
        </w:tc>
        <w:tc>
          <w:tcPr>
            <w:tcW w:w="1805" w:type="dxa"/>
            <w:shd w:val="clear" w:color="auto" w:fill="auto"/>
          </w:tcPr>
          <w:p>
            <w:pPr>
              <w:spacing w:after="0" w:before="0"/>
              <w:jc w:val="center"/>
            </w:pPr>
            <w:r/>
            <w:r>
              <w:rPr>
                <w:rFonts w:ascii="Arial" w:hAnsi="Arial" w:eastAsia="Arial"/>
                <w:b w:val="0"/>
                <w:sz w:val="17"/>
              </w:rP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pPr>
              <w:spacing w:after="0" w:before="0"/>
              <w:jc w:val="center"/>
            </w:pPr>
            <w:r/>
            <w:r>
              <w:rPr>
                <w:rFonts w:ascii="Arial" w:hAnsi="Arial" w:eastAsia="Arial"/>
                <w:b w:val="0"/>
                <w:sz w:val="15"/>
              </w:rPr>
              <w:t>AddressSanitizer</w:t>
            </w:r>
          </w:p>
        </w:tc>
        <w:tc>
          <w:tcPr>
            <w:tcW w:w="1341" w:type="dxa"/>
            <w:shd w:val="clear" w:color="auto" w:fill="auto"/>
          </w:tcPr>
          <w:p>
            <w:pPr>
              <w:spacing w:after="0" w:before="0"/>
              <w:jc w:val="center"/>
            </w:pPr>
            <w:r/>
            <w:r>
              <w:rPr>
                <w:rFonts w:ascii="Arial" w:hAnsi="Arial" w:eastAsia="Arial"/>
                <w:b w:val="0"/>
                <w:sz w:val="15"/>
              </w:rPr>
              <w:t>Clang/GCC 18/14</w:t>
            </w:r>
          </w:p>
        </w:tc>
        <w:tc>
          <w:tcPr>
            <w:tcW w:w="4021" w:type="dxa"/>
            <w:shd w:val="clear" w:color="auto" w:fill="auto"/>
          </w:tcPr>
          <w:p>
            <w:pPr>
              <w:spacing w:after="0" w:before="0"/>
              <w:jc w:val="center"/>
            </w:pPr>
            <w:r/>
            <w:r>
              <w:rPr>
                <w:rFonts w:ascii="Arial" w:hAnsi="Arial" w:eastAsia="Arial"/>
                <w:b w:val="0"/>
                <w:sz w:val="15"/>
              </w:rPr>
              <w:t>-fsanitize=address</w:t>
            </w:r>
          </w:p>
        </w:tc>
        <w:tc>
          <w:tcPr>
            <w:tcW w:w="3611" w:type="dxa"/>
            <w:shd w:val="clear" w:color="auto" w:fill="auto"/>
          </w:tcPr>
          <w:p>
            <w:pPr>
              <w:spacing w:after="0" w:before="0"/>
              <w:jc w:val="left"/>
            </w:pPr>
            <w:r/>
            <w:r>
              <w:rPr>
                <w:rFonts w:ascii="Arial" w:hAnsi="Arial" w:eastAsia="Arial"/>
                <w:b w:val="0"/>
                <w:sz w:val="15"/>
              </w:rPr>
              <w:t>Runtime testing detects use-after-free, double free, leaks, and buffer violations.</w:t>
            </w:r>
          </w:p>
        </w:tc>
      </w:tr>
      <w:tr w:rsidR="00B475A1" w14:paraId="433579AD"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cppcoreguidelines-owning-memory</w:t>
            </w:r>
          </w:p>
        </w:tc>
        <w:tc>
          <w:tcPr>
            <w:tcW w:w="3611" w:type="dxa"/>
            <w:shd w:val="clear" w:color="auto" w:fill="auto"/>
          </w:tcPr>
          <w:p>
            <w:pPr>
              <w:spacing w:after="0" w:before="0"/>
              <w:jc w:val="left"/>
            </w:pPr>
            <w:r/>
            <w:r>
              <w:rPr>
                <w:rFonts w:ascii="Arial" w:hAnsi="Arial" w:eastAsia="Arial"/>
                <w:b w:val="0"/>
                <w:sz w:val="15"/>
              </w:rPr>
              <w:t>Flags raw ownership patterns that should use RAII or smart pointers.</w:t>
            </w:r>
          </w:p>
        </w:tc>
      </w:tr>
      <w:tr w:rsidR="00B475A1" w14:paraId="092940EA"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memleak / deallocuse</w:t>
            </w:r>
          </w:p>
        </w:tc>
        <w:tc>
          <w:tcPr>
            <w:tcW w:w="3611" w:type="dxa"/>
            <w:shd w:val="clear" w:color="auto" w:fill="auto"/>
          </w:tcPr>
          <w:p>
            <w:pPr>
              <w:spacing w:after="0" w:before="0"/>
              <w:jc w:val="left"/>
            </w:pPr>
            <w:r/>
            <w:r>
              <w:rPr>
                <w:rFonts w:ascii="Arial" w:hAnsi="Arial" w:eastAsia="Arial"/>
                <w:b w:val="0"/>
                <w:sz w:val="15"/>
              </w:rPr>
              <w:t>Detects memory leaks, invalid deallocation, and use after release.</w:t>
            </w:r>
          </w:p>
        </w:tc>
      </w:tr>
      <w:tr w:rsidR="00B475A1" w14:paraId="41744220"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cpp/use-after-free</w:t>
            </w:r>
          </w:p>
        </w:tc>
        <w:tc>
          <w:tcPr>
            <w:tcW w:w="3611" w:type="dxa"/>
            <w:shd w:val="clear" w:color="auto" w:fill="auto"/>
          </w:tcPr>
          <w:p>
            <w:pPr>
              <w:spacing w:after="0" w:before="0"/>
              <w:jc w:val="left"/>
            </w:pPr>
            <w:r/>
            <w:r>
              <w:rPr>
                <w:rFonts w:ascii="Arial" w:hAnsi="Arial" w:eastAsia="Arial"/>
                <w:b w:val="0"/>
                <w:sz w:val="15"/>
              </w:rPr>
              <w:t>Finds paths where released memory can still be accessed.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Assertions</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STD-006-MSC</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Do Not Use Assertions for Runtime Input or Error Handling</w:t>
            </w:r>
            <w:r>
              <w:br/>
            </w:r>
            <w:r>
              <w:rPr>
                <w:rFonts w:ascii="Arial" w:hAnsi="Arial" w:eastAsia="Arial"/>
                <w:b w:val="0"/>
                <w:sz w:val="18"/>
              </w:rPr>
            </w:r>
            <w:r>
              <w:br/>
            </w:r>
            <w:r>
              <w:rPr>
                <w:rFonts w:ascii="Arial" w:hAnsi="Arial" w:eastAsia="Arial"/>
                <w:b w:val="0"/>
                <w:sz w:val="18"/>
              </w:rPr>
              <w:t>Assertions are intended to detect programming mistakes and internal conditions that should always be true during development. They must not be the only protection for user input, external data, permissions, or recoverable runtime failures. In many release builds, `assert` expressions are removed when `NDEBUG` is defined, which means any security check placed only in an assertion can disappear from production. Green Pace code should use normal conditional logic, exceptions, or explicit error results for conditions that can occur during operation. Assertions may remain as an additional development aid after the real runtime check has been implemented.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code relies on an assertion to reject a negative transfer amount. In a release build where assertions are disabled, the invalid value may be processed.</w:t>
            </w:r>
          </w:p>
        </w:tc>
      </w:tr>
      <w:tr w:rsidR="00F72634" w14:paraId="058CAEAA"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&lt;cassert&gt;</w:t>
            </w:r>
            <w:r>
              <w:br/>
            </w:r>
            <w:r>
              <w:rPr>
                <w:rFonts w:ascii="Courier New" w:hAnsi="Courier New" w:eastAsia="Courier New"/>
                <w:sz w:val="24"/>
              </w:rPr>
            </w:r>
            <w:r>
              <w:br/>
            </w:r>
            <w:r>
              <w:rPr>
                <w:rFonts w:ascii="Courier New" w:hAnsi="Courier New" w:eastAsia="Courier New"/>
                <w:sz w:val="24"/>
              </w:rPr>
              <w:t>void transfer(double amount) {</w:t>
            </w:r>
            <w:r>
              <w:br/>
            </w:r>
            <w:r>
              <w:rPr>
                <w:rFonts w:ascii="Courier New" w:hAnsi="Courier New" w:eastAsia="Courier New"/>
                <w:sz w:val="24"/>
              </w:rPr>
              <w:t xml:space="preserve">    assert(amount &gt; 0.0);</w:t>
            </w:r>
            <w:r>
              <w:br/>
            </w:r>
            <w:r>
              <w:rPr>
                <w:rFonts w:ascii="Courier New" w:hAnsi="Courier New" w:eastAsia="Courier New"/>
                <w:sz w:val="24"/>
              </w:rPr>
              <w:t xml:space="preserve">    processTransfer(amount);</w:t>
            </w:r>
            <w:r>
              <w:br/>
            </w:r>
            <w:r>
              <w:rPr>
                <w:rFonts w:ascii="Courier New" w:hAnsi="Courier New" w:eastAsia="Courier New"/>
                <w:sz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performs an explicit runtime check and reports invalid input in every build configuration. The assertion may be kept only for an internal invariant that cannot be caused by normal external input.</w:t>
            </w:r>
          </w:p>
        </w:tc>
      </w:tr>
      <w:tr w:rsidR="00F72634" w14:paraId="2DA5938A"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&lt;stdexcept&gt;</w:t>
            </w:r>
            <w:r>
              <w:br/>
            </w:r>
            <w:r>
              <w:rPr>
                <w:rFonts w:ascii="Courier New" w:hAnsi="Courier New" w:eastAsia="Courier New"/>
                <w:sz w:val="24"/>
              </w:rPr>
            </w:r>
            <w:r>
              <w:br/>
            </w:r>
            <w:r>
              <w:rPr>
                <w:rFonts w:ascii="Courier New" w:hAnsi="Courier New" w:eastAsia="Courier New"/>
                <w:sz w:val="24"/>
              </w:rPr>
              <w:t>void transfer(double amount) {</w:t>
            </w:r>
            <w:r>
              <w:br/>
            </w:r>
            <w:r>
              <w:rPr>
                <w:rFonts w:ascii="Courier New" w:hAnsi="Courier New" w:eastAsia="Courier New"/>
                <w:sz w:val="24"/>
              </w:rPr>
              <w:t xml:space="preserve">    if (amount &lt;= 0.0) {</w:t>
            </w:r>
            <w:r>
              <w:br/>
            </w:r>
            <w:r>
              <w:rPr>
                <w:rFonts w:ascii="Courier New" w:hAnsi="Courier New" w:eastAsia="Courier New"/>
                <w:sz w:val="24"/>
              </w:rPr>
              <w:t xml:space="preserve">        throw std::invalid_argument("Amount must be positive");</w:t>
            </w:r>
            <w:r>
              <w:br/>
            </w:r>
            <w:r>
              <w:rPr>
                <w:rFonts w:ascii="Courier New" w:hAnsi="Courier New" w:eastAsia="Courier New"/>
                <w:sz w:val="24"/>
              </w:rPr>
              <w:t xml:space="preserve">    }</w:t>
            </w:r>
            <w:r>
              <w:br/>
            </w:r>
            <w:r>
              <w:rPr>
                <w:rFonts w:ascii="Courier New" w:hAnsi="Courier New" w:eastAsia="Courier New"/>
                <w:sz w:val="24"/>
              </w:rPr>
            </w:r>
            <w:r>
              <w:br/>
            </w:r>
            <w:r>
              <w:rPr>
                <w:rFonts w:ascii="Courier New" w:hAnsi="Courier New" w:eastAsia="Courier New"/>
                <w:sz w:val="24"/>
              </w:rPr>
              <w:t xml:space="preserve">    processTransfer(amount);</w:t>
            </w:r>
            <w:r>
              <w:br/>
            </w:r>
            <w:r>
              <w:rPr>
                <w:rFonts w:ascii="Courier New" w:hAnsi="Courier New" w:eastAsia="Courier New"/>
                <w:sz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4, 8, 9, and 10. External values require runtime validation rather than debug-only assertions. Straightforward checks are easier to understand, defense in depth keeps assertions for internal invariants while adding recoverable error handling, testing verifies both paths, and the standard prevents inconsistent use across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Possible</w:t>
            </w:r>
          </w:p>
        </w:tc>
        <w:tc>
          <w:tcPr>
            <w:tcW w:w="4021" w:type="dxa"/>
            <w:shd w:val="clear" w:color="auto" w:fill="auto"/>
          </w:tcPr>
          <w:p>
            <w:pPr>
              <w:spacing w:after="0" w:before="0"/>
              <w:jc w:val="center"/>
            </w:pPr>
            <w:r/>
            <w:r>
              <w:rPr>
                <w:rFonts w:ascii="Arial" w:hAnsi="Arial" w:eastAsia="Arial"/>
                <w:b w:val="0"/>
                <w:sz w:val="17"/>
              </w:rPr>
              <w:t>Low</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cert-dcl03-c / misc-static-assert</w:t>
            </w:r>
          </w:p>
        </w:tc>
        <w:tc>
          <w:tcPr>
            <w:tcW w:w="3611" w:type="dxa"/>
            <w:shd w:val="clear" w:color="auto" w:fill="auto"/>
          </w:tcPr>
          <w:p>
            <w:pPr>
              <w:spacing w:after="0" w:before="0"/>
              <w:jc w:val="left"/>
            </w:pPr>
            <w:r/>
            <w:r>
              <w:rPr>
                <w:rFonts w:ascii="Arial" w:hAnsi="Arial" w:eastAsia="Arial"/>
                <w:b w:val="0"/>
                <w:sz w:val="15"/>
              </w:rPr>
              <w:t>Encourages compile-time assertions where appropriate and highlights misuse patterns.</w:t>
            </w:r>
          </w:p>
        </w:tc>
      </w:tr>
      <w:tr w:rsidR="00B475A1" w14:paraId="31776F75"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knownConditionTrueFalse / assertWithSideEffect</w:t>
            </w:r>
          </w:p>
        </w:tc>
        <w:tc>
          <w:tcPr>
            <w:tcW w:w="3611" w:type="dxa"/>
            <w:shd w:val="clear" w:color="auto" w:fill="auto"/>
          </w:tcPr>
          <w:p>
            <w:pPr>
              <w:spacing w:after="0" w:before="0"/>
              <w:jc w:val="left"/>
            </w:pPr>
            <w:r/>
            <w:r>
              <w:rPr>
                <w:rFonts w:ascii="Arial" w:hAnsi="Arial" w:eastAsia="Arial"/>
                <w:b w:val="0"/>
                <w:sz w:val="15"/>
              </w:rPr>
              <w:t>Detects assertions with ineffective conditions or side effects.</w:t>
            </w:r>
          </w:p>
        </w:tc>
      </w:tr>
      <w:tr w:rsidR="00B475A1" w14:paraId="70B30499" w14:textId="77777777" w:rsidTr="00001F14">
        <w:trPr>
          <w:trHeight w:val="460"/>
        </w:trPr>
        <w:tc>
          <w:tcPr>
            <w:tcW w:w="1807" w:type="dxa"/>
            <w:shd w:val="clear" w:color="auto" w:fill="auto"/>
          </w:tcPr>
          <w:p>
            <w:pPr>
              <w:spacing w:after="0" w:before="0"/>
              <w:jc w:val="center"/>
            </w:pPr>
            <w:r/>
            <w:r>
              <w:rPr>
                <w:rFonts w:ascii="Arial" w:hAnsi="Arial" w:eastAsia="Arial"/>
                <w:b w:val="0"/>
                <w:sz w:val="15"/>
              </w:rPr>
              <w:t>GCC</w:t>
            </w:r>
          </w:p>
        </w:tc>
        <w:tc>
          <w:tcPr>
            <w:tcW w:w="1341" w:type="dxa"/>
            <w:shd w:val="clear" w:color="auto" w:fill="auto"/>
          </w:tcPr>
          <w:p>
            <w:pPr>
              <w:spacing w:after="0" w:before="0"/>
              <w:jc w:val="center"/>
            </w:pPr>
            <w:r/>
            <w:r>
              <w:rPr>
                <w:rFonts w:ascii="Arial" w:hAnsi="Arial" w:eastAsia="Arial"/>
                <w:b w:val="0"/>
                <w:sz w:val="15"/>
              </w:rPr>
              <w:t>14</w:t>
            </w:r>
          </w:p>
        </w:tc>
        <w:tc>
          <w:tcPr>
            <w:tcW w:w="4021" w:type="dxa"/>
            <w:shd w:val="clear" w:color="auto" w:fill="auto"/>
          </w:tcPr>
          <w:p>
            <w:pPr>
              <w:spacing w:after="0" w:before="0"/>
              <w:jc w:val="center"/>
            </w:pPr>
            <w:r/>
            <w:r>
              <w:rPr>
                <w:rFonts w:ascii="Arial" w:hAnsi="Arial" w:eastAsia="Arial"/>
                <w:b w:val="0"/>
                <w:sz w:val="15"/>
              </w:rPr>
              <w:t>-DNDEBUG test build + warnings</w:t>
            </w:r>
          </w:p>
        </w:tc>
        <w:tc>
          <w:tcPr>
            <w:tcW w:w="3611" w:type="dxa"/>
            <w:shd w:val="clear" w:color="auto" w:fill="auto"/>
          </w:tcPr>
          <w:p>
            <w:pPr>
              <w:spacing w:after="0" w:before="0"/>
              <w:jc w:val="left"/>
            </w:pPr>
            <w:r/>
            <w:r>
              <w:rPr>
                <w:rFonts w:ascii="Arial" w:hAnsi="Arial" w:eastAsia="Arial"/>
                <w:b w:val="0"/>
                <w:sz w:val="15"/>
              </w:rPr>
              <w:t>CI builds both with and without assertions to expose logic that incorrectly depends on assert.</w:t>
            </w:r>
          </w:p>
        </w:tc>
      </w:tr>
      <w:tr w:rsidR="00B475A1" w14:paraId="28383A14"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custom assert-for-input query</w:t>
            </w:r>
          </w:p>
        </w:tc>
        <w:tc>
          <w:tcPr>
            <w:tcW w:w="3611" w:type="dxa"/>
            <w:shd w:val="clear" w:color="auto" w:fill="auto"/>
          </w:tcPr>
          <w:p>
            <w:pPr>
              <w:spacing w:after="0" w:before="0"/>
              <w:jc w:val="left"/>
            </w:pPr>
            <w:r/>
            <w:r>
              <w:rPr>
                <w:rFonts w:ascii="Arial" w:hAnsi="Arial" w:eastAsia="Arial"/>
                <w:b w:val="0"/>
                <w:sz w:val="15"/>
              </w:rPr>
              <w:t>A project query can flag request or file data guarded only by assertions.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Exceptions</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STD-007-ERR</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Handle Exceptions Without Hiding Failures or Leaking Sensitive Data</w:t>
            </w:r>
            <w:r>
              <w:br/>
            </w:r>
            <w:r>
              <w:rPr>
                <w:rFonts w:ascii="Arial" w:hAnsi="Arial" w:eastAsia="Arial"/>
                <w:b w:val="0"/>
                <w:sz w:val="18"/>
              </w:rPr>
            </w:r>
            <w:r>
              <w:br/>
            </w:r>
            <w:r>
              <w:rPr>
                <w:rFonts w:ascii="Arial" w:hAnsi="Arial" w:eastAsia="Arial"/>
                <w:b w:val="0"/>
                <w:sz w:val="18"/>
              </w:rPr>
              <w:t>Exceptions must be handled at a level that can take meaningful corrective action. The SEI CERT C++ exceptions and error handling rules discourage empty catch blocks, unsafe throwing behavior, and exception handling that leaves an object or resource in an invalid state. Green Pace code should catch specific exception types, record useful operational information, return a safe response, and preserve the original failure when it cannot be resolved locally. Error messages shown to users must not reveal credentials, database commands, keys, file paths, or internal implementation details. Cleanup should rely on RAII so that exceptions do not create resource leaks.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empty catch block hides every possible error. The application continues as if the update succeeded, leaving the caller without an accurate result and making the failure difficult to investigate.</w:t>
            </w:r>
          </w:p>
        </w:tc>
      </w:tr>
      <w:tr w:rsidR="00F72634" w14:paraId="3CEA03A3"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try {</w:t>
            </w:r>
            <w:r>
              <w:br/>
            </w:r>
            <w:r>
              <w:rPr>
                <w:rFonts w:ascii="Courier New" w:hAnsi="Courier New" w:eastAsia="Courier New"/>
                <w:sz w:val="24"/>
              </w:rPr>
              <w:t xml:space="preserve">    updateCustomerRecord(customer);</w:t>
            </w:r>
            <w:r>
              <w:br/>
            </w:r>
            <w:r>
              <w:rPr>
                <w:rFonts w:ascii="Courier New" w:hAnsi="Courier New" w:eastAsia="Courier New"/>
                <w:sz w:val="24"/>
              </w:rPr>
              <w:t>} catch (...) {</w:t>
            </w:r>
            <w:r>
              <w:br/>
            </w:r>
            <w:r>
              <w:rPr>
                <w:rFonts w:ascii="Courier New" w:hAnsi="Courier New" w:eastAsia="Courier New"/>
                <w:sz w:val="24"/>
              </w:rPr>
              <w:t xml:space="preserve">    // Ignore the error</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return true;</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catches a relevant exception, records an internal diagnostic, and returns an honest failure result without exposing sensitive details to the user. Unexpected exception types are allowed to propagate to a higher-level handler.</w:t>
            </w:r>
          </w:p>
        </w:tc>
      </w:tr>
      <w:tr w:rsidR="00F72634" w14:paraId="5DBE36E7"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try {</w:t>
            </w:r>
            <w:r>
              <w:br/>
            </w:r>
            <w:r>
              <w:rPr>
                <w:rFonts w:ascii="Courier New" w:hAnsi="Courier New" w:eastAsia="Courier New"/>
                <w:sz w:val="24"/>
              </w:rPr>
              <w:t xml:space="preserve">    updateCustomerRecord(customer);</w:t>
            </w:r>
            <w:r>
              <w:br/>
            </w:r>
            <w:r>
              <w:rPr>
                <w:rFonts w:ascii="Courier New" w:hAnsi="Courier New" w:eastAsia="Courier New"/>
                <w:sz w:val="24"/>
              </w:rPr>
              <w:t xml:space="preserve">    return true;</w:t>
            </w:r>
            <w:r>
              <w:br/>
            </w:r>
            <w:r>
              <w:rPr>
                <w:rFonts w:ascii="Courier New" w:hAnsi="Courier New" w:eastAsia="Courier New"/>
                <w:sz w:val="24"/>
              </w:rPr>
              <w:t>} catch (const DatabaseError&amp; ex) {</w:t>
            </w:r>
            <w:r>
              <w:br/>
            </w:r>
            <w:r>
              <w:rPr>
                <w:rFonts w:ascii="Courier New" w:hAnsi="Courier New" w:eastAsia="Courier New"/>
                <w:sz w:val="24"/>
              </w:rPr>
              <w:t xml:space="preserve">    securityLog.error("Customer update failed", ex.code());</w:t>
            </w:r>
            <w:r>
              <w:br/>
            </w:r>
            <w:r>
              <w:rPr>
                <w:rFonts w:ascii="Courier New" w:hAnsi="Courier New" w:eastAsia="Courier New"/>
                <w:sz w:val="24"/>
              </w:rPr>
              <w:t xml:space="preserve">    showUserMessage("The update could not be completed.");</w:t>
            </w:r>
            <w:r>
              <w:br/>
            </w:r>
            <w:r>
              <w:rPr>
                <w:rFonts w:ascii="Courier New" w:hAnsi="Courier New" w:eastAsia="Courier New"/>
                <w:sz w:val="24"/>
              </w:rPr>
              <w:t xml:space="preserve">    return false;</w:t>
            </w:r>
            <w:r>
              <w:br/>
            </w:r>
            <w:r>
              <w:rPr>
                <w:rFonts w:ascii="Courier New" w:hAnsi="Courier New" w:eastAsia="Courier New"/>
                <w:sz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4, 7, 8, 9, and 10. Error handling should be direct and understandable, and messages sent outside the trusted boundary must not reveal sensitive details. Defense in depth records internal diagnostics while returning safe user messages. Tests verify failure paths, and the standard prevents swallowed exceptions.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Possible</w:t>
            </w:r>
          </w:p>
        </w:tc>
        <w:tc>
          <w:tcPr>
            <w:tcW w:w="4021" w:type="dxa"/>
            <w:shd w:val="clear" w:color="auto" w:fill="auto"/>
          </w:tcPr>
          <w:p>
            <w:pPr>
              <w:spacing w:after="0" w:before="0"/>
              <w:jc w:val="center"/>
            </w:pPr>
            <w:r/>
            <w:r>
              <w:rPr>
                <w:rFonts w:ascii="Arial" w:hAnsi="Arial" w:eastAsia="Arial"/>
                <w:b w:val="0"/>
                <w:sz w:val="17"/>
              </w:rPr>
              <w:t>Medium</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bugprone-empty-catch</w:t>
            </w:r>
          </w:p>
        </w:tc>
        <w:tc>
          <w:tcPr>
            <w:tcW w:w="3611" w:type="dxa"/>
            <w:shd w:val="clear" w:color="auto" w:fill="auto"/>
          </w:tcPr>
          <w:p>
            <w:pPr>
              <w:spacing w:after="0" w:before="0"/>
              <w:jc w:val="left"/>
            </w:pPr>
            <w:r/>
            <w:r>
              <w:rPr>
                <w:rFonts w:ascii="Arial" w:hAnsi="Arial" w:eastAsia="Arial"/>
                <w:b w:val="0"/>
                <w:sz w:val="15"/>
              </w:rPr>
              <w:t>Flags catch blocks that silently ignore failures.</w:t>
            </w:r>
          </w:p>
        </w:tc>
      </w:tr>
      <w:tr w:rsidR="00B475A1" w14:paraId="415234C8"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exceptThrowInDestructor / unhandledExceptionSpecification</w:t>
            </w:r>
          </w:p>
        </w:tc>
        <w:tc>
          <w:tcPr>
            <w:tcW w:w="3611" w:type="dxa"/>
            <w:shd w:val="clear" w:color="auto" w:fill="auto"/>
          </w:tcPr>
          <w:p>
            <w:pPr>
              <w:spacing w:after="0" w:before="0"/>
              <w:jc w:val="left"/>
            </w:pPr>
            <w:r/>
            <w:r>
              <w:rPr>
                <w:rFonts w:ascii="Arial" w:hAnsi="Arial" w:eastAsia="Arial"/>
                <w:b w:val="0"/>
                <w:sz w:val="15"/>
              </w:rPr>
              <w:t>Detects exception patterns that can terminate the process or hide failures.</w:t>
            </w:r>
          </w:p>
        </w:tc>
      </w:tr>
      <w:tr w:rsidR="00B475A1" w14:paraId="177EE248"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cpp/empty-catch-block</w:t>
            </w:r>
          </w:p>
        </w:tc>
        <w:tc>
          <w:tcPr>
            <w:tcW w:w="3611" w:type="dxa"/>
            <w:shd w:val="clear" w:color="auto" w:fill="auto"/>
          </w:tcPr>
          <w:p>
            <w:pPr>
              <w:spacing w:after="0" w:before="0"/>
              <w:jc w:val="left"/>
            </w:pPr>
            <w:r/>
            <w:r>
              <w:rPr>
                <w:rFonts w:ascii="Arial" w:hAnsi="Arial" w:eastAsia="Arial"/>
                <w:b w:val="0"/>
                <w:sz w:val="15"/>
              </w:rPr>
              <w:t>Finds exceptions that are caught without handling, logging, or rethrowing.</w:t>
            </w:r>
          </w:p>
        </w:tc>
      </w:tr>
      <w:tr w:rsidR="00B475A1" w14:paraId="4FD06851" w14:textId="77777777" w:rsidTr="00001F14">
        <w:trPr>
          <w:trHeight w:val="460"/>
        </w:trPr>
        <w:tc>
          <w:tcPr>
            <w:tcW w:w="1807" w:type="dxa"/>
            <w:shd w:val="clear" w:color="auto" w:fill="auto"/>
          </w:tcPr>
          <w:p>
            <w:pPr>
              <w:spacing w:after="0" w:before="0"/>
              <w:jc w:val="center"/>
            </w:pPr>
            <w:r/>
            <w:r>
              <w:rPr>
                <w:rFonts w:ascii="Arial" w:hAnsi="Arial" w:eastAsia="Arial"/>
                <w:b w:val="0"/>
                <w:sz w:val="15"/>
              </w:rPr>
              <w:t>SonarQube</w:t>
            </w:r>
          </w:p>
        </w:tc>
        <w:tc>
          <w:tcPr>
            <w:tcW w:w="1341" w:type="dxa"/>
            <w:shd w:val="clear" w:color="auto" w:fill="auto"/>
          </w:tcPr>
          <w:p>
            <w:pPr>
              <w:spacing w:after="0" w:before="0"/>
              <w:jc w:val="center"/>
            </w:pPr>
            <w:r/>
            <w:r>
              <w:rPr>
                <w:rFonts w:ascii="Arial" w:hAnsi="Arial" w:eastAsia="Arial"/>
                <w:b w:val="0"/>
                <w:sz w:val="15"/>
              </w:rPr>
              <w:t>10.6 LTS</w:t>
            </w:r>
          </w:p>
        </w:tc>
        <w:tc>
          <w:tcPr>
            <w:tcW w:w="4021" w:type="dxa"/>
            <w:shd w:val="clear" w:color="auto" w:fill="auto"/>
          </w:tcPr>
          <w:p>
            <w:pPr>
              <w:spacing w:after="0" w:before="0"/>
              <w:jc w:val="center"/>
            </w:pPr>
            <w:r/>
            <w:r>
              <w:rPr>
                <w:rFonts w:ascii="Arial" w:hAnsi="Arial" w:eastAsia="Arial"/>
                <w:b w:val="0"/>
                <w:sz w:val="15"/>
              </w:rPr>
              <w:t>C++ exception-handling rules</w:t>
            </w:r>
          </w:p>
        </w:tc>
        <w:tc>
          <w:tcPr>
            <w:tcW w:w="3611" w:type="dxa"/>
            <w:shd w:val="clear" w:color="auto" w:fill="auto"/>
          </w:tcPr>
          <w:p>
            <w:pPr>
              <w:spacing w:after="0" w:before="0"/>
              <w:jc w:val="left"/>
            </w:pPr>
            <w:r/>
            <w:r>
              <w:rPr>
                <w:rFonts w:ascii="Arial" w:hAnsi="Arial" w:eastAsia="Arial"/>
                <w:b w:val="0"/>
                <w:sz w:val="15"/>
              </w:rPr>
              <w:t>Identifies overly broad catches, ignored exceptions, and unsafe error disclosure.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Integer Security</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STD-008-INT</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Prevent Signed and Unsigned Conversion Errors</w:t>
            </w:r>
            <w:r>
              <w:br/>
            </w:r>
            <w:r>
              <w:rPr>
                <w:rFonts w:ascii="Arial" w:hAnsi="Arial" w:eastAsia="Arial"/>
                <w:b w:val="0"/>
                <w:sz w:val="18"/>
              </w:rPr>
            </w:r>
            <w:r>
              <w:br/>
            </w:r>
            <w:r>
              <w:rPr>
                <w:rFonts w:ascii="Arial" w:hAnsi="Arial" w:eastAsia="Arial"/>
                <w:b w:val="0"/>
                <w:sz w:val="18"/>
              </w:rPr>
              <w:t>Green Pace code must avoid implicit conversions between signed and unsigned integer types when the value may be negative or outside the destination range. The SEI CERT C++ integer rules show that these conversions can transform a small negative number into a very large positive number, causing incorrect bounds checks, oversized operations, or access outside a container. Values should be validated in their original type before conversion, and explicit casts should be used only after a range check proves that the conversion is safe. Loop counters and container sizes should use compatible types to reduce accidental comparison errors.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A negative user value is converted to `std::size_t` before the bounds check. The converted value becomes a very large positive number, so the program is no longer checking the value the user actually entered.</w:t>
            </w:r>
          </w:p>
        </w:tc>
      </w:tr>
      <w:tr w:rsidR="00F72634" w14:paraId="1F240B56"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int requestedIndex = getRequestedIndex();</w:t>
            </w:r>
            <w:r>
              <w:br/>
            </w:r>
            <w:r>
              <w:rPr>
                <w:rFonts w:ascii="Courier New" w:hAnsi="Courier New" w:eastAsia="Courier New"/>
                <w:sz w:val="24"/>
              </w:rPr>
              <w:t>std::size_t index = requestedIndex;</w:t>
            </w:r>
            <w:r>
              <w:br/>
            </w:r>
            <w:r>
              <w:rPr>
                <w:rFonts w:ascii="Courier New" w:hAnsi="Courier New" w:eastAsia="Courier New"/>
                <w:sz w:val="24"/>
              </w:rPr>
            </w:r>
            <w:r>
              <w:br/>
            </w:r>
            <w:r>
              <w:rPr>
                <w:rFonts w:ascii="Courier New" w:hAnsi="Courier New" w:eastAsia="Courier New"/>
                <w:sz w:val="24"/>
              </w:rPr>
              <w:t>if (index &lt; records.size()) {</w:t>
            </w:r>
            <w:r>
              <w:br/>
            </w:r>
            <w:r>
              <w:rPr>
                <w:rFonts w:ascii="Courier New" w:hAnsi="Courier New" w:eastAsia="Courier New"/>
                <w:sz w:val="24"/>
              </w:rPr>
              <w:t xml:space="preserve">    display(records[index]);</w:t>
            </w:r>
            <w:r>
              <w:br/>
            </w:r>
            <w:r>
              <w:rPr>
                <w:rFonts w:ascii="Courier New" w:hAnsi="Courier New" w:eastAsia="Courier New"/>
                <w:sz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rejects negative values first and then performs a checked conversion. The index is used only after it is proven to be inside the container.</w:t>
            </w:r>
          </w:p>
        </w:tc>
      </w:tr>
      <w:tr w:rsidR="00F72634" w14:paraId="2A6DB0E0"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int requestedIndex = getRequestedIndex();</w:t>
            </w:r>
            <w:r>
              <w:br/>
            </w:r>
            <w:r>
              <w:rPr>
                <w:rFonts w:ascii="Courier New" w:hAnsi="Courier New" w:eastAsia="Courier New"/>
                <w:sz w:val="24"/>
              </w:rPr>
            </w:r>
            <w:r>
              <w:br/>
            </w:r>
            <w:r>
              <w:rPr>
                <w:rFonts w:ascii="Courier New" w:hAnsi="Courier New" w:eastAsia="Courier New"/>
                <w:sz w:val="24"/>
              </w:rPr>
              <w:t>if (requestedIndex &lt; 0) {</w:t>
            </w:r>
            <w:r>
              <w:br/>
            </w:r>
            <w:r>
              <w:rPr>
                <w:rFonts w:ascii="Courier New" w:hAnsi="Courier New" w:eastAsia="Courier New"/>
                <w:sz w:val="24"/>
              </w:rPr>
              <w:t xml:space="preserve">    throw std::out_of_range("Index cannot be negative");</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const auto index = static_cast&lt;std::size_t&gt;(requestedIndex);</w:t>
            </w:r>
            <w:r>
              <w:br/>
            </w:r>
            <w:r>
              <w:rPr>
                <w:rFonts w:ascii="Courier New" w:hAnsi="Courier New" w:eastAsia="Courier New"/>
                <w:sz w:val="24"/>
              </w:rPr>
              <w:t>if (index &gt;= records.size()) {</w:t>
            </w:r>
            <w:r>
              <w:br/>
            </w:r>
            <w:r>
              <w:rPr>
                <w:rFonts w:ascii="Courier New" w:hAnsi="Courier New" w:eastAsia="Courier New"/>
                <w:sz w:val="24"/>
              </w:rPr>
              <w:t xml:space="preserve">    throw std::out_of_range("Index is outside the record list");</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display(records[index]);</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2, 4, 8, and 10. Signed values are checked before conversion, warning levels identify implicit sign changes, explicit conversions keep intent clear, and layered range checks protect container access even if upstream validation fails. The shared standard makes integer handling consistent across the codebase.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Likely</w:t>
            </w:r>
          </w:p>
        </w:tc>
        <w:tc>
          <w:tcPr>
            <w:tcW w:w="4021" w:type="dxa"/>
            <w:shd w:val="clear" w:color="auto" w:fill="auto"/>
          </w:tcPr>
          <w:p>
            <w:pPr>
              <w:spacing w:after="0" w:before="0"/>
              <w:jc w:val="center"/>
            </w:pPr>
            <w:r/>
            <w:r>
              <w:rPr>
                <w:rFonts w:ascii="Arial" w:hAnsi="Arial" w:eastAsia="Arial"/>
                <w:b w:val="0"/>
                <w:sz w:val="17"/>
              </w:rPr>
              <w:t>Low</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bugprone-signed-char-misuse / narrowing-conversions</w:t>
            </w:r>
          </w:p>
        </w:tc>
        <w:tc>
          <w:tcPr>
            <w:tcW w:w="3611" w:type="dxa"/>
            <w:shd w:val="clear" w:color="auto" w:fill="auto"/>
          </w:tcPr>
          <w:p>
            <w:pPr>
              <w:spacing w:after="0" w:before="0"/>
              <w:jc w:val="left"/>
            </w:pPr>
            <w:r/>
            <w:r>
              <w:rPr>
                <w:rFonts w:ascii="Arial" w:hAnsi="Arial" w:eastAsia="Arial"/>
                <w:b w:val="0"/>
                <w:sz w:val="15"/>
              </w:rPr>
              <w:t>Reports risky signedness and narrowing behavior.</w:t>
            </w:r>
          </w:p>
        </w:tc>
      </w:tr>
      <w:tr w:rsidR="00B475A1" w14:paraId="50569B33"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negativeIndex / signConversion</w:t>
            </w:r>
          </w:p>
        </w:tc>
        <w:tc>
          <w:tcPr>
            <w:tcW w:w="3611" w:type="dxa"/>
            <w:shd w:val="clear" w:color="auto" w:fill="auto"/>
          </w:tcPr>
          <w:p>
            <w:pPr>
              <w:spacing w:after="0" w:before="0"/>
              <w:jc w:val="left"/>
            </w:pPr>
            <w:r/>
            <w:r>
              <w:rPr>
                <w:rFonts w:ascii="Arial" w:hAnsi="Arial" w:eastAsia="Arial"/>
                <w:b w:val="0"/>
                <w:sz w:val="15"/>
              </w:rPr>
              <w:t>Detects negative indexes and unsafe signed/unsigned comparisons.</w:t>
            </w:r>
          </w:p>
        </w:tc>
      </w:tr>
      <w:tr w:rsidR="00B475A1" w14:paraId="6F86E3DA" w14:textId="77777777" w:rsidTr="00001F14">
        <w:trPr>
          <w:trHeight w:val="460"/>
        </w:trPr>
        <w:tc>
          <w:tcPr>
            <w:tcW w:w="1807" w:type="dxa"/>
            <w:shd w:val="clear" w:color="auto" w:fill="auto"/>
          </w:tcPr>
          <w:p>
            <w:pPr>
              <w:spacing w:after="0" w:before="0"/>
              <w:jc w:val="center"/>
            </w:pPr>
            <w:r/>
            <w:r>
              <w:rPr>
                <w:rFonts w:ascii="Arial" w:hAnsi="Arial" w:eastAsia="Arial"/>
                <w:b w:val="0"/>
                <w:sz w:val="15"/>
              </w:rPr>
              <w:t>GCC</w:t>
            </w:r>
          </w:p>
        </w:tc>
        <w:tc>
          <w:tcPr>
            <w:tcW w:w="1341" w:type="dxa"/>
            <w:shd w:val="clear" w:color="auto" w:fill="auto"/>
          </w:tcPr>
          <w:p>
            <w:pPr>
              <w:spacing w:after="0" w:before="0"/>
              <w:jc w:val="center"/>
            </w:pPr>
            <w:r/>
            <w:r>
              <w:rPr>
                <w:rFonts w:ascii="Arial" w:hAnsi="Arial" w:eastAsia="Arial"/>
                <w:b w:val="0"/>
                <w:sz w:val="15"/>
              </w:rPr>
              <w:t>14</w:t>
            </w:r>
          </w:p>
        </w:tc>
        <w:tc>
          <w:tcPr>
            <w:tcW w:w="4021" w:type="dxa"/>
            <w:shd w:val="clear" w:color="auto" w:fill="auto"/>
          </w:tcPr>
          <w:p>
            <w:pPr>
              <w:spacing w:after="0" w:before="0"/>
              <w:jc w:val="center"/>
            </w:pPr>
            <w:r/>
            <w:r>
              <w:rPr>
                <w:rFonts w:ascii="Arial" w:hAnsi="Arial" w:eastAsia="Arial"/>
                <w:b w:val="0"/>
                <w:sz w:val="15"/>
              </w:rPr>
              <w:t>-Wsign-conversion -Wsign-compare</w:t>
            </w:r>
          </w:p>
        </w:tc>
        <w:tc>
          <w:tcPr>
            <w:tcW w:w="3611" w:type="dxa"/>
            <w:shd w:val="clear" w:color="auto" w:fill="auto"/>
          </w:tcPr>
          <w:p>
            <w:pPr>
              <w:spacing w:after="0" w:before="0"/>
              <w:jc w:val="left"/>
            </w:pPr>
            <w:r/>
            <w:r>
              <w:rPr>
                <w:rFonts w:ascii="Arial" w:hAnsi="Arial" w:eastAsia="Arial"/>
                <w:b w:val="0"/>
                <w:sz w:val="15"/>
              </w:rPr>
              <w:t>Compiler warnings make implicit signedness changes visible in CI.</w:t>
            </w:r>
          </w:p>
        </w:tc>
      </w:tr>
      <w:tr w:rsidR="00B475A1" w14:paraId="669BE97C"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cpp/signed-to-unsigned-conversion</w:t>
            </w:r>
          </w:p>
        </w:tc>
        <w:tc>
          <w:tcPr>
            <w:tcW w:w="3611" w:type="dxa"/>
            <w:shd w:val="clear" w:color="auto" w:fill="auto"/>
          </w:tcPr>
          <w:p>
            <w:pPr>
              <w:spacing w:after="0" w:before="0"/>
              <w:jc w:val="left"/>
            </w:pPr>
            <w:r/>
            <w:r>
              <w:rPr>
                <w:rFonts w:ascii="Arial" w:hAnsi="Arial" w:eastAsia="Arial"/>
                <w:b w:val="0"/>
                <w:sz w:val="15"/>
              </w:rPr>
              <w:t>Finds conversions where a negative value can become a large positive value.</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File and Resource Management</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STD-009-FIO</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Verify File Operations and Close Resources Automatically</w:t>
            </w:r>
            <w:r>
              <w:br/>
            </w:r>
            <w:r>
              <w:rPr>
                <w:rFonts w:ascii="Arial" w:hAnsi="Arial" w:eastAsia="Arial"/>
                <w:b w:val="0"/>
                <w:sz w:val="18"/>
              </w:rPr>
            </w:r>
            <w:r>
              <w:br/>
            </w:r>
            <w:r>
              <w:rPr>
                <w:rFonts w:ascii="Arial" w:hAnsi="Arial" w:eastAsia="Arial"/>
                <w:b w:val="0"/>
                <w:sz w:val="18"/>
              </w:rPr>
              <w:t>Files and operating-system resources must be opened with the minimum necessary permissions, checked for success, and released on every execution path. The SEI CERT C++ input/output rules emphasize checking stream state and avoiding unsafe assumptions about external files. Green Pace applications should validate file names and approved locations, avoid following untrusted paths, and use RAII-based stream objects so files close automatically. Sensitive files should not be created with overly broad permissions, and write operations should confirm that data was actually committed. Proper file handling prevents data loss, unauthorized file access, resource exhaustion, and inconsistent application state.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program opens the file but never verifies that the operation succeeded. It also reports success even if the write failed, which can cause Green Pace to believe an audit record was stored when it was not.</w:t>
            </w:r>
          </w:p>
        </w:tc>
      </w:tr>
      <w:tr w:rsidR="00F72634" w14:paraId="25A0CD90"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&lt;fstream&gt;</w:t>
            </w:r>
            <w:r>
              <w:br/>
            </w:r>
            <w:r>
              <w:rPr>
                <w:rFonts w:ascii="Courier New" w:hAnsi="Courier New" w:eastAsia="Courier New"/>
                <w:sz w:val="24"/>
              </w:rPr>
            </w:r>
            <w:r>
              <w:br/>
            </w:r>
            <w:r>
              <w:rPr>
                <w:rFonts w:ascii="Courier New" w:hAnsi="Courier New" w:eastAsia="Courier New"/>
                <w:sz w:val="24"/>
              </w:rPr>
              <w:t>void saveAudit(const std::string&amp; entry) {</w:t>
            </w:r>
            <w:r>
              <w:br/>
            </w:r>
            <w:r>
              <w:rPr>
                <w:rFonts w:ascii="Courier New" w:hAnsi="Courier New" w:eastAsia="Courier New"/>
                <w:sz w:val="24"/>
              </w:rPr>
              <w:t xml:space="preserve">    std::ofstream file("audit.log", std::ios::app);</w:t>
            </w:r>
            <w:r>
              <w:br/>
            </w:r>
            <w:r>
              <w:rPr>
                <w:rFonts w:ascii="Courier New" w:hAnsi="Courier New" w:eastAsia="Courier New"/>
                <w:sz w:val="24"/>
              </w:rPr>
              <w:t xml:space="preserve">    file &lt;&lt; entry &lt;&lt; "\n";</w:t>
            </w:r>
            <w:r>
              <w:br/>
            </w:r>
            <w:r>
              <w:rPr>
                <w:rFonts w:ascii="Courier New" w:hAnsi="Courier New" w:eastAsia="Courier New"/>
                <w:sz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checks both the open operation and the completed write. The stream closes automatically when the function exits, including when an exception is thrown.</w:t>
            </w:r>
          </w:p>
        </w:tc>
      </w:tr>
      <w:tr w:rsidR="00F72634" w14:paraId="4E6EA6E9"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&lt;fstream&gt;</w:t>
            </w:r>
            <w:r>
              <w:br/>
            </w:r>
            <w:r>
              <w:rPr>
                <w:rFonts w:ascii="Courier New" w:hAnsi="Courier New" w:eastAsia="Courier New"/>
                <w:sz w:val="24"/>
              </w:rPr>
              <w:t>#include &lt;stdexcept&gt;</w:t>
            </w:r>
            <w:r>
              <w:br/>
            </w:r>
            <w:r>
              <w:rPr>
                <w:rFonts w:ascii="Courier New" w:hAnsi="Courier New" w:eastAsia="Courier New"/>
                <w:sz w:val="24"/>
              </w:rPr>
            </w:r>
            <w:r>
              <w:br/>
            </w:r>
            <w:r>
              <w:rPr>
                <w:rFonts w:ascii="Courier New" w:hAnsi="Courier New" w:eastAsia="Courier New"/>
                <w:sz w:val="24"/>
              </w:rPr>
              <w:t>void saveAudit(const std::string&amp; entry) {</w:t>
            </w:r>
            <w:r>
              <w:br/>
            </w:r>
            <w:r>
              <w:rPr>
                <w:rFonts w:ascii="Courier New" w:hAnsi="Courier New" w:eastAsia="Courier New"/>
                <w:sz w:val="24"/>
              </w:rPr>
              <w:t xml:space="preserve">    std::ofstream file("audit.log", std::ios::app);</w:t>
            </w:r>
            <w:r>
              <w:br/>
            </w:r>
            <w:r>
              <w:rPr>
                <w:rFonts w:ascii="Courier New" w:hAnsi="Courier New" w:eastAsia="Courier New"/>
                <w:sz w:val="24"/>
              </w:rPr>
              <w:t xml:space="preserve">    if (!file.is_open()) {</w:t>
            </w:r>
            <w:r>
              <w:br/>
            </w:r>
            <w:r>
              <w:rPr>
                <w:rFonts w:ascii="Courier New" w:hAnsi="Courier New" w:eastAsia="Courier New"/>
                <w:sz w:val="24"/>
              </w:rPr>
              <w:t xml:space="preserve">        throw std::runtime_error("Unable to open audit log");</w:t>
            </w:r>
            <w:r>
              <w:br/>
            </w:r>
            <w:r>
              <w:rPr>
                <w:rFonts w:ascii="Courier New" w:hAnsi="Courier New" w:eastAsia="Courier New"/>
                <w:sz w:val="24"/>
              </w:rPr>
              <w:t xml:space="preserve">    }</w:t>
            </w:r>
            <w:r>
              <w:br/>
            </w:r>
            <w:r>
              <w:rPr>
                <w:rFonts w:ascii="Courier New" w:hAnsi="Courier New" w:eastAsia="Courier New"/>
                <w:sz w:val="24"/>
              </w:rPr>
            </w:r>
            <w:r>
              <w:br/>
            </w:r>
            <w:r>
              <w:rPr>
                <w:rFonts w:ascii="Courier New" w:hAnsi="Courier New" w:eastAsia="Courier New"/>
                <w:sz w:val="24"/>
              </w:rPr>
              <w:t xml:space="preserve">    file &lt;&lt; entry &lt;&lt; '\n';</w:t>
            </w:r>
            <w:r>
              <w:br/>
            </w:r>
            <w:r>
              <w:rPr>
                <w:rFonts w:ascii="Courier New" w:hAnsi="Courier New" w:eastAsia="Courier New"/>
                <w:sz w:val="24"/>
              </w:rPr>
              <w:t xml:space="preserve">    if (!file) {</w:t>
            </w:r>
            <w:r>
              <w:br/>
            </w:r>
            <w:r>
              <w:rPr>
                <w:rFonts w:ascii="Courier New" w:hAnsi="Courier New" w:eastAsia="Courier New"/>
                <w:sz w:val="24"/>
              </w:rPr>
              <w:t xml:space="preserve">        throw std::runtime_error("Unable to write audit log");</w:t>
            </w:r>
            <w:r>
              <w:br/>
            </w:r>
            <w:r>
              <w:rPr>
                <w:rFonts w:ascii="Courier New" w:hAnsi="Courier New" w:eastAsia="Courier New"/>
                <w:sz w:val="24"/>
              </w:rPr>
              <w:t xml:space="preserve">    }</w:t>
            </w:r>
            <w:r>
              <w:br/>
            </w:r>
            <w:r>
              <w:rPr>
                <w:rFonts w:ascii="Courier New" w:hAnsi="Courier New" w:eastAsia="Courier New"/>
                <w:sz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1, 5, 6, 7, 8, and 10. File names, paths, and stream state are validated. Access defaults to denial and uses only the permissions required. Data written to files or services is sanitized, and layered checks cover opening, reading, writing, and closing. The standard gives every component the same resource-handling expectations.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pPr>
              <w:spacing w:after="0" w:before="0"/>
              <w:jc w:val="center"/>
            </w:pPr>
            <w:r/>
            <w:r>
              <w:rPr>
                <w:rFonts w:ascii="Arial" w:hAnsi="Arial" w:eastAsia="Arial"/>
                <w:b w:val="0"/>
                <w:sz w:val="17"/>
              </w:rPr>
              <w:t>High</w:t>
            </w:r>
          </w:p>
        </w:tc>
        <w:tc>
          <w:tcPr>
            <w:tcW w:w="1341" w:type="dxa"/>
            <w:shd w:val="clear" w:color="auto" w:fill="auto"/>
          </w:tcPr>
          <w:p>
            <w:pPr>
              <w:spacing w:after="0" w:before="0"/>
              <w:jc w:val="center"/>
            </w:pPr>
            <w:r/>
            <w:r>
              <w:rPr>
                <w:rFonts w:ascii="Arial" w:hAnsi="Arial" w:eastAsia="Arial"/>
                <w:b w:val="0"/>
                <w:sz w:val="17"/>
              </w:rPr>
              <w:t>Possible</w:t>
            </w:r>
          </w:p>
        </w:tc>
        <w:tc>
          <w:tcPr>
            <w:tcW w:w="4021" w:type="dxa"/>
            <w:shd w:val="clear" w:color="auto" w:fill="auto"/>
          </w:tcPr>
          <w:p>
            <w:pPr>
              <w:spacing w:after="0" w:before="0"/>
              <w:jc w:val="center"/>
            </w:pPr>
            <w:r/>
            <w:r>
              <w:rPr>
                <w:rFonts w:ascii="Arial" w:hAnsi="Arial" w:eastAsia="Arial"/>
                <w:b w:val="0"/>
                <w:sz w:val="17"/>
              </w:rPr>
              <w:t>Medium</w:t>
            </w:r>
          </w:p>
        </w:tc>
        <w:tc>
          <w:tcPr>
            <w:tcW w:w="1807" w:type="dxa"/>
            <w:shd w:val="clear" w:color="auto" w:fill="auto"/>
          </w:tcPr>
          <w:p>
            <w:pPr>
              <w:spacing w:after="0" w:before="0"/>
              <w:jc w:val="center"/>
            </w:pPr>
            <w:r/>
            <w:r>
              <w:rPr>
                <w:rFonts w:ascii="Arial" w:hAnsi="Arial" w:eastAsia="Arial"/>
                <w:b w:val="0"/>
                <w:sz w:val="17"/>
              </w:rPr>
              <w:t>High</w:t>
            </w:r>
          </w:p>
        </w:tc>
        <w:tc>
          <w:tcPr>
            <w:tcW w:w="1805" w:type="dxa"/>
            <w:shd w:val="clear" w:color="auto" w:fill="auto"/>
          </w:tcPr>
          <w:p>
            <w:pPr>
              <w:spacing w:after="0" w:before="0"/>
              <w:jc w:val="center"/>
            </w:pPr>
            <w:r/>
            <w:r>
              <w:rPr>
                <w:rFonts w:ascii="Arial" w:hAnsi="Arial" w:eastAsia="Arial"/>
                <w:b w:val="0"/>
                <w:sz w:val="17"/>
              </w:rP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clang-analyzer-unix.Stream</w:t>
            </w:r>
          </w:p>
        </w:tc>
        <w:tc>
          <w:tcPr>
            <w:tcW w:w="3611" w:type="dxa"/>
            <w:shd w:val="clear" w:color="auto" w:fill="auto"/>
          </w:tcPr>
          <w:p>
            <w:pPr>
              <w:spacing w:after="0" w:before="0"/>
              <w:jc w:val="left"/>
            </w:pPr>
            <w:r/>
            <w:r>
              <w:rPr>
                <w:rFonts w:ascii="Arial" w:hAnsi="Arial" w:eastAsia="Arial"/>
                <w:b w:val="0"/>
                <w:sz w:val="15"/>
              </w:rPr>
              <w:t>Detects invalid stream use, resource leaks, and unchecked file operations.</w:t>
            </w:r>
          </w:p>
        </w:tc>
      </w:tr>
      <w:tr w:rsidR="00B475A1" w14:paraId="64F0AC3A" w14:textId="77777777" w:rsidTr="00001F14">
        <w:trPr>
          <w:trHeight w:val="460"/>
        </w:trPr>
        <w:tc>
          <w:tcPr>
            <w:tcW w:w="1807" w:type="dxa"/>
            <w:shd w:val="clear" w:color="auto" w:fill="auto"/>
          </w:tcPr>
          <w:p>
            <w:pPr>
              <w:spacing w:after="0" w:before="0"/>
              <w:jc w:val="center"/>
            </w:pPr>
            <w:r/>
            <w:r>
              <w:rPr>
                <w:rFonts w:ascii="Arial" w:hAnsi="Arial" w:eastAsia="Arial"/>
                <w:b w:val="0"/>
                <w:sz w:val="15"/>
              </w:rPr>
              <w:t>Cppcheck</w:t>
            </w:r>
          </w:p>
        </w:tc>
        <w:tc>
          <w:tcPr>
            <w:tcW w:w="1341" w:type="dxa"/>
            <w:shd w:val="clear" w:color="auto" w:fill="auto"/>
          </w:tcPr>
          <w:p>
            <w:pPr>
              <w:spacing w:after="0" w:before="0"/>
              <w:jc w:val="center"/>
            </w:pPr>
            <w:r/>
            <w:r>
              <w:rPr>
                <w:rFonts w:ascii="Arial" w:hAnsi="Arial" w:eastAsia="Arial"/>
                <w:b w:val="0"/>
                <w:sz w:val="15"/>
              </w:rPr>
              <w:t>2.14</w:t>
            </w:r>
          </w:p>
        </w:tc>
        <w:tc>
          <w:tcPr>
            <w:tcW w:w="4021" w:type="dxa"/>
            <w:shd w:val="clear" w:color="auto" w:fill="auto"/>
          </w:tcPr>
          <w:p>
            <w:pPr>
              <w:spacing w:after="0" w:before="0"/>
              <w:jc w:val="center"/>
            </w:pPr>
            <w:r/>
            <w:r>
              <w:rPr>
                <w:rFonts w:ascii="Arial" w:hAnsi="Arial" w:eastAsia="Arial"/>
                <w:b w:val="0"/>
                <w:sz w:val="15"/>
              </w:rPr>
              <w:t>resourceLeak / unreadVariable</w:t>
            </w:r>
          </w:p>
        </w:tc>
        <w:tc>
          <w:tcPr>
            <w:tcW w:w="3611" w:type="dxa"/>
            <w:shd w:val="clear" w:color="auto" w:fill="auto"/>
          </w:tcPr>
          <w:p>
            <w:pPr>
              <w:spacing w:after="0" w:before="0"/>
              <w:jc w:val="left"/>
            </w:pPr>
            <w:r/>
            <w:r>
              <w:rPr>
                <w:rFonts w:ascii="Arial" w:hAnsi="Arial" w:eastAsia="Arial"/>
                <w:b w:val="0"/>
                <w:sz w:val="15"/>
              </w:rPr>
              <w:t>Finds handles or streams that are not released and suspicious I/O results.</w:t>
            </w:r>
          </w:p>
        </w:tc>
      </w:tr>
      <w:tr w:rsidR="00B475A1" w14:paraId="2E5EE7DD"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cpp/path-injection</w:t>
            </w:r>
          </w:p>
        </w:tc>
        <w:tc>
          <w:tcPr>
            <w:tcW w:w="3611" w:type="dxa"/>
            <w:shd w:val="clear" w:color="auto" w:fill="auto"/>
          </w:tcPr>
          <w:p>
            <w:pPr>
              <w:spacing w:after="0" w:before="0"/>
              <w:jc w:val="left"/>
            </w:pPr>
            <w:r/>
            <w:r>
              <w:rPr>
                <w:rFonts w:ascii="Arial" w:hAnsi="Arial" w:eastAsia="Arial"/>
                <w:b w:val="0"/>
                <w:sz w:val="15"/>
              </w:rPr>
              <w:t>Tracks untrusted input into file-system paths and file-opening operations.</w:t>
            </w:r>
          </w:p>
        </w:tc>
      </w:tr>
      <w:tr w:rsidR="00B475A1" w14:paraId="2EE1B702" w14:textId="77777777" w:rsidTr="00001F14">
        <w:trPr>
          <w:trHeight w:val="460"/>
        </w:trPr>
        <w:tc>
          <w:tcPr>
            <w:tcW w:w="1807" w:type="dxa"/>
            <w:shd w:val="clear" w:color="auto" w:fill="auto"/>
          </w:tcPr>
          <w:p>
            <w:pPr>
              <w:spacing w:after="0" w:before="0"/>
              <w:jc w:val="center"/>
            </w:pPr>
            <w:r/>
            <w:r>
              <w:rPr>
                <w:rFonts w:ascii="Arial" w:hAnsi="Arial" w:eastAsia="Arial"/>
                <w:b w:val="0"/>
                <w:sz w:val="15"/>
              </w:rPr>
              <w:t>SonarQube</w:t>
            </w:r>
          </w:p>
        </w:tc>
        <w:tc>
          <w:tcPr>
            <w:tcW w:w="1341" w:type="dxa"/>
            <w:shd w:val="clear" w:color="auto" w:fill="auto"/>
          </w:tcPr>
          <w:p>
            <w:pPr>
              <w:spacing w:after="0" w:before="0"/>
              <w:jc w:val="center"/>
            </w:pPr>
            <w:r/>
            <w:r>
              <w:rPr>
                <w:rFonts w:ascii="Arial" w:hAnsi="Arial" w:eastAsia="Arial"/>
                <w:b w:val="0"/>
                <w:sz w:val="15"/>
              </w:rPr>
              <w:t>10.6 LTS</w:t>
            </w:r>
          </w:p>
        </w:tc>
        <w:tc>
          <w:tcPr>
            <w:tcW w:w="4021" w:type="dxa"/>
            <w:shd w:val="clear" w:color="auto" w:fill="auto"/>
          </w:tcPr>
          <w:p>
            <w:pPr>
              <w:spacing w:after="0" w:before="0"/>
              <w:jc w:val="center"/>
            </w:pPr>
            <w:r/>
            <w:r>
              <w:rPr>
                <w:rFonts w:ascii="Arial" w:hAnsi="Arial" w:eastAsia="Arial"/>
                <w:b w:val="0"/>
                <w:sz w:val="15"/>
              </w:rPr>
              <w:t>C/C++ file and path security rules</w:t>
            </w:r>
          </w:p>
        </w:tc>
        <w:tc>
          <w:tcPr>
            <w:tcW w:w="3611" w:type="dxa"/>
            <w:shd w:val="clear" w:color="auto" w:fill="auto"/>
          </w:tcPr>
          <w:p>
            <w:pPr>
              <w:spacing w:after="0" w:before="0"/>
              <w:jc w:val="left"/>
            </w:pPr>
            <w:r/>
            <w:r>
              <w:rPr>
                <w:rFonts w:ascii="Arial" w:hAnsi="Arial" w:eastAsia="Arial"/>
                <w:b w:val="0"/>
                <w:sz w:val="15"/>
              </w:rPr>
              <w:t>Flags unsafe path construction, unchecked return values, and resource leaks.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vAlign w:val="center"/>
          </w:tcPr>
          <w:p>
            <w:pPr>
              <w:spacing w:after="0"/>
            </w:pPr>
            <w:r/>
            <w:r>
              <w:rPr>
                <w:rFonts w:ascii="Arial" w:hAnsi="Arial" w:eastAsia="Arial"/>
                <w:b/>
                <w:sz w:val="20"/>
              </w:rPr>
              <w:t>Concurrency</w:t>
            </w:r>
          </w:p>
        </w:tc>
        <w:tc>
          <w:tcPr>
            <w:tcW w:w="1341" w:type="dxa"/>
            <w:tcMar>
              <w:top w:w="100" w:type="dxa"/>
              <w:left w:w="100" w:type="dxa"/>
              <w:bottom w:w="100" w:type="dxa"/>
              <w:right w:w="100" w:type="dxa"/>
            </w:tcMar>
            <w:vAlign w:val="center"/>
          </w:tcPr>
          <w:p>
            <w:pPr>
              <w:spacing w:after="0"/>
            </w:pPr>
            <w:r/>
            <w:r>
              <w:rPr>
                <w:rFonts w:ascii="Arial" w:hAnsi="Arial" w:eastAsia="Arial"/>
                <w:b w:val="0"/>
                <w:sz w:val="20"/>
              </w:rPr>
              <w:t>STD-010-CON</w:t>
            </w:r>
          </w:p>
        </w:tc>
        <w:tc>
          <w:tcPr>
            <w:tcW w:w="7632" w:type="dxa"/>
            <w:tcMar>
              <w:top w:w="100" w:type="dxa"/>
              <w:left w:w="100" w:type="dxa"/>
              <w:bottom w:w="100" w:type="dxa"/>
              <w:right w:w="100" w:type="dxa"/>
            </w:tcMar>
            <w:vAlign w:val="center"/>
          </w:tcPr>
          <w:p>
            <w:pPr>
              <w:spacing w:after="0"/>
            </w:pPr>
            <w:r/>
            <w:r>
              <w:rPr>
                <w:rFonts w:ascii="Arial" w:hAnsi="Arial" w:eastAsia="Arial"/>
                <w:b w:val="0"/>
                <w:sz w:val="18"/>
              </w:rPr>
              <w:t>Synchronize Shared Data and Use Scoped Locking</w:t>
            </w:r>
            <w:r>
              <w:br/>
            </w:r>
            <w:r>
              <w:rPr>
                <w:rFonts w:ascii="Arial" w:hAnsi="Arial" w:eastAsia="Arial"/>
                <w:b w:val="0"/>
                <w:sz w:val="18"/>
              </w:rPr>
            </w:r>
            <w:r>
              <w:br/>
            </w:r>
            <w:r>
              <w:rPr>
                <w:rFonts w:ascii="Arial" w:hAnsi="Arial" w:eastAsia="Arial"/>
                <w:b w:val="0"/>
                <w:sz w:val="18"/>
              </w:rPr>
              <w:t>Concurrent code must protect shared mutable data from unsynchronized access. The SEI CERT C++ concurrency rules explain that data races produce undefined behavior and may cause lost updates, inconsistent authorization decisions, corruption, or intermittent failures that are difficult to reproduce. Green Pace developers should minimize shared state, use standard synchronization primitives, and acquire locks through RAII objects such as `std::lock_guard` or `std::scoped_lock`. Lock ordering should be consistent when multiple locks are required, and a lock should be held only as long as necessary. Thread-safe design must be reviewed and tested under realistic load.</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Multiple threads can execute `recordLoginFailure` at the same time and update the shared counter without synchronization. Some increments may be lost, allowing an account to avoid the intended lockout threshold.</w:t>
            </w:r>
          </w:p>
        </w:tc>
      </w:tr>
      <w:tr w:rsidR="00F72634" w14:paraId="23207A43"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int failedLogins = 0;</w:t>
            </w:r>
            <w:r>
              <w:br/>
            </w:r>
            <w:r>
              <w:rPr>
                <w:rFonts w:ascii="Courier New" w:hAnsi="Courier New" w:eastAsia="Courier New"/>
                <w:sz w:val="24"/>
              </w:rPr>
            </w:r>
            <w:r>
              <w:br/>
            </w:r>
            <w:r>
              <w:rPr>
                <w:rFonts w:ascii="Courier New" w:hAnsi="Courier New" w:eastAsia="Courier New"/>
                <w:sz w:val="24"/>
              </w:rPr>
              <w:t>void recordLoginFailure() {</w:t>
            </w:r>
            <w:r>
              <w:br/>
            </w:r>
            <w:r>
              <w:rPr>
                <w:rFonts w:ascii="Courier New" w:hAnsi="Courier New" w:eastAsia="Courier New"/>
                <w:sz w:val="24"/>
              </w:rPr>
              <w:t xml:space="preserve">    ++failedLogins;</w:t>
            </w:r>
            <w:r>
              <w:br/>
            </w:r>
            <w:r>
              <w:rPr>
                <w:rFonts w:ascii="Courier New" w:hAnsi="Courier New" w:eastAsia="Courier New"/>
                <w:sz w:val="24"/>
              </w:rPr>
              <w:t xml:space="preserve">    if (failedLogins &gt;= 3) {</w:t>
            </w:r>
            <w:r>
              <w:br/>
            </w:r>
            <w:r>
              <w:rPr>
                <w:rFonts w:ascii="Courier New" w:hAnsi="Courier New" w:eastAsia="Courier New"/>
                <w:sz w:val="24"/>
              </w:rPr>
              <w:t xml:space="preserve">        lockAccount();</w:t>
            </w:r>
            <w:r>
              <w:br/>
            </w:r>
            <w:r>
              <w:rPr>
                <w:rFonts w:ascii="Courier New" w:hAnsi="Courier New" w:eastAsia="Courier New"/>
                <w:sz w:val="24"/>
              </w:rPr>
              <w:t xml:space="preserve">    }</w:t>
            </w:r>
            <w:r>
              <w:br/>
            </w:r>
            <w:r>
              <w:rPr>
                <w:rFonts w:ascii="Courier New" w:hAnsi="Courier New" w:eastAsia="Courier New"/>
                <w:sz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after="0"/>
            </w:pPr>
            <w:r/>
            <w:r>
              <w:rPr>
                <w:rFonts w:ascii="Arial" w:hAnsi="Arial" w:eastAsia="Arial"/>
                <w:b w:val="0"/>
                <w:sz w:val="18"/>
              </w:rPr>
              <w:t>The compliant version protects the shared state with a mutex and uses `std::lock_guard` so the lock is always released. The check and update occur as one synchronized operation.</w:t>
            </w:r>
          </w:p>
        </w:tc>
      </w:tr>
      <w:tr w:rsidR="00F72634" w14:paraId="66F887A3" w14:textId="77777777" w:rsidTr="00001F14">
        <w:trPr>
          <w:trHeight w:val="460"/>
        </w:trPr>
        <w:tc>
          <w:tcPr>
            <w:tcW w:w="10800" w:type="dxa"/>
            <w:tcMar>
              <w:top w:w="100" w:type="dxa"/>
              <w:left w:w="100" w:type="dxa"/>
              <w:bottom w:w="100" w:type="dxa"/>
              <w:right w:w="100" w:type="dxa"/>
            </w:tcMar>
          </w:tcPr>
          <w:p>
            <w:pPr>
              <w:spacing w:after="0"/>
            </w:pPr>
            <w:r/>
            <w:r>
              <w:rPr>
                <w:rFonts w:ascii="Courier New" w:hAnsi="Courier New" w:eastAsia="Courier New"/>
                <w:sz w:val="24"/>
              </w:rPr>
              <w:t>#include &lt;mutex&gt;</w:t>
            </w:r>
            <w:r>
              <w:br/>
            </w:r>
            <w:r>
              <w:rPr>
                <w:rFonts w:ascii="Courier New" w:hAnsi="Courier New" w:eastAsia="Courier New"/>
                <w:sz w:val="24"/>
              </w:rPr>
            </w:r>
            <w:r>
              <w:br/>
            </w:r>
            <w:r>
              <w:rPr>
                <w:rFonts w:ascii="Courier New" w:hAnsi="Courier New" w:eastAsia="Courier New"/>
                <w:sz w:val="24"/>
              </w:rPr>
              <w:t>int failedLogins = 0;</w:t>
            </w:r>
            <w:r>
              <w:br/>
            </w:r>
            <w:r>
              <w:rPr>
                <w:rFonts w:ascii="Courier New" w:hAnsi="Courier New" w:eastAsia="Courier New"/>
                <w:sz w:val="24"/>
              </w:rPr>
              <w:t>std::mutex failedLoginMutex;</w:t>
            </w:r>
            <w:r>
              <w:br/>
            </w:r>
            <w:r>
              <w:rPr>
                <w:rFonts w:ascii="Courier New" w:hAnsi="Courier New" w:eastAsia="Courier New"/>
                <w:sz w:val="24"/>
              </w:rPr>
            </w:r>
            <w:r>
              <w:br/>
            </w:r>
            <w:r>
              <w:rPr>
                <w:rFonts w:ascii="Courier New" w:hAnsi="Courier New" w:eastAsia="Courier New"/>
                <w:sz w:val="24"/>
              </w:rPr>
              <w:t>void recordLoginFailure() {</w:t>
            </w:r>
            <w:r>
              <w:br/>
            </w:r>
            <w:r>
              <w:rPr>
                <w:rFonts w:ascii="Courier New" w:hAnsi="Courier New" w:eastAsia="Courier New"/>
                <w:sz w:val="24"/>
              </w:rPr>
              <w:t xml:space="preserve">    std::lock_guard&lt;std::mutex&gt; lock(failedLoginMutex);</w:t>
            </w:r>
            <w:r>
              <w:br/>
            </w:r>
            <w:r>
              <w:rPr>
                <w:rFonts w:ascii="Courier New" w:hAnsi="Courier New" w:eastAsia="Courier New"/>
                <w:sz w:val="24"/>
              </w:rPr>
              <w:t xml:space="preserve">    ++failedLogins;</w:t>
            </w:r>
            <w:r>
              <w:br/>
            </w:r>
            <w:r>
              <w:rPr>
                <w:rFonts w:ascii="Courier New" w:hAnsi="Courier New" w:eastAsia="Courier New"/>
                <w:sz w:val="24"/>
              </w:rPr>
              <w:t xml:space="preserve">    if (failedLogins &gt;= 3) {</w:t>
            </w:r>
            <w:r>
              <w:br/>
            </w:r>
            <w:r>
              <w:rPr>
                <w:rFonts w:ascii="Courier New" w:hAnsi="Courier New" w:eastAsia="Courier New"/>
                <w:sz w:val="24"/>
              </w:rPr>
              <w:t xml:space="preserve">        lockAccount();</w:t>
            </w:r>
            <w:r>
              <w:br/>
            </w:r>
            <w:r>
              <w:rPr>
                <w:rFonts w:ascii="Courier New" w:hAnsi="Courier New" w:eastAsia="Courier New"/>
                <w:sz w:val="24"/>
              </w:rPr>
              <w:t xml:space="preserve">    }</w:t>
            </w:r>
            <w:r>
              <w:br/>
            </w:r>
            <w:r>
              <w:rPr>
                <w:rFonts w:ascii="Courier New" w:hAnsi="Courier New" w:eastAsia="Courier New"/>
                <w:sz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pPr>
              <w:spacing w:after="0" w:before="0"/>
            </w:pPr>
            <w:r/>
            <w:r>
              <w:rPr>
                <w:rFonts w:ascii="Arial" w:hAnsi="Arial" w:eastAsia="Arial"/>
                <w:b w:val="0"/>
                <w:sz w:val="17"/>
              </w:rPr>
              <w:t>Principles(s): Principles 4, 6, 8, 9, and 10. Scoped synchronization keeps concurrent logic understandable and limits access to shared state. Least privilege applies by exposing only the data each thread needs. Defense in depth combines locks, immutability, race detection, and testing, while the coding standard establishes one approved synchronization model.</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pPr>
              <w:spacing w:after="0" w:before="0"/>
              <w:jc w:val="center"/>
            </w:pPr>
            <w:r/>
            <w:r>
              <w:rPr>
                <w:rFonts w:ascii="Arial" w:hAnsi="Arial" w:eastAsia="Arial"/>
                <w:b w:val="0"/>
                <w:sz w:val="17"/>
              </w:rPr>
              <w:t>Critical</w:t>
            </w:r>
          </w:p>
        </w:tc>
        <w:tc>
          <w:tcPr>
            <w:tcW w:w="1341" w:type="dxa"/>
            <w:shd w:val="clear" w:color="auto" w:fill="auto"/>
          </w:tcPr>
          <w:p>
            <w:pPr>
              <w:spacing w:after="0" w:before="0"/>
              <w:jc w:val="center"/>
            </w:pPr>
            <w:r/>
            <w:r>
              <w:rPr>
                <w:rFonts w:ascii="Arial" w:hAnsi="Arial" w:eastAsia="Arial"/>
                <w:b w:val="0"/>
                <w:sz w:val="17"/>
              </w:rPr>
              <w:t>Possible</w:t>
            </w:r>
          </w:p>
        </w:tc>
        <w:tc>
          <w:tcPr>
            <w:tcW w:w="4021" w:type="dxa"/>
            <w:shd w:val="clear" w:color="auto" w:fill="auto"/>
          </w:tcPr>
          <w:p>
            <w:pPr>
              <w:spacing w:after="0" w:before="0"/>
              <w:jc w:val="center"/>
            </w:pPr>
            <w:r/>
            <w:r>
              <w:rPr>
                <w:rFonts w:ascii="Arial" w:hAnsi="Arial" w:eastAsia="Arial"/>
                <w:b w:val="0"/>
                <w:sz w:val="17"/>
              </w:rPr>
              <w:t>High</w:t>
            </w:r>
          </w:p>
        </w:tc>
        <w:tc>
          <w:tcPr>
            <w:tcW w:w="1807" w:type="dxa"/>
            <w:shd w:val="clear" w:color="auto" w:fill="auto"/>
          </w:tcPr>
          <w:p>
            <w:pPr>
              <w:spacing w:after="0" w:before="0"/>
              <w:jc w:val="center"/>
            </w:pPr>
            <w:r/>
            <w:r>
              <w:rPr>
                <w:rFonts w:ascii="Arial" w:hAnsi="Arial" w:eastAsia="Arial"/>
                <w:b w:val="0"/>
                <w:sz w:val="17"/>
              </w:rPr>
              <w:t>Critical</w:t>
            </w:r>
          </w:p>
        </w:tc>
        <w:tc>
          <w:tcPr>
            <w:tcW w:w="1805" w:type="dxa"/>
            <w:shd w:val="clear" w:color="auto" w:fill="auto"/>
          </w:tcPr>
          <w:p>
            <w:pPr>
              <w:spacing w:after="0" w:before="0"/>
              <w:jc w:val="center"/>
            </w:pPr>
            <w:r/>
            <w:r>
              <w:rPr>
                <w:rFonts w:ascii="Arial" w:hAnsi="Arial" w:eastAsia="Arial"/>
                <w:b w:val="0"/>
                <w:sz w:val="17"/>
              </w:rP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pPr>
              <w:spacing w:after="0" w:before="0"/>
              <w:jc w:val="center"/>
            </w:pPr>
            <w:r/>
            <w:r>
              <w:rPr>
                <w:rFonts w:ascii="Arial" w:hAnsi="Arial" w:eastAsia="Arial"/>
                <w:b w:val="0"/>
                <w:sz w:val="15"/>
              </w:rPr>
              <w:t>ThreadSanitizer</w:t>
            </w:r>
          </w:p>
        </w:tc>
        <w:tc>
          <w:tcPr>
            <w:tcW w:w="1341" w:type="dxa"/>
            <w:shd w:val="clear" w:color="auto" w:fill="auto"/>
          </w:tcPr>
          <w:p>
            <w:pPr>
              <w:spacing w:after="0" w:before="0"/>
              <w:jc w:val="center"/>
            </w:pPr>
            <w:r/>
            <w:r>
              <w:rPr>
                <w:rFonts w:ascii="Arial" w:hAnsi="Arial" w:eastAsia="Arial"/>
                <w:b w:val="0"/>
                <w:sz w:val="15"/>
              </w:rPr>
              <w:t>Clang/GCC 18/14</w:t>
            </w:r>
          </w:p>
        </w:tc>
        <w:tc>
          <w:tcPr>
            <w:tcW w:w="4021" w:type="dxa"/>
            <w:shd w:val="clear" w:color="auto" w:fill="auto"/>
          </w:tcPr>
          <w:p>
            <w:pPr>
              <w:spacing w:after="0" w:before="0"/>
              <w:jc w:val="center"/>
            </w:pPr>
            <w:r/>
            <w:r>
              <w:rPr>
                <w:rFonts w:ascii="Arial" w:hAnsi="Arial" w:eastAsia="Arial"/>
                <w:b w:val="0"/>
                <w:sz w:val="15"/>
              </w:rPr>
              <w:t>-fsanitize=thread</w:t>
            </w:r>
          </w:p>
        </w:tc>
        <w:tc>
          <w:tcPr>
            <w:tcW w:w="3611" w:type="dxa"/>
            <w:shd w:val="clear" w:color="auto" w:fill="auto"/>
          </w:tcPr>
          <w:p>
            <w:pPr>
              <w:spacing w:after="0" w:before="0"/>
              <w:jc w:val="left"/>
            </w:pPr>
            <w:r/>
            <w:r>
              <w:rPr>
                <w:rFonts w:ascii="Arial" w:hAnsi="Arial" w:eastAsia="Arial"/>
                <w:b w:val="0"/>
                <w:sz w:val="15"/>
              </w:rPr>
              <w:t>Runtime tests detect data races, lock misuse, and unsynchronized shared access.</w:t>
            </w:r>
          </w:p>
        </w:tc>
      </w:tr>
      <w:tr w:rsidR="00381847" w14:paraId="3EDB9E1C"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 Thread Safety Analysis</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-Wthread-safety</w:t>
            </w:r>
          </w:p>
        </w:tc>
        <w:tc>
          <w:tcPr>
            <w:tcW w:w="3611" w:type="dxa"/>
            <w:shd w:val="clear" w:color="auto" w:fill="auto"/>
          </w:tcPr>
          <w:p>
            <w:pPr>
              <w:spacing w:after="0" w:before="0"/>
              <w:jc w:val="left"/>
            </w:pPr>
            <w:r/>
            <w:r>
              <w:rPr>
                <w:rFonts w:ascii="Arial" w:hAnsi="Arial" w:eastAsia="Arial"/>
                <w:b w:val="0"/>
                <w:sz w:val="15"/>
              </w:rPr>
              <w:t>Static annotations and compiler checks identify missing or incorrect locks.</w:t>
            </w:r>
          </w:p>
        </w:tc>
      </w:tr>
      <w:tr w:rsidR="00381847" w14:paraId="7282C048" w14:textId="77777777" w:rsidTr="00001F14">
        <w:trPr>
          <w:trHeight w:val="460"/>
        </w:trPr>
        <w:tc>
          <w:tcPr>
            <w:tcW w:w="1807" w:type="dxa"/>
            <w:shd w:val="clear" w:color="auto" w:fill="auto"/>
          </w:tcPr>
          <w:p>
            <w:pPr>
              <w:spacing w:after="0" w:before="0"/>
              <w:jc w:val="center"/>
            </w:pPr>
            <w:r/>
            <w:r>
              <w:rPr>
                <w:rFonts w:ascii="Arial" w:hAnsi="Arial" w:eastAsia="Arial"/>
                <w:b w:val="0"/>
                <w:sz w:val="15"/>
              </w:rPr>
              <w:t>Clang-Tidy</w:t>
            </w:r>
          </w:p>
        </w:tc>
        <w:tc>
          <w:tcPr>
            <w:tcW w:w="1341" w:type="dxa"/>
            <w:shd w:val="clear" w:color="auto" w:fill="auto"/>
          </w:tcPr>
          <w:p>
            <w:pPr>
              <w:spacing w:after="0" w:before="0"/>
              <w:jc w:val="center"/>
            </w:pPr>
            <w:r/>
            <w:r>
              <w:rPr>
                <w:rFonts w:ascii="Arial" w:hAnsi="Arial" w:eastAsia="Arial"/>
                <w:b w:val="0"/>
                <w:sz w:val="15"/>
              </w:rPr>
              <w:t>18.1</w:t>
            </w:r>
          </w:p>
        </w:tc>
        <w:tc>
          <w:tcPr>
            <w:tcW w:w="4021" w:type="dxa"/>
            <w:shd w:val="clear" w:color="auto" w:fill="auto"/>
          </w:tcPr>
          <w:p>
            <w:pPr>
              <w:spacing w:after="0" w:before="0"/>
              <w:jc w:val="center"/>
            </w:pPr>
            <w:r/>
            <w:r>
              <w:rPr>
                <w:rFonts w:ascii="Arial" w:hAnsi="Arial" w:eastAsia="Arial"/>
                <w:b w:val="0"/>
                <w:sz w:val="15"/>
              </w:rPr>
              <w:t>concurrency-mt-unsafe / bugprone-lock-mutex</w:t>
            </w:r>
          </w:p>
        </w:tc>
        <w:tc>
          <w:tcPr>
            <w:tcW w:w="3611" w:type="dxa"/>
            <w:shd w:val="clear" w:color="auto" w:fill="auto"/>
          </w:tcPr>
          <w:p>
            <w:pPr>
              <w:spacing w:after="0" w:before="0"/>
              <w:jc w:val="left"/>
            </w:pPr>
            <w:r/>
            <w:r>
              <w:rPr>
                <w:rFonts w:ascii="Arial" w:hAnsi="Arial" w:eastAsia="Arial"/>
                <w:b w:val="0"/>
                <w:sz w:val="15"/>
              </w:rPr>
              <w:t>Flags thread-unsafe calls and suspicious locking patterns.</w:t>
            </w:r>
          </w:p>
        </w:tc>
      </w:tr>
      <w:tr w:rsidR="00381847" w14:paraId="7E43A7F6" w14:textId="77777777" w:rsidTr="00001F14">
        <w:trPr>
          <w:trHeight w:val="460"/>
        </w:trPr>
        <w:tc>
          <w:tcPr>
            <w:tcW w:w="1807" w:type="dxa"/>
            <w:shd w:val="clear" w:color="auto" w:fill="auto"/>
          </w:tcPr>
          <w:p>
            <w:pPr>
              <w:spacing w:after="0" w:before="0"/>
              <w:jc w:val="center"/>
            </w:pPr>
            <w:r/>
            <w:r>
              <w:rPr>
                <w:rFonts w:ascii="Arial" w:hAnsi="Arial" w:eastAsia="Arial"/>
                <w:b w:val="0"/>
                <w:sz w:val="15"/>
              </w:rPr>
              <w:t>CodeQL</w:t>
            </w:r>
          </w:p>
        </w:tc>
        <w:tc>
          <w:tcPr>
            <w:tcW w:w="1341" w:type="dxa"/>
            <w:shd w:val="clear" w:color="auto" w:fill="auto"/>
          </w:tcPr>
          <w:p>
            <w:pPr>
              <w:spacing w:after="0" w:before="0"/>
              <w:jc w:val="center"/>
            </w:pPr>
            <w:r/>
            <w:r>
              <w:rPr>
                <w:rFonts w:ascii="Arial" w:hAnsi="Arial" w:eastAsia="Arial"/>
                <w:b w:val="0"/>
                <w:sz w:val="15"/>
              </w:rPr>
              <w:t>2.18</w:t>
            </w:r>
          </w:p>
        </w:tc>
        <w:tc>
          <w:tcPr>
            <w:tcW w:w="4021" w:type="dxa"/>
            <w:shd w:val="clear" w:color="auto" w:fill="auto"/>
          </w:tcPr>
          <w:p>
            <w:pPr>
              <w:spacing w:after="0" w:before="0"/>
              <w:jc w:val="center"/>
            </w:pPr>
            <w:r/>
            <w:r>
              <w:rPr>
                <w:rFonts w:ascii="Arial" w:hAnsi="Arial" w:eastAsia="Arial"/>
                <w:b w:val="0"/>
                <w:sz w:val="15"/>
              </w:rPr>
              <w:t>cpp/missing-lock</w:t>
            </w:r>
          </w:p>
        </w:tc>
        <w:tc>
          <w:tcPr>
            <w:tcW w:w="3611" w:type="dxa"/>
            <w:shd w:val="clear" w:color="auto" w:fill="auto"/>
          </w:tcPr>
          <w:p>
            <w:pPr>
              <w:spacing w:after="0" w:before="0"/>
              <w:jc w:val="left"/>
            </w:pPr>
            <w:r/>
            <w:r>
              <w:rPr>
                <w:rFonts w:ascii="Arial" w:hAnsi="Arial" w:eastAsia="Arial"/>
                <w:b w:val="0"/>
                <w:sz w:val="15"/>
              </w:rPr>
              <w:t>Finds access to shared state that is not consistently protected by synchronization.</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spacing w:after="80"/>
        <w:ind w:left="720"/>
      </w:pPr>
      <w:r>
        <w:rPr>
          <w:rFonts w:ascii="Arial" w:hAnsi="Arial" w:eastAsia="Arial"/>
          <w:b w:val="0"/>
          <w:sz w:val="18"/>
        </w:rPr>
        <w:t>Green Pace will integrate security checks into every stage of its existing DevOps pipeline instead of treating security as a final review. During assess and plan, the team will identify data sensitivity, likely abuse cases, and the SEI CERT C++ rules that apply to each feature. During design and build, approved libraries, peer review, compiler warnings, and automated formatting will prevent insecure patterns from entering the main branch. Every pull request will trigger compilation with strict warnings, static analysis, dependency scanning, secret scanning, and unit tests. The verify and test stage will add sanitizers, fuzz testing, negative tests, and security regression tests. A build will not move to production when a critical or high-confidence finding remains unresolved unless the documented exception process is approved. During transition and health check, signed artifacts and configuration checks will confirm that the tested build is the build being deployed. Production monitoring will collect application, authentication, database-change, file-access, and security events. Respond and maintain activities will feed incidents and newly discovered weaknesses back into the backlog so that rules, tests, and training continually improve. This approach follows the DevSecOps diagram because security responsibility remains active across pre-production and production, with automation providing evidence that the policy is applied consistently.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pPr>
              <w:spacing w:after="0" w:before="0"/>
              <w:jc w:val="center"/>
            </w:pPr>
            <w:r/>
            <w:r>
              <w:rPr>
                <w:rFonts w:ascii="Arial" w:hAnsi="Arial" w:eastAsia="Arial"/>
                <w:b w:val="0"/>
                <w:sz w:val="15"/>
              </w:rPr>
              <w:t>STD-001-DCL</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Low</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pPr>
              <w:spacing w:after="0" w:before="0"/>
              <w:jc w:val="center"/>
            </w:pPr>
            <w:r/>
            <w:r>
              <w:rPr>
                <w:rFonts w:ascii="Arial" w:hAnsi="Arial" w:eastAsia="Arial"/>
                <w:b w:val="0"/>
                <w:sz w:val="15"/>
              </w:rPr>
              <w:t>STD-002-INT</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Medium</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pPr>
              <w:spacing w:after="0" w:before="0"/>
              <w:jc w:val="center"/>
            </w:pPr>
            <w:r/>
            <w:r>
              <w:rPr>
                <w:rFonts w:ascii="Arial" w:hAnsi="Arial" w:eastAsia="Arial"/>
                <w:b w:val="0"/>
                <w:sz w:val="15"/>
              </w:rPr>
              <w:t>STD-003-STR</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Medium</w:t>
            </w:r>
          </w:p>
        </w:tc>
        <w:tc>
          <w:tcPr>
            <w:tcW w:w="2041" w:type="dxa"/>
          </w:tcPr>
          <w:p>
            <w:pPr>
              <w:spacing w:after="0" w:before="0"/>
              <w:jc w:val="center"/>
            </w:pPr>
            <w:r/>
            <w:r>
              <w:rPr>
                <w:rFonts w:ascii="Arial" w:hAnsi="Arial" w:eastAsia="Arial"/>
                <w:b w:val="0"/>
                <w:sz w:val="15"/>
              </w:rPr>
              <w:t>Critical</w:t>
            </w:r>
          </w:p>
        </w:tc>
        <w:tc>
          <w:tcPr>
            <w:tcW w:w="2680" w:type="dxa"/>
          </w:tcPr>
          <w:p>
            <w:pPr>
              <w:spacing w:after="0" w:before="0"/>
              <w:jc w:val="center"/>
            </w:pPr>
            <w:r/>
            <w:r>
              <w:rPr>
                <w:rFonts w:ascii="Arial" w:hAnsi="Arial" w:eastAsia="Arial"/>
                <w:b w:val="0"/>
                <w:sz w:val="15"/>
              </w:rP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pPr>
              <w:spacing w:after="0" w:before="0"/>
              <w:jc w:val="center"/>
            </w:pPr>
            <w:r/>
            <w:r>
              <w:rPr>
                <w:rFonts w:ascii="Arial" w:hAnsi="Arial" w:eastAsia="Arial"/>
                <w:b w:val="0"/>
                <w:sz w:val="15"/>
              </w:rPr>
              <w:t>STD-004-SQL</w:t>
            </w:r>
          </w:p>
        </w:tc>
        <w:tc>
          <w:tcPr>
            <w:tcW w:w="1434" w:type="dxa"/>
          </w:tcPr>
          <w:p>
            <w:pPr>
              <w:spacing w:after="0" w:before="0"/>
              <w:jc w:val="center"/>
            </w:pPr>
            <w:r/>
            <w:r>
              <w:rPr>
                <w:rFonts w:ascii="Arial" w:hAnsi="Arial" w:eastAsia="Arial"/>
                <w:b w:val="0"/>
                <w:sz w:val="15"/>
              </w:rPr>
              <w:t>Critical</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Medium</w:t>
            </w:r>
          </w:p>
        </w:tc>
        <w:tc>
          <w:tcPr>
            <w:tcW w:w="2041" w:type="dxa"/>
          </w:tcPr>
          <w:p>
            <w:pPr>
              <w:spacing w:after="0" w:before="0"/>
              <w:jc w:val="center"/>
            </w:pPr>
            <w:r/>
            <w:r>
              <w:rPr>
                <w:rFonts w:ascii="Arial" w:hAnsi="Arial" w:eastAsia="Arial"/>
                <w:b w:val="0"/>
                <w:sz w:val="15"/>
              </w:rPr>
              <w:t>Critical</w:t>
            </w:r>
          </w:p>
        </w:tc>
        <w:tc>
          <w:tcPr>
            <w:tcW w:w="2680" w:type="dxa"/>
          </w:tcPr>
          <w:p>
            <w:pPr>
              <w:spacing w:after="0" w:before="0"/>
              <w:jc w:val="center"/>
            </w:pPr>
            <w:r/>
            <w:r>
              <w:rPr>
                <w:rFonts w:ascii="Arial" w:hAnsi="Arial" w:eastAsia="Arial"/>
                <w:b w:val="0"/>
                <w:sz w:val="15"/>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pPr>
              <w:spacing w:after="0" w:before="0"/>
              <w:jc w:val="center"/>
            </w:pPr>
            <w:r/>
            <w:r>
              <w:rPr>
                <w:rFonts w:ascii="Arial" w:hAnsi="Arial" w:eastAsia="Arial"/>
                <w:b w:val="0"/>
                <w:sz w:val="15"/>
              </w:rPr>
              <w:t>STD-005-MEM</w:t>
            </w:r>
          </w:p>
        </w:tc>
        <w:tc>
          <w:tcPr>
            <w:tcW w:w="1434" w:type="dxa"/>
          </w:tcPr>
          <w:p>
            <w:pPr>
              <w:spacing w:after="0" w:before="0"/>
              <w:jc w:val="center"/>
            </w:pPr>
            <w:r/>
            <w:r>
              <w:rPr>
                <w:rFonts w:ascii="Arial" w:hAnsi="Arial" w:eastAsia="Arial"/>
                <w:b w:val="0"/>
                <w:sz w:val="15"/>
              </w:rPr>
              <w:t>Critical</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High</w:t>
            </w:r>
          </w:p>
        </w:tc>
        <w:tc>
          <w:tcPr>
            <w:tcW w:w="2041" w:type="dxa"/>
          </w:tcPr>
          <w:p>
            <w:pPr>
              <w:spacing w:after="0" w:before="0"/>
              <w:jc w:val="center"/>
            </w:pPr>
            <w:r/>
            <w:r>
              <w:rPr>
                <w:rFonts w:ascii="Arial" w:hAnsi="Arial" w:eastAsia="Arial"/>
                <w:b w:val="0"/>
                <w:sz w:val="15"/>
              </w:rPr>
              <w:t>Critical</w:t>
            </w:r>
          </w:p>
        </w:tc>
        <w:tc>
          <w:tcPr>
            <w:tcW w:w="2680" w:type="dxa"/>
          </w:tcPr>
          <w:p>
            <w:pPr>
              <w:spacing w:after="0" w:before="0"/>
              <w:jc w:val="center"/>
            </w:pPr>
            <w:r/>
            <w:r>
              <w:rPr>
                <w:rFonts w:ascii="Arial" w:hAnsi="Arial" w:eastAsia="Arial"/>
                <w:b w:val="0"/>
                <w:sz w:val="15"/>
              </w:rP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pPr>
              <w:spacing w:after="0" w:before="0"/>
              <w:jc w:val="center"/>
            </w:pPr>
            <w:r/>
            <w:r>
              <w:rPr>
                <w:rFonts w:ascii="Arial" w:hAnsi="Arial" w:eastAsia="Arial"/>
                <w:b w:val="0"/>
                <w:sz w:val="15"/>
              </w:rPr>
              <w:t>STD-006-MSC</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Possible</w:t>
            </w:r>
          </w:p>
        </w:tc>
        <w:tc>
          <w:tcPr>
            <w:tcW w:w="1856" w:type="dxa"/>
          </w:tcPr>
          <w:p>
            <w:pPr>
              <w:spacing w:after="0" w:before="0"/>
              <w:jc w:val="center"/>
            </w:pPr>
            <w:r/>
            <w:r>
              <w:rPr>
                <w:rFonts w:ascii="Arial" w:hAnsi="Arial" w:eastAsia="Arial"/>
                <w:b w:val="0"/>
                <w:sz w:val="15"/>
              </w:rPr>
              <w:t>Low</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pPr>
              <w:spacing w:after="0" w:before="0"/>
              <w:jc w:val="center"/>
            </w:pPr>
            <w:r/>
            <w:r>
              <w:rPr>
                <w:rFonts w:ascii="Arial" w:hAnsi="Arial" w:eastAsia="Arial"/>
                <w:b w:val="0"/>
                <w:sz w:val="15"/>
              </w:rPr>
              <w:t>STD-007-ERR</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Possible</w:t>
            </w:r>
          </w:p>
        </w:tc>
        <w:tc>
          <w:tcPr>
            <w:tcW w:w="1856" w:type="dxa"/>
          </w:tcPr>
          <w:p>
            <w:pPr>
              <w:spacing w:after="0" w:before="0"/>
              <w:jc w:val="center"/>
            </w:pPr>
            <w:r/>
            <w:r>
              <w:rPr>
                <w:rFonts w:ascii="Arial" w:hAnsi="Arial" w:eastAsia="Arial"/>
                <w:b w:val="0"/>
                <w:sz w:val="15"/>
              </w:rPr>
              <w:t>Medium</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pPr>
              <w:spacing w:after="0" w:before="0"/>
              <w:jc w:val="center"/>
            </w:pPr>
            <w:r/>
            <w:r>
              <w:rPr>
                <w:rFonts w:ascii="Arial" w:hAnsi="Arial" w:eastAsia="Arial"/>
                <w:b w:val="0"/>
                <w:sz w:val="15"/>
              </w:rPr>
              <w:t>STD-008-INT</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Likely</w:t>
            </w:r>
          </w:p>
        </w:tc>
        <w:tc>
          <w:tcPr>
            <w:tcW w:w="1856" w:type="dxa"/>
          </w:tcPr>
          <w:p>
            <w:pPr>
              <w:spacing w:after="0" w:before="0"/>
              <w:jc w:val="center"/>
            </w:pPr>
            <w:r/>
            <w:r>
              <w:rPr>
                <w:rFonts w:ascii="Arial" w:hAnsi="Arial" w:eastAsia="Arial"/>
                <w:b w:val="0"/>
                <w:sz w:val="15"/>
              </w:rPr>
              <w:t>Low</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pPr>
              <w:spacing w:after="0" w:before="0"/>
              <w:jc w:val="center"/>
            </w:pPr>
            <w:r/>
            <w:r>
              <w:rPr>
                <w:rFonts w:ascii="Arial" w:hAnsi="Arial" w:eastAsia="Arial"/>
                <w:b w:val="0"/>
                <w:sz w:val="15"/>
              </w:rPr>
              <w:t>STD-009-FIO</w:t>
            </w:r>
          </w:p>
        </w:tc>
        <w:tc>
          <w:tcPr>
            <w:tcW w:w="1434" w:type="dxa"/>
          </w:tcPr>
          <w:p>
            <w:pPr>
              <w:spacing w:after="0" w:before="0"/>
              <w:jc w:val="center"/>
            </w:pPr>
            <w:r/>
            <w:r>
              <w:rPr>
                <w:rFonts w:ascii="Arial" w:hAnsi="Arial" w:eastAsia="Arial"/>
                <w:b w:val="0"/>
                <w:sz w:val="15"/>
              </w:rPr>
              <w:t>High</w:t>
            </w:r>
          </w:p>
        </w:tc>
        <w:tc>
          <w:tcPr>
            <w:tcW w:w="1349" w:type="dxa"/>
          </w:tcPr>
          <w:p>
            <w:pPr>
              <w:spacing w:after="0" w:before="0"/>
              <w:jc w:val="center"/>
            </w:pPr>
            <w:r/>
            <w:r>
              <w:rPr>
                <w:rFonts w:ascii="Arial" w:hAnsi="Arial" w:eastAsia="Arial"/>
                <w:b w:val="0"/>
                <w:sz w:val="15"/>
              </w:rPr>
              <w:t>Possible</w:t>
            </w:r>
          </w:p>
        </w:tc>
        <w:tc>
          <w:tcPr>
            <w:tcW w:w="1856" w:type="dxa"/>
          </w:tcPr>
          <w:p>
            <w:pPr>
              <w:spacing w:after="0" w:before="0"/>
              <w:jc w:val="center"/>
            </w:pPr>
            <w:r/>
            <w:r>
              <w:rPr>
                <w:rFonts w:ascii="Arial" w:hAnsi="Arial" w:eastAsia="Arial"/>
                <w:b w:val="0"/>
                <w:sz w:val="15"/>
              </w:rPr>
              <w:t>Medium</w:t>
            </w:r>
          </w:p>
        </w:tc>
        <w:tc>
          <w:tcPr>
            <w:tcW w:w="2041" w:type="dxa"/>
          </w:tcPr>
          <w:p>
            <w:pPr>
              <w:spacing w:after="0" w:before="0"/>
              <w:jc w:val="center"/>
            </w:pPr>
            <w:r/>
            <w:r>
              <w:rPr>
                <w:rFonts w:ascii="Arial" w:hAnsi="Arial" w:eastAsia="Arial"/>
                <w:b w:val="0"/>
                <w:sz w:val="15"/>
              </w:rPr>
              <w:t>High</w:t>
            </w:r>
          </w:p>
        </w:tc>
        <w:tc>
          <w:tcPr>
            <w:tcW w:w="2680" w:type="dxa"/>
          </w:tcPr>
          <w:p>
            <w:pPr>
              <w:spacing w:after="0" w:before="0"/>
              <w:jc w:val="center"/>
            </w:pPr>
            <w:r/>
            <w:r>
              <w:rPr>
                <w:rFonts w:ascii="Arial" w:hAnsi="Arial" w:eastAsia="Arial"/>
                <w:b w:val="0"/>
                <w:sz w:val="15"/>
              </w:rP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pPr>
              <w:spacing w:after="0" w:before="0"/>
              <w:jc w:val="center"/>
            </w:pPr>
            <w:r/>
            <w:r>
              <w:rPr>
                <w:rFonts w:ascii="Arial" w:hAnsi="Arial" w:eastAsia="Arial"/>
                <w:b w:val="0"/>
                <w:sz w:val="15"/>
              </w:rPr>
              <w:t>STD-010-CON</w:t>
            </w:r>
          </w:p>
        </w:tc>
        <w:tc>
          <w:tcPr>
            <w:tcW w:w="1434" w:type="dxa"/>
          </w:tcPr>
          <w:p>
            <w:pPr>
              <w:spacing w:after="0" w:before="0"/>
              <w:jc w:val="center"/>
            </w:pPr>
            <w:r/>
            <w:r>
              <w:rPr>
                <w:rFonts w:ascii="Arial" w:hAnsi="Arial" w:eastAsia="Arial"/>
                <w:b w:val="0"/>
                <w:sz w:val="15"/>
              </w:rPr>
              <w:t>Critical</w:t>
            </w:r>
          </w:p>
        </w:tc>
        <w:tc>
          <w:tcPr>
            <w:tcW w:w="1349" w:type="dxa"/>
          </w:tcPr>
          <w:p>
            <w:pPr>
              <w:spacing w:after="0" w:before="0"/>
              <w:jc w:val="center"/>
            </w:pPr>
            <w:r/>
            <w:r>
              <w:rPr>
                <w:rFonts w:ascii="Arial" w:hAnsi="Arial" w:eastAsia="Arial"/>
                <w:b w:val="0"/>
                <w:sz w:val="15"/>
              </w:rPr>
              <w:t>Possible</w:t>
            </w:r>
          </w:p>
        </w:tc>
        <w:tc>
          <w:tcPr>
            <w:tcW w:w="1856" w:type="dxa"/>
          </w:tcPr>
          <w:p>
            <w:pPr>
              <w:spacing w:after="0" w:before="0"/>
              <w:jc w:val="center"/>
            </w:pPr>
            <w:r/>
            <w:r>
              <w:rPr>
                <w:rFonts w:ascii="Arial" w:hAnsi="Arial" w:eastAsia="Arial"/>
                <w:b w:val="0"/>
                <w:sz w:val="15"/>
              </w:rPr>
              <w:t>High</w:t>
            </w:r>
          </w:p>
        </w:tc>
        <w:tc>
          <w:tcPr>
            <w:tcW w:w="2041" w:type="dxa"/>
          </w:tcPr>
          <w:p>
            <w:pPr>
              <w:spacing w:after="0" w:before="0"/>
              <w:jc w:val="center"/>
            </w:pPr>
            <w:r/>
            <w:r>
              <w:rPr>
                <w:rFonts w:ascii="Arial" w:hAnsi="Arial" w:eastAsia="Arial"/>
                <w:b w:val="0"/>
                <w:sz w:val="15"/>
              </w:rPr>
              <w:t>Critical</w:t>
            </w:r>
          </w:p>
        </w:tc>
        <w:tc>
          <w:tcPr>
            <w:tcW w:w="2680" w:type="dxa"/>
          </w:tcPr>
          <w:p>
            <w:pPr>
              <w:spacing w:after="0" w:before="0"/>
              <w:jc w:val="center"/>
            </w:pPr>
            <w:r/>
            <w:r>
              <w:rPr>
                <w:rFonts w:ascii="Arial" w:hAnsi="Arial" w:eastAsia="Arial"/>
                <w:b w:val="0"/>
                <w:sz w:val="15"/>
              </w:rPr>
              <w:t>5</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pPr>
              <w:spacing w:after="0" w:before="0"/>
            </w:pPr>
            <w:r/>
            <w:r>
              <w:rPr>
                <w:rFonts w:ascii="Arial" w:hAnsi="Arial" w:eastAsia="Arial"/>
                <w:b w:val="0"/>
                <w:sz w:val="17"/>
              </w:rPr>
              <w:t>Green Pace must encrypt sensitive information stored in databases, file systems, backups, laptops, removable media, and cloud storage. Approved full-disk, database, or object-storage encryption must use organization-approved algorithms and centrally managed keys. Keys must be stored separately from encrypted data, rotated according to the key-management schedule, and limited to authorized services and administrators. This policy applies whenever confidential, personal, credential, financial, or operational data is stored because encryption reduces exposure if media, backups, or storage accounts are lost or accessed without authorization.</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pPr>
              <w:spacing w:after="0" w:before="0"/>
            </w:pPr>
            <w:r/>
            <w:r>
              <w:rPr>
                <w:rFonts w:ascii="Arial" w:hAnsi="Arial" w:eastAsia="Arial"/>
                <w:b w:val="0"/>
                <w:sz w:val="17"/>
              </w:rPr>
              <w:t>All sensitive data crossing a network boundary must use an authenticated encrypted channel, such as TLS 1.2 or later with approved cipher suites. Applications must validate certificates and host names and must not disable certificate checking to bypass errors. Internal service-to-service traffic, administrative sessions, APIs, database connections, and file transfers are included. This policy protects confidentiality and integrity while data is moving and helps prevent interception, alteration, and impersonation.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pPr>
              <w:spacing w:after="0" w:before="0"/>
            </w:pPr>
            <w:r/>
            <w:r>
              <w:rPr>
                <w:rFonts w:ascii="Arial" w:hAnsi="Arial" w:eastAsia="Arial"/>
                <w:b w:val="0"/>
                <w:sz w:val="17"/>
              </w:rPr>
              <w:t>Sensitive data must remain protected while it is being processed. Green Pace applications should minimize the amount of plaintext held in memory, limit access to the process and authorized users, clear temporary secrets when practical, and avoid writing plaintext secrets to logs, crash files, or temporary storage. Highly sensitive workloads should use protected execution environments or field-level techniques when justified by risk. This policy applies during calculations, searches, and other active processing because storage and transport encryption no longer protect data after an application decrypts it.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pPr>
              <w:spacing w:after="0" w:before="0"/>
            </w:pPr>
            <w:r/>
            <w:r>
              <w:rPr>
                <w:rFonts w:ascii="Arial" w:hAnsi="Arial" w:eastAsia="Arial"/>
                <w:b w:val="0"/>
                <w:sz w:val="17"/>
              </w:rPr>
              <w:t>Green Pace systems must verify the identity of every human user, administrator, service, and device before granting access. User logins must use unique accounts, strong password controls, and multifactor authentication for privileged or remote access. Service accounts must use managed credentials or certificates rather than hard-coded secrets. Failed and successful login events must be logged and monitored. Authentication is required so actions can be tied to a verified identity before authorization decisions are made.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pPr>
              <w:spacing w:after="0" w:before="0"/>
            </w:pPr>
            <w:r/>
            <w:r>
              <w:rPr>
                <w:rFonts w:ascii="Arial" w:hAnsi="Arial" w:eastAsia="Arial"/>
                <w:b w:val="0"/>
                <w:sz w:val="17"/>
              </w:rPr>
              <w:t>After authentication, access must be granted according to role, business need, and least privilege. New users must receive only the minimum permissions required, and elevated access must have documented approval. Applications must enforce authorization on the server for every request rather than relying on menus or hidden interface elements. User access levels must be reviewed periodically and removed promptly when roles change. Authorization protects databases, files, administrative functions, and customer information from inappropriate use.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pPr>
              <w:spacing w:after="0" w:before="0"/>
            </w:pPr>
            <w:r/>
            <w:r>
              <w:rPr>
                <w:rFonts w:ascii="Arial" w:hAnsi="Arial" w:eastAsia="Arial"/>
                <w:b w:val="0"/>
                <w:sz w:val="17"/>
              </w:rPr>
              <w:t>Green Pace must create tamper-resistant records of security-relevant activity so actions can be investigated and compliance can be demonstrated. Logs must include user logins, failed access attempts, changes to the database, creation or modification of users, changes to access levels, files accessed by users, privileged actions, and important application errors. Records should include time, verified identity, action, target, result, and source when available. Access to logs must be restricted, clocks synchronized, retention defined, and alerts generated for suspicious patterns. Accounting provides traceability, supports incident response, and verifies that authentication and authorization controls are working.</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pPr>
              <w:spacing w:after="0" w:before="0"/>
            </w:pPr>
            <w:r/>
            <w:r>
              <w:rPr>
                <w:rFonts w:ascii="Arial" w:hAnsi="Arial" w:eastAsia="Arial"/>
                <w:b w:val="0"/>
                <w:sz w:val="15"/>
              </w:rPr>
              <w:t>2.0</w:t>
            </w:r>
          </w:p>
        </w:tc>
        <w:tc>
          <w:tcPr>
            <w:tcW w:w="1530" w:type="dxa"/>
          </w:tcPr>
          <w:p>
            <w:pPr>
              <w:spacing w:after="0" w:before="0"/>
            </w:pPr>
            <w:r/>
            <w:r>
              <w:rPr>
                <w:rFonts w:ascii="Arial" w:hAnsi="Arial" w:eastAsia="Arial"/>
                <w:b w:val="0"/>
                <w:sz w:val="15"/>
              </w:rPr>
              <w:t>07/16/2026</w:t>
            </w:r>
          </w:p>
        </w:tc>
        <w:tc>
          <w:tcPr>
            <w:tcW w:w="3510" w:type="dxa"/>
          </w:tcPr>
          <w:p>
            <w:pPr>
              <w:spacing w:after="0" w:before="0"/>
            </w:pPr>
            <w:r/>
            <w:r>
              <w:rPr>
                <w:rFonts w:ascii="Arial" w:hAnsi="Arial" w:eastAsia="Arial"/>
                <w:b w:val="0"/>
                <w:sz w:val="15"/>
              </w:rPr>
              <w:t>Completed Green Pace secure development policy, including coding standards, risk assessments, automation guidance, encryption, and Triple-A controls.</w:t>
            </w:r>
          </w:p>
        </w:tc>
        <w:tc>
          <w:tcPr>
            <w:tcW w:w="1923" w:type="dxa"/>
          </w:tcPr>
          <w:p>
            <w:pPr>
              <w:spacing w:after="0" w:before="0"/>
            </w:pPr>
            <w:r/>
            <w:r>
              <w:rPr>
                <w:rFonts w:ascii="Arial" w:hAnsi="Arial" w:eastAsia="Arial"/>
                <w:b w:val="0"/>
                <w:sz w:val="15"/>
              </w:rPr>
              <w:t>Reginald Kargbo</w:t>
            </w:r>
          </w:p>
        </w:tc>
        <w:tc>
          <w:tcPr>
            <w:tcW w:w="2077" w:type="dxa"/>
          </w:tcPr>
          <w:p>
            <w:pPr>
              <w:spacing w:after="0" w:before="0"/>
            </w:pPr>
            <w:r/>
            <w:r>
              <w:rPr>
                <w:rFonts w:ascii="Arial" w:hAnsi="Arial" w:eastAsia="Arial"/>
                <w:b w:val="0"/>
                <w:sz w:val="15"/>
              </w:rPr>
              <w:t>Pending OCISO/CISO approval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headerReference w:type="first" r:id="rId1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rPr>
        <w:rFonts w:ascii="Arial" w:hAnsi="Arial"/>
        <w:sz w:val="20"/>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1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 - Module Three Milestone</dc:title>
  <dc:creator>Reginald Kargbo</dc:creator>
  <cp:lastModifiedBy>Laurel, Brooke</cp:lastModifiedBy>
  <cp:revision>24</cp:revision>
  <dcterms:created xsi:type="dcterms:W3CDTF">2020-11-20T18:42:00Z</dcterms:created>
  <dcterms:modified xsi:type="dcterms:W3CDTF">2024-01-19T19:40:00Z</dcterms:modified>
  <dc:subject>CS-405 Secure Coding</dc:subject>
  <cp:keywords>secure coding, SEI CERT C++, Green Pace, Module Three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