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FICHA DE CONSULTA RÁPIDA · SIAFI-MG · EM CPE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14"/>
          <w:szCs w:val="14"/>
        </w:rPr>
        <w:t xml:space="preserve">Fonte: PARO 2026 (Separata BGPM nº 51) e manuais operacionais do SIAFI-MG. Confira sempre a norma vigente.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33"/>
        <w:gridCol w:w="2000"/>
        <w:gridCol w:w="3233"/>
      </w:tblGrid>
      <w:tr>
        <w:tc>
          <w:tcPr>
            <w:tcW w:type="dxa" w:w="10466"/>
            <w:gridSpan w:val="4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1F3A5F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DADOS DA UNIDADE (o sistema não mostra: tenha em mãos)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Unidade Executora (SIAFI)</w:t>
            </w:r>
          </w:p>
        </w:tc>
        <w:tc>
          <w:tcPr>
            <w:tcW w:type="dxa" w:w="3233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1250057 – EM CPE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Unid. Orçamentária</w:t>
            </w:r>
          </w:p>
        </w:tc>
        <w:tc>
          <w:tcPr>
            <w:tcW w:type="dxa" w:w="3233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1251 – PMMG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Código de Compras (SIAD)</w:t>
            </w:r>
          </w:p>
        </w:tc>
        <w:tc>
          <w:tcPr>
            <w:tcW w:type="dxa" w:w="3233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1251655 (Un do processo SIAD)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UPG (obrigatória)</w:t>
            </w:r>
          </w:p>
        </w:tc>
        <w:tc>
          <w:tcPr>
            <w:tcW w:type="dxa" w:w="3233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0025 – EM CPE (art. 52)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Ordenador de Despesa</w:t>
            </w:r>
          </w:p>
        </w:tc>
        <w:tc>
          <w:tcPr>
            <w:tcW w:type="dxa" w:w="3233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1305820 – Chefe do EM/CPE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Código IRRF (PJ)</w:t>
            </w:r>
          </w:p>
        </w:tc>
        <w:tc>
          <w:tcPr>
            <w:tcW w:type="dxa" w:w="3233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6256 (PF/recibo: conferir, ex. 2602)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INSS (credor retenção)</w:t>
            </w:r>
          </w:p>
        </w:tc>
        <w:tc>
          <w:tcPr>
            <w:tcW w:type="dxa" w:w="3233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CNPJ 29.979.036/0001-40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ISS (credor retenção)</w:t>
            </w:r>
          </w:p>
        </w:tc>
        <w:tc>
          <w:tcPr>
            <w:tcW w:type="dxa" w:w="3233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CNPJ do município (BH 18.715.383/0001-40)</w:t>
            </w:r>
          </w:p>
        </w:tc>
      </w:tr>
    </w:tbl>
    <w:p>
      <w:pPr>
        <w:spacing w:after="5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33"/>
        <w:gridCol w:w="2000"/>
        <w:gridCol w:w="3233"/>
      </w:tblGrid>
      <w:tr>
        <w:tc>
          <w:tcPr>
            <w:tcW w:type="dxa" w:w="10466"/>
            <w:gridSpan w:val="4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1F3A5F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FONTES DE RECURSO E GRUPOS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6020</w:t>
            </w:r>
          </w:p>
        </w:tc>
        <w:tc>
          <w:tcPr>
            <w:tcW w:type="dxa" w:w="3233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PMMG (antiga fonte 10)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8320</w:t>
            </w:r>
          </w:p>
        </w:tc>
        <w:tc>
          <w:tcPr>
            <w:tcW w:type="dxa" w:w="3233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DER (convênio)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5220</w:t>
            </w:r>
          </w:p>
        </w:tc>
        <w:tc>
          <w:tcPr>
            <w:tcW w:type="dxa" w:w="3233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SEMAD (convênio)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7310</w:t>
            </w:r>
          </w:p>
        </w:tc>
        <w:tc>
          <w:tcPr>
            <w:tcW w:type="dxa" w:w="3233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PRF (convênio)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3.3.90</w:t>
            </w:r>
          </w:p>
        </w:tc>
        <w:tc>
          <w:tcPr>
            <w:tcW w:type="dxa" w:w="3233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Custeio / consumo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4.4.90</w:t>
            </w:r>
          </w:p>
        </w:tc>
        <w:tc>
          <w:tcPr>
            <w:tcW w:type="dxa" w:w="3233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Capital / permanente</w:t>
            </w:r>
          </w:p>
        </w:tc>
      </w:tr>
    </w:tbl>
    <w:p>
      <w:pPr>
        <w:spacing w:after="5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33"/>
        <w:gridCol w:w="2000"/>
        <w:gridCol w:w="3233"/>
      </w:tblGrid>
      <w:tr>
        <w:tc>
          <w:tcPr>
            <w:tcW w:type="dxa" w:w="10466"/>
            <w:gridSpan w:val="4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1F3A5F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NAVEGAÇÃO E TECLAS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51 › 01 › 1</w:t>
            </w:r>
          </w:p>
        </w:tc>
        <w:tc>
          <w:tcPr>
            <w:tcW w:type="dxa" w:w="3233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Apropriação do empenho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51 › 04 › 1</w:t>
            </w:r>
          </w:p>
        </w:tc>
        <w:tc>
          <w:tcPr>
            <w:tcW w:type="dxa" w:w="3233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Liquidação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51 › 03 › 1</w:t>
            </w:r>
          </w:p>
        </w:tc>
        <w:tc>
          <w:tcPr>
            <w:tcW w:type="dxa" w:w="3233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Reforço do empenho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71 › 01 › 1</w:t>
            </w:r>
          </w:p>
        </w:tc>
        <w:tc>
          <w:tcPr>
            <w:tcW w:type="dxa" w:w="3233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Ordem de pagamento (Por Credor)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Ação 2 / 3</w:t>
            </w:r>
          </w:p>
        </w:tc>
        <w:tc>
          <w:tcPr>
            <w:tcW w:type="dxa" w:w="3233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Consultar / Imprimir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91 › 01 › 07</w:t>
            </w:r>
          </w:p>
        </w:tc>
        <w:tc>
          <w:tcPr>
            <w:tcW w:type="dxa" w:w="3233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Tabela Elemento/Item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PF5 · PF2 · PF3</w:t>
            </w:r>
          </w:p>
        </w:tc>
        <w:tc>
          <w:tcPr>
            <w:tcW w:type="dxa" w:w="3233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Confirma · Anula · Volta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PF6 · PF9 · PF12</w:t>
            </w:r>
          </w:p>
        </w:tc>
        <w:tc>
          <w:tcPr>
            <w:tcW w:type="dxa" w:w="3233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Seleciona · Menu principal · Fim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Valores</w:t>
            </w:r>
          </w:p>
        </w:tc>
        <w:tc>
          <w:tcPr>
            <w:tcW w:type="dxa" w:w="3233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Só números: 12.000,00 = 1200000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Assinatura</w:t>
            </w:r>
          </w:p>
        </w:tc>
        <w:tc>
          <w:tcPr>
            <w:tcW w:type="dxa" w:w="3233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 assinados vão às 20h (antecipar: 01 › 09)</w:t>
            </w:r>
          </w:p>
        </w:tc>
      </w:tr>
    </w:tbl>
    <w:p>
      <w:pPr>
        <w:spacing w:after="5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300"/>
        <w:gridCol w:w="5066"/>
      </w:tblGrid>
      <w:tr>
        <w:tc>
          <w:tcPr>
            <w:tcW w:type="dxa" w:w="10466"/>
            <w:gridSpan w:val="3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1F3A5F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JANELA DO EMPENHO: REGRAS DE ESPECIFICAÇÃO (Cont. SIAFI / Cont. SIAD / Obras)</w:t>
            </w:r>
          </w:p>
        </w:tc>
      </w:tr>
      <w:tr>
        <w:tc>
          <w:tcPr>
            <w:tcW w:type="dxa" w:w="31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Situação</w:t>
            </w:r>
          </w:p>
        </w:tc>
        <w:tc>
          <w:tcPr>
            <w:tcW w:type="dxa" w:w="23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Campos</w:t>
            </w:r>
          </w:p>
        </w:tc>
        <w:tc>
          <w:tcPr>
            <w:tcW w:type="dxa" w:w="5066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sistema pede</w:t>
            </w:r>
          </w:p>
        </w:tc>
      </w:tr>
      <w:tr>
        <w:tc>
          <w:tcPr>
            <w:tcW w:type="dxa" w:w="31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 contrato, sem obra</w:t>
            </w:r>
          </w:p>
        </w:tc>
        <w:tc>
          <w:tcPr>
            <w:tcW w:type="dxa" w:w="23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 / N / N</w:t>
            </w:r>
          </w:p>
        </w:tc>
        <w:tc>
          <w:tcPr>
            <w:tcW w:type="dxa" w:w="5066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Pede espec. SIAD (regra 4)</w:t>
            </w:r>
          </w:p>
        </w:tc>
      </w:tr>
      <w:tr>
        <w:tc>
          <w:tcPr>
            <w:tcW w:type="dxa" w:w="31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Contrato no SIAD</w:t>
            </w:r>
          </w:p>
        </w:tc>
        <w:tc>
          <w:tcPr>
            <w:tcW w:type="dxa" w:w="23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 / S / N</w:t>
            </w:r>
          </w:p>
        </w:tc>
        <w:tc>
          <w:tcPr>
            <w:tcW w:type="dxa" w:w="5066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Pede espec. SIAD (regra 5)</w:t>
            </w:r>
          </w:p>
        </w:tc>
      </w:tr>
      <w:tr>
        <w:tc>
          <w:tcPr>
            <w:tcW w:type="dxa" w:w="31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Contrato SIAFI tipo 11/12, não obra</w:t>
            </w:r>
          </w:p>
        </w:tc>
        <w:tc>
          <w:tcPr>
            <w:tcW w:type="dxa" w:w="23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 / N / N</w:t>
            </w:r>
          </w:p>
        </w:tc>
        <w:tc>
          <w:tcPr>
            <w:tcW w:type="dxa" w:w="5066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 pede especificação (regra 1)</w:t>
            </w:r>
          </w:p>
        </w:tc>
      </w:tr>
      <w:tr>
        <w:tc>
          <w:tcPr>
            <w:tcW w:type="dxa" w:w="31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Adiantamento ou ressarcimento</w:t>
            </w:r>
          </w:p>
        </w:tc>
        <w:tc>
          <w:tcPr>
            <w:tcW w:type="dxa" w:w="23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066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 pede especificação SIAD</w:t>
            </w:r>
          </w:p>
        </w:tc>
      </w:tr>
    </w:tbl>
    <w:p>
      <w:pPr>
        <w:spacing w:after="5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66"/>
      </w:tblGrid>
      <w:tr>
        <w:tc>
          <w:tcPr>
            <w:tcW w:type="dxa" w:w="10466"/>
            <w:gridSpan w:val="2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1F3A5F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PRAZOS E REGRAS DO PARO</w:t>
            </w:r>
          </w:p>
        </w:tc>
      </w:tr>
      <w:tr>
        <w:tc>
          <w:tcPr>
            <w:tcW w:type="dxa" w:w="24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30 dias</w:t>
            </w:r>
          </w:p>
        </w:tc>
        <w:tc>
          <w:tcPr>
            <w:tcW w:type="dxa" w:w="8066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Cota recebida e não empenhada pode ser recolhida pelo Gestor (art. 15, §3º).</w:t>
            </w:r>
          </w:p>
        </w:tc>
      </w:tr>
      <w:tr>
        <w:tc>
          <w:tcPr>
            <w:tcW w:type="dxa" w:w="24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 dias úteis do mês</w:t>
            </w:r>
          </w:p>
        </w:tc>
        <w:tc>
          <w:tcPr>
            <w:tcW w:type="dxa" w:w="8066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 alterar a programação no Portal de Compras (art. 14, §2º). Programação acima do limite bloqueia a cota de toda a PMMG (art. 50).</w:t>
            </w:r>
          </w:p>
        </w:tc>
      </w:tr>
      <w:tr>
        <w:tc>
          <w:tcPr>
            <w:tcW w:type="dxa" w:w="24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 dias úteis</w:t>
            </w:r>
          </w:p>
        </w:tc>
        <w:tc>
          <w:tcPr>
            <w:tcW w:type="dxa" w:w="8066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Prazo para avisar o Gestor de dificuldade orçamentária (art. 56). Sem autorização, despesa acima do limite não vira DEA.</w:t>
            </w:r>
          </w:p>
        </w:tc>
      </w:tr>
      <w:tr>
        <w:tc>
          <w:tcPr>
            <w:tcW w:type="dxa" w:w="24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Assinatura digital</w:t>
            </w:r>
          </w:p>
        </w:tc>
        <w:tc>
          <w:tcPr>
            <w:tcW w:type="dxa" w:w="8066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Obrigatória pelo Ordenador; pendências podem suspender o repasse de cota financeira (art. 26, §2º).</w:t>
            </w:r>
          </w:p>
        </w:tc>
      </w:tr>
      <w:tr>
        <w:tc>
          <w:tcPr>
            <w:tcW w:type="dxa" w:w="24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Convênios</w:t>
            </w:r>
          </w:p>
        </w:tc>
        <w:tc>
          <w:tcPr>
            <w:tcW w:type="dxa" w:w="8066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Registrar o nº SIAFI do convênio no cadastro do processo no Portal de Compras (art. 41, §2º). Observar a vigência.</w:t>
            </w:r>
          </w:p>
        </w:tc>
      </w:tr>
      <w:tr>
        <w:tc>
          <w:tcPr>
            <w:tcW w:type="dxa" w:w="24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Ordem de pagamento</w:t>
            </w:r>
          </w:p>
        </w:tc>
        <w:tc>
          <w:tcPr>
            <w:tcW w:type="dxa" w:w="8066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Registrar 3 dias úteis antes do vencimento. Compensação: 1 dia (crédito), 9 (DOC/TED), 17 (recibo).</w:t>
            </w:r>
          </w:p>
        </w:tc>
      </w:tr>
      <w:tr>
        <w:tc>
          <w:tcPr>
            <w:tcW w:type="dxa" w:w="24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Fim do exercício</w:t>
            </w:r>
          </w:p>
        </w:tc>
        <w:tc>
          <w:tcPr>
            <w:tcW w:type="dxa" w:w="8066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Evitar saldo de empenho em restos a pagar (art. 57). Liquidar ou anular empenhos sem uso.</w:t>
            </w:r>
          </w:p>
        </w:tc>
      </w:tr>
    </w:tbl>
    <w:p>
      <w:pPr>
        <w:spacing w:after="5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66"/>
      </w:tblGrid>
      <w:tr>
        <w:tc>
          <w:tcPr>
            <w:tcW w:type="dxa" w:w="10466"/>
            <w:gridSpan w:val="2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1F3A5F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DESPESAS CENTRALIZADAS: NÃO EMPENHAR NA UE (art. 44)</w:t>
            </w:r>
          </w:p>
        </w:tc>
      </w:tr>
      <w:tr>
        <w:tc>
          <w:tcPr>
            <w:tcW w:type="dxa" w:w="24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CMI/DAL</w:t>
            </w:r>
          </w:p>
        </w:tc>
        <w:tc>
          <w:tcPr>
            <w:tcW w:type="dxa" w:w="8066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Combustíveis, óleos, lubrificantes; seguros e impostos de viaturas; aquisição de veículos.</w:t>
            </w:r>
          </w:p>
        </w:tc>
      </w:tr>
      <w:tr>
        <w:tc>
          <w:tcPr>
            <w:tcW w:type="dxa" w:w="24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CMB/DAL</w:t>
            </w:r>
          </w:p>
        </w:tc>
        <w:tc>
          <w:tcPr>
            <w:tcW w:type="dxa" w:w="8066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Armamento, munições, equipamentos e apetrechos operacionais.</w:t>
            </w:r>
          </w:p>
        </w:tc>
      </w:tr>
      <w:tr>
        <w:tc>
          <w:tcPr>
            <w:tcW w:type="dxa" w:w="24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CSA-TIC</w:t>
            </w:r>
          </w:p>
        </w:tc>
        <w:tc>
          <w:tcPr>
            <w:tcW w:type="dxa" w:w="8066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Equipamentos, softwares, licenças e serviços de informática.</w:t>
            </w:r>
          </w:p>
        </w:tc>
      </w:tr>
      <w:tr>
        <w:tc>
          <w:tcPr>
            <w:tcW w:type="dxa" w:w="24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Ajudância-Geral · CAE/APM</w:t>
            </w:r>
          </w:p>
        </w:tc>
        <w:tc>
          <w:tcPr>
            <w:tcW w:type="dxa" w:w="8066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Passagens aéreas · cursos externos com mais de 10 dias (transporte, diárias, inscrição).</w:t>
            </w:r>
          </w:p>
        </w:tc>
      </w:tr>
      <w:tr>
        <w:tc>
          <w:tcPr>
            <w:tcW w:type="dxa" w:w="24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PM4 › PM6</w:t>
            </w:r>
          </w:p>
        </w:tc>
        <w:tc>
          <w:tcPr>
            <w:tcW w:type="dxa" w:w="8066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Bens de capital e coletes balísticos: parecer antes da aquisição (art. 45).</w:t>
            </w:r>
          </w:p>
        </w:tc>
      </w:tr>
    </w:tbl>
    <w:p>
      <w:pPr>
        <w:spacing w:after="5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gridSpan w:val="1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1F3A5F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ITENS MARCADOS (Anexo XIII): SAEM DA COTA ELEMENTO/ITEM, NÃO DA GLOBAL</w:t>
            </w:r>
          </w:p>
        </w:tc>
      </w:tr>
      <w:tr>
        <w:tc>
          <w:tcPr>
            <w:tcW w:type="dxa" w:w="10466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30.23 · 30.25 · 30.26 · 30.33 · 30.34 · 37.01 · 37.02 · 37.04 · 37.05 · 39.03 · 39.12 · 39.13 · 39.15 · 39.17 · 39.18 · 39.19 · 39.20 · 39.21 · 39.34 · 39.35 · 39.43 · 39.61 · 39.69 · 39.87 · 40.02 a 40.07 · 92.02 · 93.01</w:t>
            </w:r>
          </w:p>
        </w:tc>
      </w:tr>
    </w:tbl>
    <w:sectPr>
      <w:pgSz w:w="11906" w:h="16838" w:orient="portrait"/>
      <w:pgMar w:top="567" w:right="720" w:bottom="567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2026-10-13T12:02:56.886Z</dcterms:created>
  <dcterms:modified xsi:type="dcterms:W3CDTF">2026-10-13T12:02:56.886Z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